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F9AC8" w14:textId="55AC7B34" w:rsidR="00BA408C" w:rsidRDefault="0069685A" w:rsidP="00BA408C">
      <w:pPr>
        <w:rPr>
          <w:b/>
          <w:sz w:val="28"/>
          <w:szCs w:val="28"/>
          <w:lang w:eastAsia="ja-JP"/>
        </w:rPr>
      </w:pPr>
      <w:r>
        <w:rPr>
          <w:b/>
          <w:sz w:val="28"/>
          <w:szCs w:val="28"/>
          <w:lang w:eastAsia="ja-JP"/>
        </w:rPr>
        <w:t>Transnational Vernacular</w:t>
      </w:r>
      <w:r w:rsidR="00BE6B2B">
        <w:rPr>
          <w:b/>
          <w:sz w:val="28"/>
          <w:szCs w:val="28"/>
          <w:lang w:eastAsia="ja-JP"/>
        </w:rPr>
        <w:t>ity</w:t>
      </w:r>
      <w:r>
        <w:rPr>
          <w:b/>
          <w:sz w:val="28"/>
          <w:szCs w:val="28"/>
          <w:lang w:eastAsia="ja-JP"/>
        </w:rPr>
        <w:t xml:space="preserve"> </w:t>
      </w:r>
      <w:r w:rsidR="00BA408C">
        <w:rPr>
          <w:b/>
          <w:sz w:val="28"/>
          <w:szCs w:val="28"/>
          <w:lang w:eastAsia="ja-JP"/>
        </w:rPr>
        <w:t>of Taiwan Floral Chintz: craft-design and cultural industry in Taiwan</w:t>
      </w:r>
    </w:p>
    <w:p w14:paraId="224D5B98" w14:textId="77777777" w:rsidR="00BA408C" w:rsidRPr="0071593C" w:rsidRDefault="00BA408C">
      <w:pPr>
        <w:rPr>
          <w:sz w:val="28"/>
          <w:szCs w:val="28"/>
          <w:lang w:eastAsia="ja-JP"/>
        </w:rPr>
      </w:pPr>
    </w:p>
    <w:p w14:paraId="1C4A10F3" w14:textId="51F26968" w:rsidR="00331728" w:rsidRPr="00896EA0" w:rsidRDefault="00896EA0">
      <w:pPr>
        <w:rPr>
          <w:b/>
          <w:lang w:eastAsia="ja-JP"/>
        </w:rPr>
      </w:pPr>
      <w:r w:rsidRPr="00896EA0">
        <w:rPr>
          <w:b/>
          <w:lang w:eastAsia="ja-JP"/>
        </w:rPr>
        <w:t xml:space="preserve">Dr Yuko Kikuchi, </w:t>
      </w:r>
      <w:r w:rsidR="00DC3C4D">
        <w:rPr>
          <w:b/>
          <w:lang w:eastAsia="ja-JP"/>
        </w:rPr>
        <w:t xml:space="preserve">TrAIN and CCW, </w:t>
      </w:r>
      <w:r w:rsidRPr="00896EA0">
        <w:rPr>
          <w:b/>
          <w:lang w:eastAsia="ja-JP"/>
        </w:rPr>
        <w:t>University of the Arts London</w:t>
      </w:r>
    </w:p>
    <w:p w14:paraId="472B6486" w14:textId="5DF7C981" w:rsidR="00896EA0" w:rsidRPr="0071593C" w:rsidRDefault="00896EA0" w:rsidP="00896EA0">
      <w:pPr>
        <w:tabs>
          <w:tab w:val="left" w:pos="4693"/>
        </w:tabs>
        <w:rPr>
          <w:lang w:eastAsia="ja-JP"/>
        </w:rPr>
      </w:pPr>
      <w:r>
        <w:rPr>
          <w:lang w:eastAsia="ja-JP"/>
        </w:rPr>
        <w:tab/>
      </w:r>
    </w:p>
    <w:p w14:paraId="67D14C8F" w14:textId="77777777" w:rsidR="00A20AC7" w:rsidRPr="004B030C" w:rsidRDefault="00A20AC7" w:rsidP="00A20AC7">
      <w:pPr>
        <w:rPr>
          <w:rFonts w:eastAsia="ＭＳ 明朝"/>
          <w:b/>
          <w:sz w:val="28"/>
          <w:szCs w:val="28"/>
          <w:lang w:eastAsia="ja-JP"/>
        </w:rPr>
      </w:pPr>
      <w:r w:rsidRPr="004B030C">
        <w:rPr>
          <w:rFonts w:eastAsia="ＭＳ 明朝"/>
          <w:b/>
          <w:sz w:val="28"/>
          <w:szCs w:val="28"/>
          <w:lang w:eastAsia="ja-JP"/>
        </w:rPr>
        <w:t>Introduction</w:t>
      </w:r>
    </w:p>
    <w:p w14:paraId="425ACB19" w14:textId="60FD2466" w:rsidR="00A20AC7" w:rsidRDefault="00A20AC7" w:rsidP="00A20AC7">
      <w:pPr>
        <w:rPr>
          <w:rFonts w:eastAsia="MS Mincho"/>
          <w:lang w:eastAsia="ja-JP"/>
        </w:rPr>
      </w:pPr>
      <w:r>
        <w:rPr>
          <w:lang w:eastAsia="ja-JP"/>
        </w:rPr>
        <w:t xml:space="preserve">My paper is about </w:t>
      </w:r>
      <w:r w:rsidRPr="00A73797">
        <w:rPr>
          <w:lang w:eastAsia="ja-JP"/>
        </w:rPr>
        <w:t>Taiwan floral chintz (</w:t>
      </w:r>
      <w:r w:rsidRPr="00513453">
        <w:rPr>
          <w:sz w:val="20"/>
          <w:szCs w:val="20"/>
          <w:lang w:eastAsia="ja-JP"/>
        </w:rPr>
        <w:t>台灣花布</w:t>
      </w:r>
      <w:r w:rsidRPr="00A73797">
        <w:rPr>
          <w:rFonts w:eastAsia="MS Mincho"/>
          <w:lang w:eastAsia="ja-JP"/>
        </w:rPr>
        <w:t xml:space="preserve">) and its </w:t>
      </w:r>
      <w:r w:rsidR="00566B0A">
        <w:rPr>
          <w:rFonts w:eastAsia="MS Mincho"/>
          <w:lang w:eastAsia="ja-JP"/>
        </w:rPr>
        <w:t xml:space="preserve">use </w:t>
      </w:r>
      <w:r>
        <w:rPr>
          <w:rFonts w:eastAsia="MS Mincho"/>
          <w:lang w:eastAsia="ja-JP"/>
        </w:rPr>
        <w:t xml:space="preserve">in </w:t>
      </w:r>
      <w:r w:rsidRPr="00A73797">
        <w:rPr>
          <w:rFonts w:eastAsia="MS Mincho"/>
          <w:lang w:eastAsia="ja-JP"/>
        </w:rPr>
        <w:t xml:space="preserve">new craft-design products </w:t>
      </w:r>
      <w:r>
        <w:rPr>
          <w:rFonts w:eastAsia="MS Mincho"/>
          <w:lang w:eastAsia="ja-JP"/>
        </w:rPr>
        <w:t xml:space="preserve">which are omnipresent in interiors of commercial premises as </w:t>
      </w:r>
      <w:r w:rsidR="00566B0A">
        <w:rPr>
          <w:rFonts w:eastAsia="MS Mincho"/>
          <w:lang w:eastAsia="ja-JP"/>
        </w:rPr>
        <w:t xml:space="preserve">well as </w:t>
      </w:r>
      <w:r>
        <w:rPr>
          <w:rFonts w:eastAsia="MS Mincho"/>
          <w:lang w:eastAsia="ja-JP"/>
        </w:rPr>
        <w:t xml:space="preserve">goods sold in shops, museums and airport.  Its visibility has been noticed </w:t>
      </w:r>
      <w:r w:rsidR="00566B0A">
        <w:rPr>
          <w:rFonts w:eastAsia="MS Mincho"/>
          <w:lang w:eastAsia="ja-JP"/>
        </w:rPr>
        <w:t xml:space="preserve">first </w:t>
      </w:r>
      <w:r>
        <w:rPr>
          <w:rFonts w:eastAsia="MS Mincho"/>
          <w:lang w:eastAsia="ja-JP"/>
        </w:rPr>
        <w:t xml:space="preserve">in international art scenes and </w:t>
      </w:r>
      <w:r w:rsidR="00566B0A">
        <w:rPr>
          <w:rFonts w:eastAsia="MS Mincho"/>
          <w:lang w:eastAsia="ja-JP"/>
        </w:rPr>
        <w:t xml:space="preserve">that has been caught up by the </w:t>
      </w:r>
      <w:r>
        <w:rPr>
          <w:rFonts w:eastAsia="MS Mincho"/>
          <w:lang w:eastAsia="ja-JP"/>
        </w:rPr>
        <w:t xml:space="preserve">cultural creative industry that has been promoted since the </w:t>
      </w:r>
      <w:r w:rsidR="00DC3C4D">
        <w:rPr>
          <w:rFonts w:eastAsia="MS Mincho"/>
          <w:lang w:eastAsia="ja-JP"/>
        </w:rPr>
        <w:t xml:space="preserve">previous </w:t>
      </w:r>
      <w:r>
        <w:rPr>
          <w:rFonts w:eastAsia="MS Mincho"/>
          <w:lang w:eastAsia="ja-JP"/>
        </w:rPr>
        <w:t xml:space="preserve">DPP government, and has continuously developed to the present.  </w:t>
      </w:r>
      <w:r w:rsidR="00B16D9C">
        <w:rPr>
          <w:rFonts w:eastAsia="MS Mincho"/>
          <w:lang w:eastAsia="ja-JP"/>
        </w:rPr>
        <w:t>Since 2000, there are several exhibitions on and related to Taiwan floral chintz, several books and catalogues of patterns as well as academic thesis have been</w:t>
      </w:r>
      <w:r w:rsidR="00CA6896">
        <w:rPr>
          <w:rFonts w:eastAsia="MS Mincho"/>
          <w:lang w:eastAsia="ja-JP"/>
        </w:rPr>
        <w:t xml:space="preserve"> written, and numerous</w:t>
      </w:r>
      <w:r w:rsidR="00B16D9C">
        <w:rPr>
          <w:rFonts w:eastAsia="MS Mincho"/>
          <w:lang w:eastAsia="ja-JP"/>
        </w:rPr>
        <w:t xml:space="preserve"> new interior accessories and </w:t>
      </w:r>
      <w:r w:rsidR="00CA6896">
        <w:rPr>
          <w:rFonts w:eastAsia="MS Mincho"/>
          <w:lang w:eastAsia="ja-JP"/>
        </w:rPr>
        <w:t>design were produced as part of creative cultural industry.</w:t>
      </w:r>
      <w:r w:rsidR="0087630D">
        <w:rPr>
          <w:rFonts w:eastAsia="MS Mincho"/>
          <w:lang w:eastAsia="ja-JP"/>
        </w:rPr>
        <w:t xml:space="preserve"> (</w:t>
      </w:r>
      <w:r w:rsidR="0087630D" w:rsidRPr="0087630D">
        <w:rPr>
          <w:rFonts w:eastAsia="MS Mincho"/>
          <w:b/>
          <w:lang w:eastAsia="ja-JP"/>
        </w:rPr>
        <w:t>Fig.</w:t>
      </w:r>
      <w:r w:rsidR="0087630D">
        <w:rPr>
          <w:rFonts w:eastAsia="MS Mincho"/>
          <w:lang w:eastAsia="ja-JP"/>
        </w:rPr>
        <w:t xml:space="preserve"> shop and products and book covers)</w:t>
      </w:r>
      <w:r w:rsidR="00B16D9C">
        <w:rPr>
          <w:rFonts w:eastAsia="MS Mincho"/>
          <w:lang w:eastAsia="ja-JP"/>
        </w:rPr>
        <w:t xml:space="preserve">  </w:t>
      </w:r>
      <w:r>
        <w:rPr>
          <w:rFonts w:eastAsia="MS Mincho"/>
          <w:lang w:eastAsia="ja-JP"/>
        </w:rPr>
        <w:t xml:space="preserve">I will discuss this cultural phenomenon from </w:t>
      </w:r>
      <w:r w:rsidR="00BA059C">
        <w:rPr>
          <w:rFonts w:eastAsia="MS Mincho"/>
          <w:lang w:eastAsia="ja-JP"/>
        </w:rPr>
        <w:t xml:space="preserve">a design </w:t>
      </w:r>
      <w:r>
        <w:rPr>
          <w:rFonts w:eastAsia="MS Mincho"/>
          <w:lang w:eastAsia="ja-JP"/>
        </w:rPr>
        <w:t xml:space="preserve">historian’s perspective, </w:t>
      </w:r>
      <w:r w:rsidR="00BA059C">
        <w:rPr>
          <w:rFonts w:eastAsia="MS Mincho"/>
          <w:lang w:eastAsia="ja-JP"/>
        </w:rPr>
        <w:t>but also give analytical thoughts on cultural a</w:t>
      </w:r>
      <w:r w:rsidR="00981510">
        <w:rPr>
          <w:rFonts w:eastAsia="MS Mincho"/>
          <w:lang w:eastAsia="ja-JP"/>
        </w:rPr>
        <w:t>nd political implications, in view of</w:t>
      </w:r>
      <w:r w:rsidR="00BA059C">
        <w:rPr>
          <w:rFonts w:eastAsia="MS Mincho"/>
          <w:lang w:eastAsia="ja-JP"/>
        </w:rPr>
        <w:t xml:space="preserve"> Taiwan’s ever more ambiguous </w:t>
      </w:r>
      <w:r w:rsidR="00981510">
        <w:rPr>
          <w:rFonts w:eastAsia="MS Mincho"/>
          <w:lang w:eastAsia="ja-JP"/>
        </w:rPr>
        <w:t xml:space="preserve">political </w:t>
      </w:r>
      <w:r w:rsidR="00BA059C">
        <w:rPr>
          <w:rFonts w:eastAsia="MS Mincho"/>
          <w:lang w:eastAsia="ja-JP"/>
        </w:rPr>
        <w:t xml:space="preserve">position in the </w:t>
      </w:r>
      <w:r w:rsidR="00981510">
        <w:rPr>
          <w:rFonts w:eastAsia="MS Mincho"/>
          <w:lang w:eastAsia="ja-JP"/>
        </w:rPr>
        <w:t xml:space="preserve">current </w:t>
      </w:r>
      <w:r w:rsidR="00BA059C">
        <w:rPr>
          <w:rFonts w:eastAsia="MS Mincho"/>
          <w:lang w:eastAsia="ja-JP"/>
        </w:rPr>
        <w:t>world order.</w:t>
      </w:r>
    </w:p>
    <w:p w14:paraId="7CC4AC58" w14:textId="77777777" w:rsidR="00A20AC7" w:rsidRDefault="00A20AC7" w:rsidP="00A20AC7">
      <w:pPr>
        <w:rPr>
          <w:rFonts w:eastAsia="MS Mincho"/>
          <w:lang w:eastAsia="ja-JP"/>
        </w:rPr>
      </w:pPr>
    </w:p>
    <w:p w14:paraId="7BC308A5" w14:textId="77777777" w:rsidR="00B21BA0" w:rsidRDefault="00B21BA0" w:rsidP="00A20AC7">
      <w:pPr>
        <w:rPr>
          <w:rFonts w:eastAsia="MS Mincho"/>
          <w:b/>
          <w:sz w:val="28"/>
          <w:szCs w:val="28"/>
          <w:lang w:eastAsia="ja-JP"/>
        </w:rPr>
      </w:pPr>
    </w:p>
    <w:p w14:paraId="358DECC7" w14:textId="60AFBDB2" w:rsidR="00BA059C" w:rsidRPr="004B030C" w:rsidRDefault="00043F0A" w:rsidP="00A20AC7">
      <w:pPr>
        <w:rPr>
          <w:rFonts w:eastAsia="MS Mincho"/>
          <w:b/>
          <w:sz w:val="28"/>
          <w:szCs w:val="28"/>
          <w:lang w:eastAsia="ja-JP"/>
        </w:rPr>
      </w:pPr>
      <w:r>
        <w:rPr>
          <w:rFonts w:eastAsia="MS Mincho"/>
          <w:b/>
          <w:sz w:val="28"/>
          <w:szCs w:val="28"/>
          <w:lang w:eastAsia="ja-JP"/>
        </w:rPr>
        <w:t>Taiwan Floral Chintz</w:t>
      </w:r>
      <w:r w:rsidR="00B21BA0">
        <w:rPr>
          <w:rFonts w:eastAsia="MS Mincho"/>
          <w:b/>
          <w:sz w:val="28"/>
          <w:szCs w:val="28"/>
          <w:lang w:eastAsia="ja-JP"/>
        </w:rPr>
        <w:t xml:space="preserve"> as </w:t>
      </w:r>
      <w:r w:rsidR="00BA059C" w:rsidRPr="004B030C">
        <w:rPr>
          <w:rFonts w:eastAsia="MS Mincho"/>
          <w:b/>
          <w:sz w:val="28"/>
          <w:szCs w:val="28"/>
          <w:lang w:eastAsia="ja-JP"/>
        </w:rPr>
        <w:t>Re</w:t>
      </w:r>
      <w:r w:rsidR="00B21BA0">
        <w:rPr>
          <w:rFonts w:eastAsia="MS Mincho"/>
          <w:b/>
          <w:sz w:val="28"/>
          <w:szCs w:val="28"/>
          <w:lang w:eastAsia="ja-JP"/>
        </w:rPr>
        <w:t>gional-National-Transnational Tradition</w:t>
      </w:r>
    </w:p>
    <w:p w14:paraId="510D3772" w14:textId="77777777" w:rsidR="00B21BA0" w:rsidRDefault="00B21BA0" w:rsidP="00A20AC7">
      <w:pPr>
        <w:rPr>
          <w:rFonts w:eastAsia="MS Mincho"/>
          <w:lang w:eastAsia="ja-JP"/>
        </w:rPr>
      </w:pPr>
    </w:p>
    <w:p w14:paraId="216E4222" w14:textId="77777777" w:rsidR="00B21BA0" w:rsidRPr="00B21BA0" w:rsidRDefault="00B21BA0" w:rsidP="00A20AC7">
      <w:pPr>
        <w:rPr>
          <w:rFonts w:eastAsia="MS Mincho"/>
          <w:b/>
          <w:lang w:eastAsia="ja-JP"/>
        </w:rPr>
      </w:pPr>
      <w:r w:rsidRPr="00B21BA0">
        <w:rPr>
          <w:rFonts w:eastAsia="MS Mincho"/>
          <w:b/>
          <w:lang w:eastAsia="ja-JP"/>
        </w:rPr>
        <w:t>Michael Lin’s Art of Taiwan Flora Chintz</w:t>
      </w:r>
    </w:p>
    <w:p w14:paraId="31481F53" w14:textId="3B6E6BE9" w:rsidR="00BE7005" w:rsidRDefault="00A20AC7" w:rsidP="00A20AC7">
      <w:pPr>
        <w:rPr>
          <w:rFonts w:eastAsia="MS Mincho"/>
          <w:lang w:eastAsia="ja-JP"/>
        </w:rPr>
      </w:pPr>
      <w:r w:rsidRPr="00A73797">
        <w:rPr>
          <w:rFonts w:eastAsia="MS Mincho"/>
          <w:lang w:eastAsia="ja-JP"/>
        </w:rPr>
        <w:t xml:space="preserve">The artist Michael Lin </w:t>
      </w:r>
      <w:r>
        <w:rPr>
          <w:rFonts w:eastAsia="MS Mincho"/>
          <w:lang w:eastAsia="ja-JP"/>
        </w:rPr>
        <w:t>(Lin Minghong</w:t>
      </w:r>
      <w:r w:rsidR="00095782" w:rsidRPr="001D2625">
        <w:rPr>
          <w:rFonts w:ascii="ＭＳ 明朝" w:eastAsia="ＭＳ 明朝" w:hAnsi="ＭＳ 明朝" w:cs="ＭＳ 明朝" w:hint="eastAsia"/>
          <w:sz w:val="20"/>
          <w:szCs w:val="20"/>
          <w:lang w:eastAsia="ja-JP"/>
        </w:rPr>
        <w:t>林明弘</w:t>
      </w:r>
      <w:r>
        <w:rPr>
          <w:rFonts w:eastAsia="MS Mincho"/>
          <w:lang w:eastAsia="ja-JP"/>
        </w:rPr>
        <w:t xml:space="preserve">) </w:t>
      </w:r>
      <w:r w:rsidR="00BA059C">
        <w:rPr>
          <w:rFonts w:eastAsia="MS Mincho"/>
          <w:lang w:eastAsia="ja-JP"/>
        </w:rPr>
        <w:t xml:space="preserve">created dramatic spatial installation by using this fabric at the Taipei Biennial in 2000. </w:t>
      </w:r>
      <w:r w:rsidR="0087630D">
        <w:rPr>
          <w:rFonts w:eastAsia="MS Mincho"/>
          <w:lang w:eastAsia="ja-JP"/>
        </w:rPr>
        <w:t>(</w:t>
      </w:r>
      <w:r w:rsidR="0087630D" w:rsidRPr="0087630D">
        <w:rPr>
          <w:rFonts w:eastAsia="MS Mincho"/>
          <w:b/>
          <w:lang w:eastAsia="ja-JP"/>
        </w:rPr>
        <w:t>Fig.)</w:t>
      </w:r>
      <w:r w:rsidR="00BA059C">
        <w:rPr>
          <w:rFonts w:eastAsia="MS Mincho"/>
          <w:lang w:eastAsia="ja-JP"/>
        </w:rPr>
        <w:t xml:space="preserve"> </w:t>
      </w:r>
      <w:r w:rsidR="00B102ED">
        <w:rPr>
          <w:rFonts w:eastAsia="MS Mincho"/>
          <w:lang w:eastAsia="ja-JP"/>
        </w:rPr>
        <w:t xml:space="preserve">He had been warming this idea in a smaller installations for a few years before that, but this was the first largest work.  </w:t>
      </w:r>
      <w:r w:rsidR="00FB3673">
        <w:rPr>
          <w:rFonts w:eastAsia="ＭＳ 明朝"/>
          <w:lang w:eastAsia="ja-JP"/>
        </w:rPr>
        <w:t xml:space="preserve">He is the spark plug of this </w:t>
      </w:r>
      <w:r w:rsidR="00B102ED">
        <w:rPr>
          <w:rFonts w:eastAsia="ＭＳ 明朝"/>
          <w:lang w:eastAsia="ja-JP"/>
        </w:rPr>
        <w:t xml:space="preserve">Taiwan floral Chintz </w:t>
      </w:r>
      <w:r w:rsidR="00FB3673">
        <w:rPr>
          <w:rFonts w:eastAsia="ＭＳ 明朝"/>
          <w:lang w:eastAsia="ja-JP"/>
        </w:rPr>
        <w:t>phenomenon</w:t>
      </w:r>
      <w:r w:rsidR="00B102ED">
        <w:rPr>
          <w:rFonts w:eastAsia="ＭＳ 明朝"/>
          <w:lang w:eastAsia="ja-JP"/>
        </w:rPr>
        <w:t xml:space="preserve"> lasting since then</w:t>
      </w:r>
      <w:r w:rsidR="00FB3673">
        <w:rPr>
          <w:rFonts w:eastAsia="ＭＳ 明朝"/>
          <w:lang w:eastAsia="ja-JP"/>
        </w:rPr>
        <w:t>.</w:t>
      </w:r>
      <w:r w:rsidR="00FB3673">
        <w:rPr>
          <w:rStyle w:val="EndnoteReference"/>
          <w:rFonts w:eastAsia="ＭＳ 明朝"/>
          <w:lang w:eastAsia="ja-JP"/>
        </w:rPr>
        <w:endnoteReference w:id="1"/>
      </w:r>
      <w:r w:rsidR="00FB3673">
        <w:rPr>
          <w:rFonts w:eastAsia="ＭＳ 明朝"/>
          <w:lang w:eastAsia="ja-JP"/>
        </w:rPr>
        <w:t xml:space="preserve"> </w:t>
      </w:r>
      <w:r w:rsidR="00B102ED">
        <w:rPr>
          <w:rFonts w:eastAsia="ＭＳ 明朝"/>
          <w:lang w:eastAsia="ja-JP"/>
        </w:rPr>
        <w:t xml:space="preserve"> </w:t>
      </w:r>
      <w:r w:rsidR="00BA059C">
        <w:rPr>
          <w:rFonts w:eastAsia="MS Mincho"/>
          <w:lang w:eastAsia="ja-JP"/>
        </w:rPr>
        <w:t>He covered the entire entrance foyer spac</w:t>
      </w:r>
      <w:r w:rsidR="00D74C7F">
        <w:rPr>
          <w:rFonts w:eastAsia="MS Mincho"/>
          <w:lang w:eastAsia="ja-JP"/>
        </w:rPr>
        <w:t>e of TFAM with this vividly pink</w:t>
      </w:r>
      <w:r w:rsidR="00BA059C">
        <w:rPr>
          <w:rFonts w:eastAsia="MS Mincho"/>
          <w:lang w:eastAsia="ja-JP"/>
        </w:rPr>
        <w:t xml:space="preserve"> </w:t>
      </w:r>
      <w:r w:rsidR="00D74C7F">
        <w:rPr>
          <w:rFonts w:eastAsia="MS Mincho"/>
          <w:lang w:eastAsia="ja-JP"/>
        </w:rPr>
        <w:t>f</w:t>
      </w:r>
      <w:r w:rsidR="00BA059C">
        <w:rPr>
          <w:rFonts w:eastAsia="MS Mincho"/>
          <w:lang w:eastAsia="ja-JP"/>
        </w:rPr>
        <w:t>abric</w:t>
      </w:r>
      <w:r w:rsidR="007C69BD">
        <w:rPr>
          <w:rFonts w:eastAsia="MS Mincho"/>
          <w:lang w:eastAsia="ja-JP"/>
        </w:rPr>
        <w:t xml:space="preserve">.  The visual power of colors and decoration </w:t>
      </w:r>
      <w:r w:rsidR="00BA059C">
        <w:rPr>
          <w:rFonts w:eastAsia="MS Mincho"/>
          <w:lang w:eastAsia="ja-JP"/>
        </w:rPr>
        <w:t>transformed the Moder</w:t>
      </w:r>
      <w:r w:rsidR="00D12D43">
        <w:rPr>
          <w:rFonts w:eastAsia="MS Mincho"/>
          <w:lang w:eastAsia="ja-JP"/>
        </w:rPr>
        <w:t xml:space="preserve">nist white cube into a </w:t>
      </w:r>
      <w:r w:rsidR="00994869">
        <w:rPr>
          <w:rFonts w:eastAsia="MS Mincho"/>
          <w:lang w:eastAsia="ja-JP"/>
        </w:rPr>
        <w:t>refreshingly</w:t>
      </w:r>
      <w:r w:rsidR="00D12D43">
        <w:rPr>
          <w:rFonts w:eastAsia="MS Mincho"/>
          <w:lang w:eastAsia="ja-JP"/>
        </w:rPr>
        <w:t xml:space="preserve"> warm </w:t>
      </w:r>
      <w:r w:rsidR="007C69BD">
        <w:rPr>
          <w:rFonts w:eastAsia="MS Mincho"/>
          <w:lang w:eastAsia="ja-JP"/>
        </w:rPr>
        <w:t xml:space="preserve">people’s </w:t>
      </w:r>
      <w:r w:rsidR="00BE7005">
        <w:rPr>
          <w:rFonts w:eastAsia="MS Mincho"/>
          <w:lang w:eastAsia="ja-JP"/>
        </w:rPr>
        <w:t xml:space="preserve">everyday </w:t>
      </w:r>
      <w:r w:rsidR="007C69BD">
        <w:rPr>
          <w:rFonts w:eastAsia="MS Mincho"/>
          <w:lang w:eastAsia="ja-JP"/>
        </w:rPr>
        <w:t>space of relaxati</w:t>
      </w:r>
      <w:bookmarkStart w:id="0" w:name="_GoBack"/>
      <w:bookmarkEnd w:id="0"/>
      <w:r w:rsidR="007C69BD">
        <w:rPr>
          <w:rFonts w:eastAsia="MS Mincho"/>
          <w:lang w:eastAsia="ja-JP"/>
        </w:rPr>
        <w:t>on</w:t>
      </w:r>
      <w:r w:rsidR="00D12D43">
        <w:rPr>
          <w:rFonts w:eastAsia="MS Mincho"/>
          <w:lang w:eastAsia="ja-JP"/>
        </w:rPr>
        <w:t xml:space="preserve">.  </w:t>
      </w:r>
      <w:r w:rsidR="007E78B6">
        <w:rPr>
          <w:rFonts w:eastAsia="MS Mincho"/>
          <w:lang w:eastAsia="ja-JP"/>
        </w:rPr>
        <w:t>As Lin</w:t>
      </w:r>
      <w:r w:rsidR="00190EE9">
        <w:rPr>
          <w:rFonts w:eastAsia="MS Mincho"/>
          <w:lang w:eastAsia="ja-JP"/>
        </w:rPr>
        <w:t xml:space="preserve"> expected </w:t>
      </w:r>
      <w:r w:rsidR="007E78B6">
        <w:rPr>
          <w:rFonts w:eastAsia="MS Mincho"/>
          <w:lang w:eastAsia="ja-JP"/>
        </w:rPr>
        <w:t>his work to be ‘</w:t>
      </w:r>
      <w:r w:rsidR="00190EE9">
        <w:rPr>
          <w:rFonts w:eastAsia="MS Mincho"/>
          <w:lang w:eastAsia="ja-JP"/>
        </w:rPr>
        <w:t>pleasant, warm and welcoming’</w:t>
      </w:r>
      <w:r w:rsidR="00190EE9">
        <w:rPr>
          <w:rStyle w:val="EndnoteReference"/>
          <w:rFonts w:eastAsia="MS Mincho"/>
          <w:lang w:eastAsia="ja-JP"/>
        </w:rPr>
        <w:endnoteReference w:id="2"/>
      </w:r>
      <w:r w:rsidR="00190EE9">
        <w:rPr>
          <w:rFonts w:eastAsia="MS Mincho"/>
          <w:lang w:eastAsia="ja-JP"/>
        </w:rPr>
        <w:t>, v</w:t>
      </w:r>
      <w:r w:rsidR="007C69BD">
        <w:rPr>
          <w:rFonts w:eastAsia="MS Mincho"/>
          <w:lang w:eastAsia="ja-JP"/>
        </w:rPr>
        <w:t>isitors imm</w:t>
      </w:r>
      <w:r w:rsidR="00994869">
        <w:rPr>
          <w:rFonts w:eastAsia="MS Mincho"/>
          <w:lang w:eastAsia="ja-JP"/>
        </w:rPr>
        <w:t>ediately occupied the space, mad</w:t>
      </w:r>
      <w:r w:rsidR="007C69BD">
        <w:rPr>
          <w:rFonts w:eastAsia="MS Mincho"/>
          <w:lang w:eastAsia="ja-JP"/>
        </w:rPr>
        <w:t xml:space="preserve">e themselves comfortable, lie down, squat, sat down, chat with friends and family, and children running around in his space.  </w:t>
      </w:r>
      <w:r w:rsidR="00BE7005">
        <w:rPr>
          <w:rFonts w:eastAsia="MS Mincho"/>
          <w:lang w:eastAsia="ja-JP"/>
        </w:rPr>
        <w:t xml:space="preserve">His art </w:t>
      </w:r>
      <w:r w:rsidR="007C69BD">
        <w:rPr>
          <w:rFonts w:eastAsia="MS Mincho"/>
          <w:lang w:eastAsia="ja-JP"/>
        </w:rPr>
        <w:t xml:space="preserve">also </w:t>
      </w:r>
      <w:r w:rsidR="00BE7005">
        <w:rPr>
          <w:rFonts w:eastAsia="MS Mincho"/>
          <w:lang w:eastAsia="ja-JP"/>
        </w:rPr>
        <w:t xml:space="preserve">evokes emotional expressions which appealed to </w:t>
      </w:r>
      <w:r w:rsidR="002E638E">
        <w:rPr>
          <w:rFonts w:eastAsia="MS Mincho"/>
          <w:lang w:eastAsia="ja-JP"/>
        </w:rPr>
        <w:t>a collective memory of Taiwan</w:t>
      </w:r>
      <w:r w:rsidR="00190EE9">
        <w:rPr>
          <w:rFonts w:eastAsia="MS Mincho"/>
          <w:lang w:eastAsia="ja-JP"/>
        </w:rPr>
        <w:t xml:space="preserve"> that was also his intention of his art to be ‘specific’</w:t>
      </w:r>
      <w:r w:rsidR="002E638E">
        <w:rPr>
          <w:rFonts w:eastAsia="MS Mincho"/>
          <w:lang w:eastAsia="ja-JP"/>
        </w:rPr>
        <w:t>.</w:t>
      </w:r>
      <w:r w:rsidR="00190EE9">
        <w:rPr>
          <w:rStyle w:val="EndnoteReference"/>
          <w:rFonts w:eastAsia="MS Mincho"/>
          <w:lang w:eastAsia="ja-JP"/>
        </w:rPr>
        <w:endnoteReference w:id="3"/>
      </w:r>
      <w:r w:rsidR="00095782">
        <w:rPr>
          <w:rFonts w:eastAsia="MS Mincho"/>
          <w:lang w:eastAsia="ja-JP"/>
        </w:rPr>
        <w:t xml:space="preserve">  His art of floral chintz has been very successful in impressing the international audience with ‘Taiwaneseness’ at such exhibitions as </w:t>
      </w:r>
      <w:r w:rsidR="00BE7005">
        <w:rPr>
          <w:rFonts w:eastAsia="MS Mincho"/>
          <w:lang w:eastAsia="ja-JP"/>
        </w:rPr>
        <w:t>Venice Biennial (2001) which was followed by many exhibi</w:t>
      </w:r>
      <w:r w:rsidR="00655DB9">
        <w:rPr>
          <w:rFonts w:eastAsia="MS Mincho"/>
          <w:lang w:eastAsia="ja-JP"/>
        </w:rPr>
        <w:t xml:space="preserve">tions in Europe and Japan.  </w:t>
      </w:r>
    </w:p>
    <w:p w14:paraId="769B6D71" w14:textId="77777777" w:rsidR="00095782" w:rsidRDefault="00095782" w:rsidP="00A20AC7">
      <w:pPr>
        <w:rPr>
          <w:rFonts w:eastAsia="MS Mincho"/>
          <w:lang w:eastAsia="ja-JP"/>
        </w:rPr>
      </w:pPr>
    </w:p>
    <w:p w14:paraId="3BE7AD24" w14:textId="07F6CB77" w:rsidR="006B51C6" w:rsidRPr="004E0B87" w:rsidRDefault="00190EE9" w:rsidP="00A20AC7">
      <w:pPr>
        <w:rPr>
          <w:rFonts w:eastAsia="MS Mincho"/>
          <w:lang w:eastAsia="ja-JP"/>
        </w:rPr>
      </w:pPr>
      <w:r>
        <w:rPr>
          <w:rFonts w:eastAsia="MS Mincho"/>
          <w:lang w:eastAsia="ja-JP"/>
        </w:rPr>
        <w:t>Although Lin is identified as a ‘Taiwanese artist’ and</w:t>
      </w:r>
      <w:r w:rsidR="00095782" w:rsidRPr="00F24E17">
        <w:rPr>
          <w:rFonts w:eastAsia="MS Mincho"/>
          <w:lang w:eastAsia="ja-JP"/>
        </w:rPr>
        <w:t xml:space="preserve"> </w:t>
      </w:r>
      <w:r>
        <w:rPr>
          <w:rFonts w:eastAsia="MS Mincho"/>
          <w:lang w:eastAsia="ja-JP"/>
        </w:rPr>
        <w:t xml:space="preserve">his </w:t>
      </w:r>
      <w:r w:rsidR="00095782" w:rsidRPr="00F24E17">
        <w:rPr>
          <w:rFonts w:eastAsia="MS Mincho"/>
          <w:lang w:eastAsia="ja-JP"/>
        </w:rPr>
        <w:t>art is associated with Taiwan</w:t>
      </w:r>
      <w:r>
        <w:rPr>
          <w:rFonts w:eastAsia="MS Mincho"/>
          <w:lang w:eastAsia="ja-JP"/>
        </w:rPr>
        <w:t>ese culture</w:t>
      </w:r>
      <w:r w:rsidR="00095782" w:rsidRPr="00F24E17">
        <w:rPr>
          <w:rFonts w:eastAsia="MS Mincho"/>
          <w:lang w:eastAsia="ja-JP"/>
        </w:rPr>
        <w:t xml:space="preserve">, it is ironic though, he’s not really rooted in Taiwan. </w:t>
      </w:r>
      <w:r w:rsidR="00095782" w:rsidRPr="00F24E17">
        <w:rPr>
          <w:lang w:eastAsia="ja-JP"/>
        </w:rPr>
        <w:t xml:space="preserve"> He is </w:t>
      </w:r>
      <w:r w:rsidR="00095782" w:rsidRPr="00F24E17">
        <w:rPr>
          <w:rFonts w:eastAsia="ＭＳ 明朝"/>
          <w:lang w:eastAsia="ja-JP"/>
        </w:rPr>
        <w:t xml:space="preserve">regarded in Taiwan as ‘foreigner’ called ‘trapeze artists’ </w:t>
      </w:r>
      <w:r w:rsidR="00095782" w:rsidRPr="00F24E17">
        <w:rPr>
          <w:rFonts w:eastAsia="ＭＳ 明朝"/>
          <w:lang w:eastAsia="ja-JP"/>
        </w:rPr>
        <w:t>（</w:t>
      </w:r>
      <w:r w:rsidR="00095782" w:rsidRPr="001D2625">
        <w:rPr>
          <w:rFonts w:eastAsia="ＭＳ 明朝"/>
          <w:sz w:val="20"/>
          <w:szCs w:val="20"/>
          <w:lang w:eastAsia="ja-JP"/>
        </w:rPr>
        <w:t>空中飛人</w:t>
      </w:r>
      <w:r w:rsidR="00095782" w:rsidRPr="00F24E17">
        <w:rPr>
          <w:rFonts w:eastAsia="ＭＳ 明朝"/>
          <w:lang w:eastAsia="ja-JP"/>
        </w:rPr>
        <w:t>）</w:t>
      </w:r>
      <w:r w:rsidR="00095782" w:rsidRPr="00F24E17">
        <w:rPr>
          <w:rFonts w:eastAsia="ＭＳ 明朝"/>
          <w:lang w:eastAsia="ja-JP"/>
        </w:rPr>
        <w:t>belonging to no specific place.</w:t>
      </w:r>
      <w:r w:rsidR="00095782" w:rsidRPr="00F24E17">
        <w:rPr>
          <w:rStyle w:val="EndnoteReference"/>
          <w:rFonts w:eastAsia="ＭＳ 明朝"/>
          <w:lang w:eastAsia="ja-JP"/>
        </w:rPr>
        <w:endnoteReference w:id="4"/>
      </w:r>
      <w:r w:rsidR="00095782" w:rsidRPr="00F24E17">
        <w:rPr>
          <w:rFonts w:eastAsia="ＭＳ 明朝"/>
          <w:lang w:eastAsia="ja-JP"/>
        </w:rPr>
        <w:t xml:space="preserve">  Lin</w:t>
      </w:r>
      <w:r w:rsidR="003A5B0A">
        <w:rPr>
          <w:rFonts w:eastAsia="ＭＳ 明朝"/>
          <w:lang w:eastAsia="ja-JP"/>
        </w:rPr>
        <w:t xml:space="preserve">, a grandson of a key cultural </w:t>
      </w:r>
      <w:r w:rsidR="006D6572">
        <w:rPr>
          <w:rFonts w:eastAsia="ＭＳ 明朝"/>
          <w:lang w:eastAsia="ja-JP"/>
        </w:rPr>
        <w:t xml:space="preserve">and political Taiwanese elite during the colonial Taiwan </w:t>
      </w:r>
      <w:r w:rsidR="003A5B0A">
        <w:rPr>
          <w:rFonts w:eastAsia="ＭＳ 明朝"/>
          <w:lang w:eastAsia="ja-JP"/>
        </w:rPr>
        <w:t xml:space="preserve">Lin </w:t>
      </w:r>
      <w:r w:rsidR="006D6572">
        <w:rPr>
          <w:rFonts w:eastAsia="ＭＳ 明朝"/>
          <w:lang w:eastAsia="ja-JP"/>
        </w:rPr>
        <w:t>Hsien-t’ang (Lin Xiantang</w:t>
      </w:r>
      <w:r w:rsidR="003A5B0A" w:rsidRPr="000F4C4A">
        <w:rPr>
          <w:rFonts w:eastAsia="ＭＳ 明朝" w:cs="ＭＳ 明朝"/>
          <w:sz w:val="20"/>
          <w:szCs w:val="20"/>
          <w:lang w:eastAsia="ja-JP"/>
        </w:rPr>
        <w:t>林献堂</w:t>
      </w:r>
      <w:r w:rsidR="006D6572" w:rsidRPr="006D6572">
        <w:rPr>
          <w:rFonts w:eastAsia="ＭＳ 明朝"/>
          <w:lang w:eastAsia="ja-JP"/>
        </w:rPr>
        <w:t>)</w:t>
      </w:r>
      <w:r w:rsidR="003A5B0A" w:rsidRPr="006D6572">
        <w:rPr>
          <w:rFonts w:eastAsia="ＭＳ 明朝"/>
          <w:lang w:eastAsia="ja-JP"/>
        </w:rPr>
        <w:t>,</w:t>
      </w:r>
      <w:r w:rsidR="00095782" w:rsidRPr="006D6572">
        <w:rPr>
          <w:rFonts w:eastAsia="ＭＳ 明朝"/>
          <w:lang w:eastAsia="ja-JP"/>
        </w:rPr>
        <w:t xml:space="preserve"> </w:t>
      </w:r>
      <w:r w:rsidR="004E0B87">
        <w:rPr>
          <w:rFonts w:eastAsia="ＭＳ 明朝"/>
          <w:lang w:eastAsia="ja-JP"/>
        </w:rPr>
        <w:t xml:space="preserve">ethnically quarter Japanese </w:t>
      </w:r>
      <w:r w:rsidR="00095782" w:rsidRPr="00F24E17">
        <w:rPr>
          <w:rFonts w:eastAsia="MS Mincho"/>
          <w:lang w:eastAsia="ja-JP"/>
        </w:rPr>
        <w:t>was born in Tokyo in 1964, grew up in Taiwan until he moved to the USA in 1971, he was trained as an artist in Californ</w:t>
      </w:r>
      <w:r w:rsidR="00A95E2B" w:rsidRPr="00F24E17">
        <w:rPr>
          <w:rFonts w:eastAsia="MS Mincho"/>
          <w:lang w:eastAsia="ja-JP"/>
        </w:rPr>
        <w:t xml:space="preserve">ia, </w:t>
      </w:r>
      <w:r w:rsidR="00A95E2B" w:rsidRPr="00F24E17">
        <w:rPr>
          <w:rFonts w:eastAsia="MS Mincho"/>
          <w:lang w:eastAsia="ja-JP"/>
        </w:rPr>
        <w:lastRenderedPageBreak/>
        <w:t xml:space="preserve">married to a French </w:t>
      </w:r>
      <w:r w:rsidR="00095782" w:rsidRPr="00F24E17">
        <w:rPr>
          <w:rFonts w:eastAsia="MS Mincho"/>
          <w:lang w:eastAsia="ja-JP"/>
        </w:rPr>
        <w:t>living</w:t>
      </w:r>
      <w:r w:rsidR="00F24E17">
        <w:rPr>
          <w:rFonts w:eastAsia="MS Mincho"/>
          <w:lang w:eastAsia="ja-JP"/>
        </w:rPr>
        <w:t>, and now working</w:t>
      </w:r>
      <w:r w:rsidR="00095782" w:rsidRPr="00F24E17">
        <w:rPr>
          <w:rFonts w:eastAsia="MS Mincho"/>
          <w:lang w:eastAsia="ja-JP"/>
        </w:rPr>
        <w:t xml:space="preserve"> </w:t>
      </w:r>
      <w:r w:rsidR="00F24E17">
        <w:rPr>
          <w:rFonts w:eastAsia="MS Mincho"/>
          <w:lang w:eastAsia="ja-JP"/>
        </w:rPr>
        <w:t>between Sha</w:t>
      </w:r>
      <w:r w:rsidR="00C23A4C">
        <w:rPr>
          <w:rFonts w:eastAsia="MS Mincho"/>
          <w:lang w:eastAsia="ja-JP"/>
        </w:rPr>
        <w:t>n</w:t>
      </w:r>
      <w:r w:rsidR="00F24E17">
        <w:rPr>
          <w:rFonts w:eastAsia="MS Mincho"/>
          <w:lang w:eastAsia="ja-JP"/>
        </w:rPr>
        <w:t xml:space="preserve">ghai, </w:t>
      </w:r>
      <w:r w:rsidR="00A95E2B" w:rsidRPr="00F24E17">
        <w:rPr>
          <w:rFonts w:eastAsia="MS Mincho"/>
          <w:lang w:eastAsia="ja-JP"/>
        </w:rPr>
        <w:t>Tai</w:t>
      </w:r>
      <w:r w:rsidR="00F24E17">
        <w:rPr>
          <w:rFonts w:eastAsia="MS Mincho"/>
          <w:lang w:eastAsia="ja-JP"/>
        </w:rPr>
        <w:t>pei and the Brussels.</w:t>
      </w:r>
      <w:r>
        <w:rPr>
          <w:rFonts w:eastAsia="MS Mincho"/>
          <w:lang w:eastAsia="ja-JP"/>
        </w:rPr>
        <w:t xml:space="preserve">  </w:t>
      </w:r>
      <w:r w:rsidR="007B6832">
        <w:rPr>
          <w:rFonts w:eastAsia="MS Mincho"/>
          <w:lang w:eastAsia="ja-JP"/>
        </w:rPr>
        <w:t xml:space="preserve">Therefore, </w:t>
      </w:r>
      <w:r w:rsidR="00C23A4C">
        <w:rPr>
          <w:rFonts w:eastAsia="MS Mincho"/>
          <w:lang w:eastAsia="ja-JP"/>
        </w:rPr>
        <w:t>Lin’s ‘specificity’ is vernacular to Taiwan, but also open to the world</w:t>
      </w:r>
      <w:r w:rsidR="007B6832">
        <w:rPr>
          <w:rFonts w:eastAsia="MS Mincho"/>
          <w:lang w:eastAsia="ja-JP"/>
        </w:rPr>
        <w:t xml:space="preserve"> and shared history</w:t>
      </w:r>
      <w:r w:rsidR="00C23A4C">
        <w:rPr>
          <w:rFonts w:eastAsia="MS Mincho"/>
          <w:lang w:eastAsia="ja-JP"/>
        </w:rPr>
        <w:t xml:space="preserve">. </w:t>
      </w:r>
      <w:r w:rsidR="0098083C">
        <w:rPr>
          <w:rFonts w:eastAsia="MS Mincho"/>
          <w:lang w:eastAsia="ja-JP"/>
        </w:rPr>
        <w:t xml:space="preserve"> As he explains, f</w:t>
      </w:r>
      <w:r w:rsidR="006732B1">
        <w:rPr>
          <w:rFonts w:eastAsia="MS Mincho"/>
          <w:lang w:eastAsia="ja-JP"/>
        </w:rPr>
        <w:t>loral prints existed everywhere in the world before the 18</w:t>
      </w:r>
      <w:r w:rsidR="006732B1" w:rsidRPr="006732B1">
        <w:rPr>
          <w:rFonts w:eastAsia="MS Mincho"/>
          <w:vertAlign w:val="superscript"/>
          <w:lang w:eastAsia="ja-JP"/>
        </w:rPr>
        <w:t>th</w:t>
      </w:r>
      <w:r w:rsidR="0098083C">
        <w:rPr>
          <w:rFonts w:eastAsia="MS Mincho"/>
          <w:lang w:eastAsia="ja-JP"/>
        </w:rPr>
        <w:t xml:space="preserve"> century industrial revolution.  There were vernaculars of flora prints across the world, but t</w:t>
      </w:r>
      <w:r w:rsidR="006732B1">
        <w:rPr>
          <w:rFonts w:eastAsia="MS Mincho"/>
          <w:lang w:eastAsia="ja-JP"/>
        </w:rPr>
        <w:t>heir patterns and techniques have all</w:t>
      </w:r>
      <w:r w:rsidR="0098083C">
        <w:rPr>
          <w:rFonts w:eastAsia="MS Mincho"/>
          <w:lang w:eastAsia="ja-JP"/>
        </w:rPr>
        <w:t xml:space="preserve"> been mixed up and hybridized through historical cultural dialogue over many centuries.</w:t>
      </w:r>
      <w:r w:rsidR="006732B1">
        <w:rPr>
          <w:rFonts w:eastAsia="MS Mincho"/>
          <w:lang w:eastAsia="ja-JP"/>
        </w:rPr>
        <w:t xml:space="preserve">  For example, the Dutch had acquired </w:t>
      </w:r>
      <w:r w:rsidR="005F3406">
        <w:rPr>
          <w:rFonts w:eastAsia="MS Mincho"/>
          <w:lang w:eastAsia="ja-JP"/>
        </w:rPr>
        <w:t xml:space="preserve">floral </w:t>
      </w:r>
      <w:r w:rsidR="006732B1">
        <w:rPr>
          <w:rFonts w:eastAsia="MS Mincho"/>
          <w:lang w:eastAsia="ja-JP"/>
        </w:rPr>
        <w:t>patterns and print</w:t>
      </w:r>
      <w:r w:rsidR="005F3406">
        <w:rPr>
          <w:rFonts w:eastAsia="MS Mincho"/>
          <w:lang w:eastAsia="ja-JP"/>
        </w:rPr>
        <w:t xml:space="preserve">ing technique of Indian chintz </w:t>
      </w:r>
      <w:r w:rsidR="0098083C">
        <w:rPr>
          <w:rFonts w:eastAsia="MS Mincho"/>
          <w:lang w:eastAsia="ja-JP"/>
        </w:rPr>
        <w:t xml:space="preserve">through </w:t>
      </w:r>
      <w:r w:rsidR="006732B1">
        <w:rPr>
          <w:rFonts w:eastAsia="MS Mincho"/>
          <w:lang w:eastAsia="ja-JP"/>
        </w:rPr>
        <w:t>trade</w:t>
      </w:r>
      <w:r w:rsidR="0098083C">
        <w:rPr>
          <w:rFonts w:eastAsia="MS Mincho"/>
          <w:lang w:eastAsia="ja-JP"/>
        </w:rPr>
        <w:t>s</w:t>
      </w:r>
      <w:r w:rsidR="006732B1">
        <w:rPr>
          <w:rFonts w:eastAsia="MS Mincho"/>
          <w:lang w:eastAsia="ja-JP"/>
        </w:rPr>
        <w:t xml:space="preserve"> with Asia by t</w:t>
      </w:r>
      <w:r w:rsidR="0098083C">
        <w:rPr>
          <w:rFonts w:eastAsia="MS Mincho"/>
          <w:lang w:eastAsia="ja-JP"/>
        </w:rPr>
        <w:t xml:space="preserve">he Dutch East India companies, and developed their vernacular.  Similarly, </w:t>
      </w:r>
      <w:r w:rsidR="006732B1">
        <w:rPr>
          <w:rFonts w:eastAsia="MS Mincho"/>
          <w:lang w:eastAsia="ja-JP"/>
        </w:rPr>
        <w:t>patterns and colours of Taiwanese floral chintz have much influenced by the Japanese floral pr</w:t>
      </w:r>
      <w:r w:rsidR="0098083C">
        <w:rPr>
          <w:rFonts w:eastAsia="MS Mincho"/>
          <w:lang w:eastAsia="ja-JP"/>
        </w:rPr>
        <w:t>ints that rooted in Taiwan’s colonial ties with Japan.</w:t>
      </w:r>
      <w:r w:rsidR="006732B1">
        <w:rPr>
          <w:rFonts w:eastAsia="MS Mincho"/>
          <w:lang w:eastAsia="ja-JP"/>
        </w:rPr>
        <w:t xml:space="preserve">  </w:t>
      </w:r>
      <w:r w:rsidR="0098083C">
        <w:rPr>
          <w:rFonts w:eastAsia="MS Mincho"/>
          <w:lang w:eastAsia="ja-JP"/>
        </w:rPr>
        <w:t xml:space="preserve">Lin’s </w:t>
      </w:r>
      <w:r w:rsidR="00D6765B">
        <w:rPr>
          <w:rFonts w:eastAsia="MS Mincho"/>
          <w:lang w:eastAsia="ja-JP"/>
        </w:rPr>
        <w:t>installation in the gallery space at the Kanazawa 21</w:t>
      </w:r>
      <w:r w:rsidR="00D6765B" w:rsidRPr="00D6765B">
        <w:rPr>
          <w:rFonts w:eastAsia="MS Mincho"/>
          <w:vertAlign w:val="superscript"/>
          <w:lang w:eastAsia="ja-JP"/>
        </w:rPr>
        <w:t>st</w:t>
      </w:r>
      <w:r w:rsidR="00D6765B">
        <w:rPr>
          <w:rFonts w:eastAsia="MS Mincho"/>
          <w:lang w:eastAsia="ja-JP"/>
        </w:rPr>
        <w:t xml:space="preserve"> Century Museum of Contemporary Art (2004-5) shows its similarities in subtle difference of </w:t>
      </w:r>
      <w:r w:rsidR="008D5CF0">
        <w:rPr>
          <w:rFonts w:eastAsia="MS Mincho"/>
          <w:lang w:eastAsia="ja-JP"/>
        </w:rPr>
        <w:t xml:space="preserve">Kaga Yūzen, a kimono pattern of </w:t>
      </w:r>
      <w:r w:rsidR="00D6765B">
        <w:rPr>
          <w:rFonts w:eastAsia="MS Mincho"/>
          <w:lang w:eastAsia="ja-JP"/>
        </w:rPr>
        <w:t xml:space="preserve">Kanazawa’s regional tradition that was </w:t>
      </w:r>
      <w:r w:rsidR="0098083C">
        <w:rPr>
          <w:rFonts w:eastAsia="MS Mincho"/>
          <w:lang w:eastAsia="ja-JP"/>
        </w:rPr>
        <w:t xml:space="preserve">originally inspired by the Kyoto Yūzen tradition created by </w:t>
      </w:r>
      <w:r w:rsidR="004E0B87">
        <w:rPr>
          <w:rFonts w:eastAsia="MS Mincho"/>
          <w:lang w:eastAsia="ja-JP"/>
        </w:rPr>
        <w:t>Miyazaki Yūzen in 17</w:t>
      </w:r>
      <w:r w:rsidR="004E0B87" w:rsidRPr="004E0B87">
        <w:rPr>
          <w:rFonts w:eastAsia="MS Mincho"/>
          <w:vertAlign w:val="superscript"/>
          <w:lang w:eastAsia="ja-JP"/>
        </w:rPr>
        <w:t>th</w:t>
      </w:r>
      <w:r w:rsidR="004E0B87">
        <w:rPr>
          <w:rFonts w:eastAsia="MS Mincho"/>
          <w:lang w:eastAsia="ja-JP"/>
        </w:rPr>
        <w:t xml:space="preserve"> century</w:t>
      </w:r>
      <w:r w:rsidR="008D5CF0">
        <w:rPr>
          <w:rFonts w:eastAsia="MS Mincho"/>
          <w:lang w:eastAsia="ja-JP"/>
        </w:rPr>
        <w:t xml:space="preserve"> Japan</w:t>
      </w:r>
      <w:r w:rsidR="00D6765B">
        <w:rPr>
          <w:rFonts w:eastAsia="MS Mincho"/>
          <w:lang w:eastAsia="ja-JP"/>
        </w:rPr>
        <w:t xml:space="preserve">.  </w:t>
      </w:r>
    </w:p>
    <w:p w14:paraId="18599CD8" w14:textId="77777777" w:rsidR="00A95E2B" w:rsidRDefault="00A95E2B" w:rsidP="00A20AC7">
      <w:pPr>
        <w:rPr>
          <w:rFonts w:eastAsia="MS Mincho"/>
          <w:b/>
          <w:lang w:eastAsia="ja-JP"/>
        </w:rPr>
      </w:pPr>
    </w:p>
    <w:p w14:paraId="4AAB9DB4" w14:textId="3B94D5D7" w:rsidR="00933533" w:rsidRDefault="006D6244" w:rsidP="0091720A">
      <w:pPr>
        <w:rPr>
          <w:rFonts w:eastAsia="ＭＳ 明朝"/>
          <w:b/>
          <w:lang w:eastAsia="ja-JP"/>
        </w:rPr>
      </w:pPr>
      <w:r>
        <w:rPr>
          <w:rFonts w:eastAsia="ＭＳ 明朝"/>
          <w:b/>
          <w:lang w:eastAsia="ja-JP"/>
        </w:rPr>
        <w:t>Taichung exhibition</w:t>
      </w:r>
      <w:r w:rsidR="004C58CD">
        <w:rPr>
          <w:rFonts w:eastAsia="ＭＳ 明朝"/>
          <w:b/>
          <w:lang w:eastAsia="ja-JP"/>
        </w:rPr>
        <w:t xml:space="preserve"> and Togo Rural Art Museum exhibition</w:t>
      </w:r>
    </w:p>
    <w:p w14:paraId="0B4EEE80" w14:textId="79E89339" w:rsidR="006678AF" w:rsidRPr="00A9080E" w:rsidRDefault="00F5778F" w:rsidP="00DC1F9D">
      <w:pPr>
        <w:rPr>
          <w:rFonts w:eastAsia="Times New Roman" w:cs="Times New Roman"/>
        </w:rPr>
      </w:pPr>
      <w:r>
        <w:rPr>
          <w:rFonts w:eastAsia="MS Mincho"/>
          <w:lang w:eastAsia="ja-JP"/>
        </w:rPr>
        <w:t xml:space="preserve">Michael Lin’s presentation of Taiwanese floral chintz in art context seems to have sparked many other formal activities.  </w:t>
      </w:r>
      <w:r w:rsidR="00141832">
        <w:rPr>
          <w:rFonts w:eastAsia="MS Mincho"/>
          <w:lang w:eastAsia="ja-JP"/>
        </w:rPr>
        <w:t xml:space="preserve">An exhibition ‘Enjoy the Beauty of Taiwanese Printed Cloth’ </w:t>
      </w:r>
      <w:r w:rsidR="001D2625" w:rsidRPr="00513453">
        <w:rPr>
          <w:rFonts w:eastAsia="MS Mincho"/>
          <w:lang w:eastAsia="ja-JP"/>
        </w:rPr>
        <w:t>(</w:t>
      </w:r>
      <w:r w:rsidR="0029039C" w:rsidRPr="00513453">
        <w:rPr>
          <w:rFonts w:eastAsia="ＭＳ 明朝"/>
          <w:sz w:val="20"/>
          <w:szCs w:val="20"/>
          <w:lang w:eastAsia="ja-JP"/>
        </w:rPr>
        <w:t>花花世界：薪傳台灣之美</w:t>
      </w:r>
      <w:r w:rsidR="001D2625" w:rsidRPr="00513453">
        <w:rPr>
          <w:rFonts w:eastAsia="MS Mincho"/>
          <w:lang w:eastAsia="ja-JP"/>
        </w:rPr>
        <w:t>)</w:t>
      </w:r>
      <w:r w:rsidR="00141832">
        <w:rPr>
          <w:rFonts w:eastAsia="MS Mincho"/>
          <w:lang w:eastAsia="ja-JP"/>
        </w:rPr>
        <w:t xml:space="preserve">at the National Taiwan Museum of Fine Arts (2011-12) </w:t>
      </w:r>
      <w:r>
        <w:rPr>
          <w:rFonts w:eastAsia="MS Mincho"/>
          <w:lang w:eastAsia="ja-JP"/>
        </w:rPr>
        <w:t>was one of such systematically organised one.  It presented</w:t>
      </w:r>
      <w:r w:rsidR="00141832">
        <w:rPr>
          <w:rFonts w:eastAsia="MS Mincho"/>
          <w:lang w:eastAsia="ja-JP"/>
        </w:rPr>
        <w:t xml:space="preserve"> its educational aspect through which it teaches </w:t>
      </w:r>
      <w:r w:rsidR="0087630D">
        <w:rPr>
          <w:rFonts w:eastAsia="MS Mincho"/>
          <w:lang w:eastAsia="ja-JP"/>
        </w:rPr>
        <w:t xml:space="preserve">children </w:t>
      </w:r>
      <w:r w:rsidR="00141832">
        <w:rPr>
          <w:rFonts w:eastAsia="MS Mincho"/>
          <w:lang w:eastAsia="ja-JP"/>
        </w:rPr>
        <w:t>the tradition of the Taiwanese ‘grandma’.</w:t>
      </w:r>
      <w:r w:rsidR="00141832">
        <w:rPr>
          <w:rStyle w:val="EndnoteReference"/>
          <w:rFonts w:eastAsia="MS Mincho"/>
          <w:lang w:eastAsia="ja-JP"/>
        </w:rPr>
        <w:endnoteReference w:id="5"/>
      </w:r>
      <w:r w:rsidR="00141832">
        <w:rPr>
          <w:rFonts w:eastAsia="MS Mincho"/>
          <w:lang w:eastAsia="ja-JP"/>
        </w:rPr>
        <w:t xml:space="preserve"> </w:t>
      </w:r>
      <w:r>
        <w:rPr>
          <w:rFonts w:eastAsia="MS Mincho"/>
          <w:lang w:eastAsia="ja-JP"/>
        </w:rPr>
        <w:t xml:space="preserve"> </w:t>
      </w:r>
      <w:r w:rsidR="00BF11CC">
        <w:rPr>
          <w:rFonts w:eastAsia="Times New Roman" w:cs="Times New Roman"/>
        </w:rPr>
        <w:t xml:space="preserve">The exhibition explains that </w:t>
      </w:r>
      <w:r w:rsidR="00DC1F9D">
        <w:rPr>
          <w:rFonts w:eastAsia="Times New Roman" w:cs="Times New Roman"/>
        </w:rPr>
        <w:t xml:space="preserve">this floral chintz is Taiwanese tradition and it has been omnipresent indoors and outdoors from </w:t>
      </w:r>
      <w:r w:rsidR="00DC1F9D" w:rsidRPr="00A9080E">
        <w:rPr>
          <w:rFonts w:eastAsia="Times New Roman"/>
        </w:rPr>
        <w:t>beddings</w:t>
      </w:r>
      <w:r w:rsidR="00A9080E" w:rsidRPr="00A9080E">
        <w:rPr>
          <w:rFonts w:eastAsia="Times New Roman"/>
        </w:rPr>
        <w:t xml:space="preserve"> (</w:t>
      </w:r>
      <w:r w:rsidR="00A9080E" w:rsidRPr="00513453">
        <w:rPr>
          <w:rFonts w:ascii="ＭＳ Ｐ明朝" w:eastAsia="ＭＳ Ｐ明朝" w:hAnsi="ＭＳ Ｐ明朝"/>
          <w:sz w:val="20"/>
          <w:szCs w:val="20"/>
        </w:rPr>
        <w:t>被單</w:t>
      </w:r>
      <w:r w:rsidR="00A9080E" w:rsidRPr="00513453">
        <w:rPr>
          <w:rFonts w:ascii="ＭＳ Ｐ明朝" w:eastAsia="ＭＳ Ｐ明朝" w:hAnsi="ＭＳ Ｐ明朝"/>
        </w:rPr>
        <w:t xml:space="preserve"> </w:t>
      </w:r>
      <w:r w:rsidR="00A9080E" w:rsidRPr="00A9080E">
        <w:rPr>
          <w:rFonts w:eastAsia="ＭＳ Ｐゴシック"/>
        </w:rPr>
        <w:t>beidan)</w:t>
      </w:r>
      <w:r w:rsidR="00DC1F9D" w:rsidRPr="00A9080E">
        <w:rPr>
          <w:rFonts w:eastAsia="Times New Roman"/>
        </w:rPr>
        <w:t>,</w:t>
      </w:r>
      <w:r w:rsidR="00DC1F9D">
        <w:rPr>
          <w:rFonts w:eastAsia="Times New Roman" w:cs="Times New Roman"/>
        </w:rPr>
        <w:t xml:space="preserve"> babies diapers to women field workers clothes.  This </w:t>
      </w:r>
      <w:r w:rsidR="00B81618">
        <w:rPr>
          <w:rFonts w:eastAsia="Times New Roman" w:cs="Times New Roman"/>
        </w:rPr>
        <w:t>is described as</w:t>
      </w:r>
      <w:r w:rsidR="00BF11CC">
        <w:rPr>
          <w:rFonts w:eastAsia="Times New Roman" w:cs="Times New Roman"/>
        </w:rPr>
        <w:t xml:space="preserve"> ‘Grandma’s fabric’ as this strongly invokes </w:t>
      </w:r>
      <w:r w:rsidR="00DC1F9D">
        <w:rPr>
          <w:rFonts w:eastAsia="Times New Roman" w:cs="Times New Roman"/>
        </w:rPr>
        <w:t xml:space="preserve">the nostalgic image of grandma and surrounding environment.  </w:t>
      </w:r>
      <w:r w:rsidR="00BF11CC">
        <w:rPr>
          <w:rFonts w:eastAsia="Times New Roman" w:cs="Times New Roman"/>
        </w:rPr>
        <w:t>When this grandma was young likely to be postwar in the 1950s</w:t>
      </w:r>
      <w:r w:rsidR="00C70820">
        <w:rPr>
          <w:rFonts w:eastAsia="Times New Roman" w:cs="Times New Roman"/>
        </w:rPr>
        <w:t>, if we i</w:t>
      </w:r>
      <w:r w:rsidR="00EE32B6">
        <w:rPr>
          <w:rFonts w:eastAsia="Times New Roman" w:cs="Times New Roman"/>
        </w:rPr>
        <w:t xml:space="preserve">magine this </w:t>
      </w:r>
      <w:r w:rsidR="00994869">
        <w:rPr>
          <w:rFonts w:eastAsia="Times New Roman" w:cs="Times New Roman"/>
        </w:rPr>
        <w:t>grandma</w:t>
      </w:r>
      <w:r w:rsidR="00EE32B6">
        <w:rPr>
          <w:rFonts w:eastAsia="Times New Roman" w:cs="Times New Roman"/>
        </w:rPr>
        <w:t xml:space="preserve"> is around 80</w:t>
      </w:r>
      <w:r w:rsidR="00C70820">
        <w:rPr>
          <w:rFonts w:eastAsia="Times New Roman" w:cs="Times New Roman"/>
        </w:rPr>
        <w:t xml:space="preserve"> now.  </w:t>
      </w:r>
      <w:r w:rsidR="00DC1F9D">
        <w:rPr>
          <w:rFonts w:eastAsia="Times New Roman" w:cs="Times New Roman"/>
        </w:rPr>
        <w:t xml:space="preserve">It also associates with the booming of textiles industry when grandma was young.  </w:t>
      </w:r>
      <w:r w:rsidR="00C70820">
        <w:rPr>
          <w:rFonts w:eastAsia="Times New Roman" w:cs="Times New Roman"/>
        </w:rPr>
        <w:t>It was the time when the KMT</w:t>
      </w:r>
      <w:r w:rsidR="00141832">
        <w:rPr>
          <w:rFonts w:eastAsia="Times New Roman" w:cs="Times New Roman"/>
        </w:rPr>
        <w:t xml:space="preserve"> took over</w:t>
      </w:r>
      <w:r w:rsidR="00C70820">
        <w:rPr>
          <w:rFonts w:eastAsia="Times New Roman" w:cs="Times New Roman"/>
        </w:rPr>
        <w:t xml:space="preserve"> Taiwan, and also brought industry from the mainland China including mechanized textile industries. </w:t>
      </w:r>
      <w:r w:rsidR="002E638E">
        <w:rPr>
          <w:rFonts w:eastAsia="Times New Roman" w:cs="Times New Roman"/>
        </w:rPr>
        <w:t xml:space="preserve"> </w:t>
      </w:r>
      <w:r w:rsidR="004E0B87">
        <w:rPr>
          <w:rFonts w:eastAsia="Times New Roman" w:cs="Times New Roman"/>
        </w:rPr>
        <w:t xml:space="preserve">The Far Eastern Textile Company mentioned in the exhibition was one of those who came from the mainland </w:t>
      </w:r>
      <w:r w:rsidR="009D39E8">
        <w:rPr>
          <w:rFonts w:eastAsia="Times New Roman" w:cs="Times New Roman"/>
        </w:rPr>
        <w:t xml:space="preserve">and </w:t>
      </w:r>
      <w:r w:rsidR="004E0B87">
        <w:rPr>
          <w:rFonts w:eastAsia="Times New Roman" w:cs="Times New Roman"/>
        </w:rPr>
        <w:t xml:space="preserve">founded in Taiwan around this period and mass produced these floral chintz by using imported Japanese </w:t>
      </w:r>
      <w:r w:rsidR="009D39E8">
        <w:rPr>
          <w:rFonts w:eastAsia="Times New Roman" w:cs="Times New Roman"/>
        </w:rPr>
        <w:t xml:space="preserve">Rotary printing </w:t>
      </w:r>
      <w:r w:rsidR="004E0B87">
        <w:rPr>
          <w:rFonts w:eastAsia="Times New Roman" w:cs="Times New Roman"/>
        </w:rPr>
        <w:t>machines.</w:t>
      </w:r>
      <w:r w:rsidR="000A7658">
        <w:rPr>
          <w:rStyle w:val="EndnoteReference"/>
          <w:rFonts w:eastAsia="Times New Roman" w:cs="Times New Roman"/>
        </w:rPr>
        <w:endnoteReference w:id="6"/>
      </w:r>
      <w:r w:rsidR="004E0B87">
        <w:rPr>
          <w:rFonts w:eastAsia="Times New Roman" w:cs="Times New Roman"/>
        </w:rPr>
        <w:t xml:space="preserve">  </w:t>
      </w:r>
      <w:r w:rsidR="002E638E">
        <w:rPr>
          <w:rFonts w:eastAsia="Times New Roman" w:cs="Times New Roman"/>
        </w:rPr>
        <w:t xml:space="preserve">It is the </w:t>
      </w:r>
      <w:r w:rsidR="004E0B87">
        <w:rPr>
          <w:rFonts w:eastAsia="Times New Roman" w:cs="Times New Roman"/>
        </w:rPr>
        <w:t xml:space="preserve">beginning of the success story of </w:t>
      </w:r>
      <w:r w:rsidR="002E638E">
        <w:rPr>
          <w:rFonts w:eastAsia="Times New Roman" w:cs="Times New Roman"/>
        </w:rPr>
        <w:t xml:space="preserve">Taiwan </w:t>
      </w:r>
      <w:r w:rsidR="004E0B87">
        <w:rPr>
          <w:rFonts w:eastAsia="Times New Roman" w:cs="Times New Roman"/>
        </w:rPr>
        <w:t xml:space="preserve">which </w:t>
      </w:r>
      <w:r w:rsidR="002E638E">
        <w:rPr>
          <w:rFonts w:eastAsia="Times New Roman" w:cs="Times New Roman"/>
        </w:rPr>
        <w:t xml:space="preserve">transformed to an industrial </w:t>
      </w:r>
      <w:r w:rsidR="00EE32B6">
        <w:rPr>
          <w:rFonts w:eastAsia="Times New Roman" w:cs="Times New Roman"/>
        </w:rPr>
        <w:t xml:space="preserve">developed </w:t>
      </w:r>
      <w:r w:rsidR="002E638E">
        <w:rPr>
          <w:rFonts w:eastAsia="Times New Roman" w:cs="Times New Roman"/>
        </w:rPr>
        <w:t>nation.</w:t>
      </w:r>
      <w:r w:rsidR="00041990">
        <w:rPr>
          <w:rFonts w:eastAsia="Times New Roman" w:cs="Times New Roman"/>
        </w:rPr>
        <w:t xml:space="preserve">  It points to this transitional moment, thus the Taiwanese floral chintz interestingly associates with early mechanization as well as the nostalgic past of agricultural life. </w:t>
      </w:r>
      <w:r w:rsidR="00041990">
        <w:rPr>
          <w:rFonts w:eastAsia="Times New Roman"/>
          <w:b/>
        </w:rPr>
        <w:t xml:space="preserve"> </w:t>
      </w:r>
      <w:r w:rsidR="00DC1F9D" w:rsidRPr="00A95E2B">
        <w:rPr>
          <w:rFonts w:eastAsia="ＭＳ 明朝"/>
          <w:lang w:eastAsia="ja-JP"/>
        </w:rPr>
        <w:t>Grandma’s ethnic origin is unknown</w:t>
      </w:r>
      <w:r w:rsidR="006678AF" w:rsidRPr="00A95E2B">
        <w:rPr>
          <w:rFonts w:eastAsia="ＭＳ 明朝"/>
          <w:lang w:eastAsia="ja-JP"/>
        </w:rPr>
        <w:t xml:space="preserve">, but she is vaguely </w:t>
      </w:r>
      <w:r w:rsidR="00A95E2B" w:rsidRPr="00A95E2B">
        <w:rPr>
          <w:rFonts w:eastAsia="Times New Roman"/>
          <w:bCs/>
        </w:rPr>
        <w:t>Min-nan people</w:t>
      </w:r>
      <w:r w:rsidR="00A95E2B" w:rsidRPr="00A95E2B">
        <w:rPr>
          <w:rFonts w:eastAsia="Times New Roman"/>
        </w:rPr>
        <w:t xml:space="preserve"> (</w:t>
      </w:r>
      <w:r w:rsidR="00A95E2B" w:rsidRPr="00F05CF3">
        <w:rPr>
          <w:rFonts w:ascii="ＭＳ Ｐ明朝" w:eastAsia="ＭＳ Ｐ明朝" w:hAnsi="ＭＳ Ｐ明朝"/>
          <w:sz w:val="20"/>
          <w:szCs w:val="20"/>
        </w:rPr>
        <w:t>閩南人</w:t>
      </w:r>
      <w:r w:rsidR="00A95E2B" w:rsidRPr="00A95E2B">
        <w:rPr>
          <w:rFonts w:eastAsia="Times New Roman"/>
        </w:rPr>
        <w:t>)</w:t>
      </w:r>
      <w:r w:rsidR="00A95E2B">
        <w:rPr>
          <w:rFonts w:eastAsia="ＭＳ 明朝"/>
          <w:lang w:eastAsia="ja-JP"/>
        </w:rPr>
        <w:t xml:space="preserve"> which dominate the majority of ancestral ethnic roots in Taiwan.</w:t>
      </w:r>
      <w:r w:rsidR="00B54916">
        <w:rPr>
          <w:rFonts w:eastAsia="ＭＳ 明朝"/>
          <w:lang w:eastAsia="ja-JP"/>
        </w:rPr>
        <w:t xml:space="preserve">  </w:t>
      </w:r>
      <w:r w:rsidR="00041990">
        <w:rPr>
          <w:rFonts w:eastAsia="ＭＳ 明朝"/>
          <w:lang w:eastAsia="ja-JP"/>
        </w:rPr>
        <w:t>I</w:t>
      </w:r>
      <w:r w:rsidR="009F40D4">
        <w:rPr>
          <w:rFonts w:eastAsia="ＭＳ 明朝"/>
          <w:lang w:eastAsia="ja-JP"/>
        </w:rPr>
        <w:t>n this exhibition i</w:t>
      </w:r>
      <w:r w:rsidR="00041990">
        <w:rPr>
          <w:rFonts w:eastAsia="ＭＳ 明朝"/>
          <w:lang w:eastAsia="ja-JP"/>
        </w:rPr>
        <w:t>t doesn’t appear to include Hakka and aboriginal people</w:t>
      </w:r>
      <w:r w:rsidR="00EE32B6">
        <w:rPr>
          <w:rFonts w:eastAsia="ＭＳ 明朝"/>
          <w:lang w:eastAsia="ja-JP"/>
        </w:rPr>
        <w:t>.  T</w:t>
      </w:r>
      <w:r w:rsidR="004C58CD">
        <w:rPr>
          <w:rFonts w:eastAsia="ＭＳ 明朝"/>
          <w:lang w:eastAsia="ja-JP"/>
        </w:rPr>
        <w:t xml:space="preserve">his grandma’s </w:t>
      </w:r>
      <w:r w:rsidR="00041990">
        <w:rPr>
          <w:rFonts w:eastAsia="ＭＳ 明朝"/>
          <w:lang w:eastAsia="ja-JP"/>
        </w:rPr>
        <w:t xml:space="preserve">hometown </w:t>
      </w:r>
      <w:r w:rsidR="004C58CD">
        <w:rPr>
          <w:rFonts w:eastAsia="ＭＳ 明朝"/>
          <w:lang w:eastAsia="ja-JP"/>
        </w:rPr>
        <w:t xml:space="preserve">is </w:t>
      </w:r>
      <w:r w:rsidR="00EE32B6">
        <w:rPr>
          <w:rFonts w:eastAsia="ＭＳ 明朝"/>
          <w:lang w:eastAsia="ja-JP"/>
        </w:rPr>
        <w:t xml:space="preserve">set </w:t>
      </w:r>
      <w:r w:rsidR="00041990">
        <w:rPr>
          <w:rFonts w:eastAsia="ＭＳ 明朝"/>
          <w:lang w:eastAsia="ja-JP"/>
        </w:rPr>
        <w:t xml:space="preserve">in some rural village.  </w:t>
      </w:r>
      <w:r w:rsidR="009F40D4">
        <w:rPr>
          <w:rFonts w:eastAsia="ＭＳ 明朝"/>
          <w:lang w:eastAsia="ja-JP"/>
        </w:rPr>
        <w:t>Women working in the field are wearing working clothes made of floral chint</w:t>
      </w:r>
      <w:r w:rsidR="00B81618">
        <w:rPr>
          <w:rFonts w:eastAsia="ＭＳ 明朝"/>
          <w:lang w:eastAsia="ja-JP"/>
        </w:rPr>
        <w:t>z, and they do sing and dance in the local festival.</w:t>
      </w:r>
      <w:r w:rsidR="009F40D4">
        <w:rPr>
          <w:rFonts w:eastAsia="ＭＳ 明朝"/>
          <w:lang w:eastAsia="ja-JP"/>
        </w:rPr>
        <w:t xml:space="preserve"> </w:t>
      </w:r>
      <w:r w:rsidR="00041990">
        <w:rPr>
          <w:rFonts w:eastAsia="ＭＳ 明朝"/>
          <w:lang w:eastAsia="ja-JP"/>
        </w:rPr>
        <w:t xml:space="preserve">is such a place situated in still rural environment. </w:t>
      </w:r>
      <w:r w:rsidR="009707D5">
        <w:rPr>
          <w:rFonts w:eastAsia="ＭＳ 明朝"/>
          <w:lang w:eastAsia="ja-JP"/>
        </w:rPr>
        <w:t xml:space="preserve"> </w:t>
      </w:r>
      <w:r w:rsidR="00EE32B6">
        <w:rPr>
          <w:rFonts w:eastAsia="ＭＳ 明朝"/>
          <w:lang w:eastAsia="ja-JP"/>
        </w:rPr>
        <w:t>In another exhibition at Togo Rural Art Museum in Tainan,</w:t>
      </w:r>
      <w:r w:rsidR="009707D5">
        <w:rPr>
          <w:rFonts w:eastAsia="ＭＳ 明朝"/>
          <w:lang w:eastAsia="ja-JP"/>
        </w:rPr>
        <w:t xml:space="preserve"> they displayed these large fence or </w:t>
      </w:r>
      <w:r w:rsidR="005872BB">
        <w:rPr>
          <w:rFonts w:eastAsia="ＭＳ 明朝"/>
          <w:lang w:eastAsia="ja-JP"/>
        </w:rPr>
        <w:t>mural of Taiwan floral chintz open air in this rural village of the Min-nan people.</w:t>
      </w:r>
    </w:p>
    <w:p w14:paraId="041BCA7F" w14:textId="77777777" w:rsidR="00DC1F9D" w:rsidRPr="006D6244" w:rsidRDefault="00DC1F9D" w:rsidP="00DC1F9D">
      <w:pPr>
        <w:rPr>
          <w:rFonts w:eastAsia="ＭＳ 明朝"/>
          <w:b/>
          <w:lang w:eastAsia="ja-JP"/>
        </w:rPr>
      </w:pPr>
    </w:p>
    <w:p w14:paraId="4578C594" w14:textId="6901BB67" w:rsidR="00BF11CC" w:rsidRDefault="00D37170" w:rsidP="0091720A">
      <w:pPr>
        <w:rPr>
          <w:rFonts w:eastAsia="Times New Roman" w:cs="Times New Roman"/>
          <w:b/>
        </w:rPr>
      </w:pPr>
      <w:r>
        <w:rPr>
          <w:rFonts w:eastAsia="Times New Roman" w:cs="Times New Roman"/>
          <w:b/>
        </w:rPr>
        <w:t xml:space="preserve">Taiwanese Floral Chintz as both ‘hybrid’ and ‘distinctive’ </w:t>
      </w:r>
    </w:p>
    <w:p w14:paraId="3E98BDCE" w14:textId="6A12EFB5" w:rsidR="00174C9A" w:rsidRPr="00F05CF3" w:rsidRDefault="004C58CD" w:rsidP="006035FA">
      <w:pPr>
        <w:rPr>
          <w:rFonts w:eastAsia="MS Mincho"/>
          <w:lang w:eastAsia="ja-JP"/>
        </w:rPr>
      </w:pPr>
      <w:r>
        <w:rPr>
          <w:rFonts w:eastAsia="Times New Roman" w:cs="Times New Roman"/>
        </w:rPr>
        <w:t xml:space="preserve">As all the cultural agents agree </w:t>
      </w:r>
      <w:r w:rsidR="00B24B79">
        <w:rPr>
          <w:rFonts w:eastAsia="Times New Roman" w:cs="Times New Roman"/>
        </w:rPr>
        <w:t xml:space="preserve">to </w:t>
      </w:r>
      <w:r>
        <w:rPr>
          <w:rFonts w:eastAsia="Times New Roman" w:cs="Times New Roman"/>
        </w:rPr>
        <w:t xml:space="preserve">the point that </w:t>
      </w:r>
      <w:r w:rsidR="00F5778F">
        <w:rPr>
          <w:rFonts w:eastAsia="Times New Roman" w:cs="Times New Roman"/>
        </w:rPr>
        <w:t xml:space="preserve">Taiwanese floral chintz is </w:t>
      </w:r>
      <w:r>
        <w:rPr>
          <w:rFonts w:eastAsia="Times New Roman" w:cs="Times New Roman"/>
        </w:rPr>
        <w:t>a hybrid product – a mixture of Chinese, Japanese and western elements</w:t>
      </w:r>
      <w:r w:rsidR="001742F2">
        <w:rPr>
          <w:rFonts w:eastAsia="Times New Roman" w:cs="Times New Roman"/>
        </w:rPr>
        <w:t xml:space="preserve"> to name a few</w:t>
      </w:r>
      <w:r w:rsidR="00F5778F">
        <w:rPr>
          <w:rFonts w:eastAsia="Times New Roman" w:cs="Times New Roman"/>
        </w:rPr>
        <w:t xml:space="preserve">. </w:t>
      </w:r>
      <w:r w:rsidR="00B24B79">
        <w:rPr>
          <w:rFonts w:eastAsia="Times New Roman" w:cs="Times New Roman"/>
        </w:rPr>
        <w:t xml:space="preserve"> </w:t>
      </w:r>
      <w:r w:rsidR="00DC7DB6">
        <w:rPr>
          <w:rFonts w:eastAsia="Times New Roman" w:cs="Times New Roman"/>
        </w:rPr>
        <w:t xml:space="preserve">However, </w:t>
      </w:r>
      <w:r w:rsidR="00994869">
        <w:rPr>
          <w:rFonts w:eastAsia="Times New Roman" w:cs="Times New Roman"/>
        </w:rPr>
        <w:t>interestingly</w:t>
      </w:r>
      <w:r w:rsidR="001742F2">
        <w:rPr>
          <w:rFonts w:eastAsia="Times New Roman" w:cs="Times New Roman"/>
        </w:rPr>
        <w:t xml:space="preserve"> at the same time, subtle distinctiveness</w:t>
      </w:r>
      <w:r w:rsidR="00DC7DB6">
        <w:rPr>
          <w:rFonts w:eastAsia="Times New Roman" w:cs="Times New Roman"/>
        </w:rPr>
        <w:t xml:space="preserve"> is also stressed</w:t>
      </w:r>
      <w:r w:rsidR="001742F2">
        <w:rPr>
          <w:rFonts w:eastAsia="Times New Roman" w:cs="Times New Roman"/>
        </w:rPr>
        <w:t>.  A</w:t>
      </w:r>
      <w:r w:rsidR="00F5778F">
        <w:rPr>
          <w:rFonts w:eastAsia="Times New Roman" w:cs="Times New Roman"/>
        </w:rPr>
        <w:t xml:space="preserve">ccording to the Taichung exhibition, </w:t>
      </w:r>
      <w:r>
        <w:rPr>
          <w:rFonts w:eastAsia="Times New Roman" w:cs="Times New Roman"/>
        </w:rPr>
        <w:t>you can still identify the subtle distinction and what can be called ‘Taiwaneseness’ by saying t</w:t>
      </w:r>
      <w:r w:rsidR="00F169ED">
        <w:rPr>
          <w:rFonts w:eastAsia="Times New Roman" w:cs="Times New Roman"/>
        </w:rPr>
        <w:t xml:space="preserve">he Taiwanese love of flowers different from Japanese and Chinese.  Japanese likes ‘young and tender cherry blossoms’, and Chinese loves peony as it ‘represents wealth, status, and good fortune’, while Taiwanese ‘just love red and fragrant flowers’ because ‘red represents good fortune, passion, beauty and hope.’  </w:t>
      </w:r>
      <w:r w:rsidR="00DC7DB6">
        <w:rPr>
          <w:rFonts w:eastAsia="Times New Roman" w:cs="Times New Roman"/>
        </w:rPr>
        <w:t>The pattern book</w:t>
      </w:r>
      <w:r>
        <w:rPr>
          <w:rFonts w:eastAsia="Times New Roman" w:cs="Times New Roman"/>
        </w:rPr>
        <w:t xml:space="preserve"> edited by </w:t>
      </w:r>
      <w:r w:rsidRPr="006A1BE8">
        <w:rPr>
          <w:rFonts w:eastAsia="MS Mincho"/>
          <w:lang w:eastAsia="ja-JP"/>
        </w:rPr>
        <w:t>Wu Qinggui</w:t>
      </w:r>
      <w:r w:rsidR="00DC7DB6">
        <w:rPr>
          <w:rFonts w:eastAsia="MS Mincho"/>
          <w:lang w:eastAsia="ja-JP"/>
        </w:rPr>
        <w:t xml:space="preserve"> </w:t>
      </w:r>
      <w:r>
        <w:rPr>
          <w:rFonts w:eastAsia="MS Mincho"/>
          <w:lang w:eastAsia="ja-JP"/>
        </w:rPr>
        <w:t>visually shows the difference</w:t>
      </w:r>
      <w:r w:rsidR="00C42CE3">
        <w:rPr>
          <w:rFonts w:eastAsia="MS Mincho"/>
          <w:lang w:eastAsia="ja-JP"/>
        </w:rPr>
        <w:t xml:space="preserve"> with focus on peony the most characteristic pattern for floral chintz</w:t>
      </w:r>
      <w:r>
        <w:rPr>
          <w:rFonts w:eastAsia="MS Mincho"/>
          <w:lang w:eastAsia="ja-JP"/>
        </w:rPr>
        <w:t>.</w:t>
      </w:r>
      <w:r w:rsidR="00DC7DB6">
        <w:rPr>
          <w:rFonts w:eastAsia="MS Mincho"/>
          <w:lang w:eastAsia="ja-JP"/>
        </w:rPr>
        <w:t xml:space="preserve"> </w:t>
      </w:r>
      <w:r w:rsidR="00DC7DB6">
        <w:rPr>
          <w:rFonts w:eastAsia="MS Mincho"/>
          <w:b/>
          <w:lang w:eastAsia="ja-JP"/>
        </w:rPr>
        <w:t>(Fig.)</w:t>
      </w:r>
      <w:r w:rsidR="00C42CE3">
        <w:rPr>
          <w:rFonts w:eastAsia="MS Mincho"/>
          <w:b/>
          <w:lang w:eastAsia="ja-JP"/>
        </w:rPr>
        <w:t xml:space="preserve">  </w:t>
      </w:r>
      <w:r w:rsidR="00C42CE3">
        <w:rPr>
          <w:rFonts w:eastAsia="MS Mincho"/>
          <w:lang w:eastAsia="ja-JP"/>
        </w:rPr>
        <w:t>While China and Japan naturally grow peony on their land, Taiwan</w:t>
      </w:r>
      <w:r w:rsidR="005709AC">
        <w:rPr>
          <w:rFonts w:eastAsia="MS Mincho"/>
          <w:lang w:eastAsia="ja-JP"/>
        </w:rPr>
        <w:t>’s climate</w:t>
      </w:r>
      <w:r w:rsidR="00C42CE3">
        <w:rPr>
          <w:rFonts w:eastAsia="MS Mincho"/>
          <w:lang w:eastAsia="ja-JP"/>
        </w:rPr>
        <w:t xml:space="preserve"> is too tropical for </w:t>
      </w:r>
      <w:r w:rsidR="005709AC">
        <w:rPr>
          <w:rFonts w:eastAsia="MS Mincho"/>
          <w:lang w:eastAsia="ja-JP"/>
        </w:rPr>
        <w:t xml:space="preserve">growing </w:t>
      </w:r>
      <w:r w:rsidR="00C42CE3">
        <w:rPr>
          <w:rFonts w:eastAsia="MS Mincho"/>
          <w:lang w:eastAsia="ja-JP"/>
        </w:rPr>
        <w:t>peony.  However, as much as the Chinese and the Japanese love this flower as their own, the Taiwanese also love and internalized the symbolic and auspicious meaning of ‘happiness’, ‘wealth’ and ‘vitality</w:t>
      </w:r>
      <w:r w:rsidR="005709AC">
        <w:rPr>
          <w:rFonts w:eastAsia="MS Mincho"/>
          <w:lang w:eastAsia="ja-JP"/>
        </w:rPr>
        <w:t>’ embodied by peony.  Taiwanese</w:t>
      </w:r>
      <w:r w:rsidR="00266232">
        <w:rPr>
          <w:rFonts w:eastAsia="MS Mincho"/>
          <w:lang w:eastAsia="ja-JP"/>
        </w:rPr>
        <w:t xml:space="preserve"> floral chintz shares this East Asianness, but the patterns are slightly different.  While Chinese </w:t>
      </w:r>
      <w:r w:rsidR="00E01AA0">
        <w:rPr>
          <w:rFonts w:eastAsia="MS Mincho"/>
          <w:lang w:eastAsia="ja-JP"/>
        </w:rPr>
        <w:t xml:space="preserve">depiction of peony is often set in </w:t>
      </w:r>
      <w:r w:rsidR="00266232">
        <w:rPr>
          <w:rFonts w:eastAsia="MS Mincho"/>
          <w:lang w:eastAsia="ja-JP"/>
        </w:rPr>
        <w:t>sharp contrasting dark blue and red which creates three-dimensional ef</w:t>
      </w:r>
      <w:r w:rsidR="00E01AA0">
        <w:rPr>
          <w:rFonts w:eastAsia="MS Mincho"/>
          <w:lang w:eastAsia="ja-JP"/>
        </w:rPr>
        <w:t>fects but printing is rough, Japanese put</w:t>
      </w:r>
      <w:r w:rsidR="005709AC">
        <w:rPr>
          <w:rFonts w:eastAsia="MS Mincho"/>
          <w:lang w:eastAsia="ja-JP"/>
        </w:rPr>
        <w:t>s</w:t>
      </w:r>
      <w:r w:rsidR="00E01AA0">
        <w:rPr>
          <w:rFonts w:eastAsia="MS Mincho"/>
          <w:lang w:eastAsia="ja-JP"/>
        </w:rPr>
        <w:t xml:space="preserve"> gold outlines and add</w:t>
      </w:r>
      <w:r w:rsidR="005709AC">
        <w:rPr>
          <w:rFonts w:eastAsia="MS Mincho"/>
          <w:lang w:eastAsia="ja-JP"/>
        </w:rPr>
        <w:t>s</w:t>
      </w:r>
      <w:r w:rsidR="00E01AA0">
        <w:rPr>
          <w:rFonts w:eastAsia="MS Mincho"/>
          <w:lang w:eastAsia="ja-JP"/>
        </w:rPr>
        <w:t xml:space="preserve"> delicate elegance and </w:t>
      </w:r>
      <w:r w:rsidR="005709AC">
        <w:rPr>
          <w:rFonts w:eastAsia="MS Mincho"/>
          <w:lang w:eastAsia="ja-JP"/>
        </w:rPr>
        <w:t>luxury to the idea of ‘wealth’ spreading on the two-dimensional space</w:t>
      </w:r>
      <w:r w:rsidR="00E01AA0">
        <w:rPr>
          <w:rFonts w:eastAsia="MS Mincho"/>
          <w:lang w:eastAsia="ja-JP"/>
        </w:rPr>
        <w:t>, while Taiwanese dominant expression is ‘happiness’ in its adoption of Chines</w:t>
      </w:r>
      <w:r w:rsidR="005709AC">
        <w:rPr>
          <w:rFonts w:eastAsia="MS Mincho"/>
          <w:lang w:eastAsia="ja-JP"/>
        </w:rPr>
        <w:t xml:space="preserve">e three-dimensional effect which is </w:t>
      </w:r>
      <w:r w:rsidR="00E01AA0">
        <w:rPr>
          <w:rFonts w:eastAsia="MS Mincho"/>
          <w:lang w:eastAsia="ja-JP"/>
        </w:rPr>
        <w:t>combined with Japanese delicate touch and outlini</w:t>
      </w:r>
      <w:r w:rsidR="005709AC">
        <w:rPr>
          <w:rFonts w:eastAsia="MS Mincho"/>
          <w:lang w:eastAsia="ja-JP"/>
        </w:rPr>
        <w:t>ng but not in gold but a little less expensive brown dye</w:t>
      </w:r>
      <w:r w:rsidR="00E01AA0">
        <w:rPr>
          <w:rFonts w:eastAsia="MS Mincho"/>
          <w:lang w:eastAsia="ja-JP"/>
        </w:rPr>
        <w:t>.</w:t>
      </w:r>
      <w:r w:rsidR="005709AC" w:rsidRPr="005709AC">
        <w:rPr>
          <w:rStyle w:val="EndnoteReference"/>
          <w:rFonts w:eastAsia="MS Mincho"/>
          <w:lang w:eastAsia="ja-JP"/>
        </w:rPr>
        <w:t xml:space="preserve"> </w:t>
      </w:r>
      <w:r w:rsidR="005709AC">
        <w:rPr>
          <w:rStyle w:val="EndnoteReference"/>
          <w:rFonts w:eastAsia="MS Mincho"/>
          <w:lang w:eastAsia="ja-JP"/>
        </w:rPr>
        <w:endnoteReference w:id="7"/>
      </w:r>
      <w:r w:rsidR="005709AC">
        <w:rPr>
          <w:rFonts w:eastAsia="MS Mincho"/>
          <w:lang w:eastAsia="ja-JP"/>
        </w:rPr>
        <w:t xml:space="preserve">  Further more, </w:t>
      </w:r>
      <w:r w:rsidR="006D6572">
        <w:rPr>
          <w:rFonts w:eastAsia="MS Mincho"/>
          <w:lang w:eastAsia="ja-JP"/>
        </w:rPr>
        <w:t>Chen Z</w:t>
      </w:r>
      <w:r w:rsidR="001C56DA">
        <w:rPr>
          <w:rFonts w:eastAsia="MS Mincho"/>
          <w:lang w:eastAsia="ja-JP"/>
        </w:rPr>
        <w:t>ongpin</w:t>
      </w:r>
      <w:r w:rsidR="006D6572">
        <w:rPr>
          <w:rFonts w:eastAsia="MS Mincho"/>
          <w:lang w:eastAsia="ja-JP"/>
        </w:rPr>
        <w:t>g</w:t>
      </w:r>
      <w:r w:rsidR="005648DC">
        <w:rPr>
          <w:rFonts w:eastAsia="MS Mincho"/>
          <w:lang w:eastAsia="ja-JP"/>
        </w:rPr>
        <w:t xml:space="preserve"> identifies</w:t>
      </w:r>
      <w:r w:rsidR="001C56DA">
        <w:rPr>
          <w:rFonts w:eastAsia="MS Mincho"/>
          <w:lang w:eastAsia="ja-JP"/>
        </w:rPr>
        <w:t xml:space="preserve"> the Taiwanese </w:t>
      </w:r>
      <w:r w:rsidR="005648DC">
        <w:rPr>
          <w:rFonts w:eastAsia="MS Mincho"/>
          <w:lang w:eastAsia="ja-JP"/>
        </w:rPr>
        <w:t xml:space="preserve">distinctiveness in its creation </w:t>
      </w:r>
      <w:r w:rsidR="001C56DA">
        <w:rPr>
          <w:rFonts w:eastAsia="MS Mincho"/>
          <w:lang w:eastAsia="ja-JP"/>
        </w:rPr>
        <w:t>of ‘peony four seasons’ pattern which is most dominant pattern among his collection of 1000 samples</w:t>
      </w:r>
      <w:r w:rsidR="005648DC">
        <w:rPr>
          <w:rFonts w:eastAsia="MS Mincho"/>
          <w:lang w:eastAsia="ja-JP"/>
        </w:rPr>
        <w:t xml:space="preserve"> of the Taiwanese floral chintz</w:t>
      </w:r>
      <w:r w:rsidR="001C56DA">
        <w:rPr>
          <w:rFonts w:eastAsia="MS Mincho"/>
          <w:lang w:eastAsia="ja-JP"/>
        </w:rPr>
        <w:t xml:space="preserve">.  </w:t>
      </w:r>
      <w:r w:rsidR="005648DC">
        <w:rPr>
          <w:rFonts w:eastAsia="MS Mincho"/>
          <w:lang w:eastAsia="ja-JP"/>
        </w:rPr>
        <w:t>He says in Taiwanese floral chintz, peony doesn’t appear independently but a variety of flowers from the four seasons.  The concept of ‘four seasons’ obviously imported from Japanese culture, and dominantly use typically Japanese flower patterns but the range of flowers go beyond those, and most remarkably the way it is mixed all of them.</w:t>
      </w:r>
      <w:r w:rsidR="001C56DA">
        <w:rPr>
          <w:rStyle w:val="EndnoteReference"/>
          <w:rFonts w:eastAsia="MS Mincho"/>
          <w:lang w:eastAsia="ja-JP"/>
        </w:rPr>
        <w:endnoteReference w:id="8"/>
      </w:r>
      <w:r w:rsidR="001C56DA">
        <w:rPr>
          <w:rFonts w:eastAsia="MS Mincho"/>
          <w:lang w:eastAsia="ja-JP"/>
        </w:rPr>
        <w:t xml:space="preserve"> </w:t>
      </w:r>
      <w:r w:rsidR="005648DC">
        <w:rPr>
          <w:rFonts w:eastAsia="MS Mincho"/>
          <w:lang w:eastAsia="ja-JP"/>
        </w:rPr>
        <w:t xml:space="preserve"> This desire for </w:t>
      </w:r>
      <w:r w:rsidR="005579DD">
        <w:rPr>
          <w:rFonts w:eastAsia="MS Mincho"/>
          <w:lang w:eastAsia="ja-JP"/>
        </w:rPr>
        <w:t xml:space="preserve">mixing everything is also characterized in peculiar patterns mixing flower with </w:t>
      </w:r>
      <w:r w:rsidR="00F05CF3">
        <w:rPr>
          <w:rFonts w:eastAsia="MS Mincho"/>
          <w:lang w:eastAsia="ja-JP"/>
        </w:rPr>
        <w:t xml:space="preserve">Chinese auspicious animals, western and Japanese interior objects, </w:t>
      </w:r>
      <w:r w:rsidR="005579DD">
        <w:rPr>
          <w:rFonts w:eastAsia="MS Mincho"/>
          <w:lang w:eastAsia="ja-JP"/>
        </w:rPr>
        <w:t xml:space="preserve">western </w:t>
      </w:r>
      <w:r w:rsidR="00F05CF3">
        <w:rPr>
          <w:rFonts w:eastAsia="MS Mincho"/>
          <w:lang w:eastAsia="ja-JP"/>
        </w:rPr>
        <w:t xml:space="preserve">picturesque </w:t>
      </w:r>
      <w:r w:rsidR="005579DD">
        <w:rPr>
          <w:rFonts w:eastAsia="MS Mincho"/>
          <w:lang w:eastAsia="ja-JP"/>
        </w:rPr>
        <w:t xml:space="preserve">landscapes and </w:t>
      </w:r>
      <w:r w:rsidR="00F05CF3">
        <w:rPr>
          <w:rFonts w:eastAsia="MS Mincho"/>
          <w:lang w:eastAsia="ja-JP"/>
        </w:rPr>
        <w:t xml:space="preserve">sometimes children’s popular characters including </w:t>
      </w:r>
      <w:r w:rsidR="005579DD">
        <w:rPr>
          <w:rFonts w:eastAsia="MS Mincho"/>
          <w:lang w:eastAsia="ja-JP"/>
        </w:rPr>
        <w:t>Disney animals</w:t>
      </w:r>
      <w:r w:rsidR="00F05CF3">
        <w:rPr>
          <w:rFonts w:eastAsia="MS Mincho"/>
          <w:lang w:eastAsia="ja-JP"/>
        </w:rPr>
        <w:t>.</w:t>
      </w:r>
      <w:r w:rsidR="00B24B79">
        <w:rPr>
          <w:rFonts w:eastAsia="MS Mincho"/>
          <w:lang w:eastAsia="ja-JP"/>
        </w:rPr>
        <w:t xml:space="preserve"> </w:t>
      </w:r>
      <w:r w:rsidR="0087630D" w:rsidRPr="0087630D">
        <w:rPr>
          <w:rFonts w:eastAsia="MS Mincho"/>
          <w:b/>
          <w:lang w:eastAsia="ja-JP"/>
        </w:rPr>
        <w:t>(</w:t>
      </w:r>
      <w:r w:rsidR="00F05CF3">
        <w:rPr>
          <w:rFonts w:eastAsia="MS Mincho"/>
          <w:b/>
          <w:lang w:eastAsia="ja-JP"/>
        </w:rPr>
        <w:t>Fig.)</w:t>
      </w:r>
      <w:r w:rsidR="00B24B79">
        <w:rPr>
          <w:rFonts w:eastAsia="MS Mincho"/>
          <w:b/>
          <w:lang w:eastAsia="ja-JP"/>
        </w:rPr>
        <w:t xml:space="preserve"> </w:t>
      </w:r>
    </w:p>
    <w:p w14:paraId="7F2797D9" w14:textId="77777777" w:rsidR="006035FA" w:rsidRDefault="006035FA" w:rsidP="006035FA">
      <w:pPr>
        <w:rPr>
          <w:rFonts w:eastAsia="MS Mincho"/>
          <w:b/>
          <w:lang w:eastAsia="ja-JP"/>
        </w:rPr>
      </w:pPr>
    </w:p>
    <w:p w14:paraId="2CF9632F" w14:textId="77777777" w:rsidR="006035FA" w:rsidRPr="006035FA" w:rsidRDefault="006035FA" w:rsidP="006035FA">
      <w:pPr>
        <w:rPr>
          <w:rFonts w:eastAsia="Times New Roman" w:cs="Times New Roman"/>
          <w:b/>
        </w:rPr>
      </w:pPr>
    </w:p>
    <w:p w14:paraId="45734210" w14:textId="7FAE04F2" w:rsidR="00041990" w:rsidRPr="004B030C" w:rsidRDefault="00041990">
      <w:pPr>
        <w:rPr>
          <w:b/>
          <w:sz w:val="28"/>
          <w:szCs w:val="28"/>
          <w:lang w:eastAsia="ja-JP"/>
        </w:rPr>
      </w:pPr>
      <w:r w:rsidRPr="004B030C">
        <w:rPr>
          <w:b/>
          <w:sz w:val="28"/>
          <w:szCs w:val="28"/>
          <w:lang w:eastAsia="ja-JP"/>
        </w:rPr>
        <w:t xml:space="preserve">Floral Chintz as a Political Movement </w:t>
      </w:r>
    </w:p>
    <w:p w14:paraId="7A81633A" w14:textId="77777777" w:rsidR="00235F2D" w:rsidRDefault="00235F2D">
      <w:pPr>
        <w:rPr>
          <w:b/>
          <w:lang w:eastAsia="ja-JP"/>
        </w:rPr>
      </w:pPr>
    </w:p>
    <w:p w14:paraId="35D9F6DE" w14:textId="71BA426A" w:rsidR="00A05526" w:rsidRPr="00A05526" w:rsidRDefault="00A05526">
      <w:pPr>
        <w:rPr>
          <w:b/>
          <w:lang w:eastAsia="ja-JP"/>
        </w:rPr>
      </w:pPr>
      <w:r w:rsidRPr="00A05526">
        <w:rPr>
          <w:b/>
          <w:lang w:eastAsia="ja-JP"/>
        </w:rPr>
        <w:t>Colour</w:t>
      </w:r>
      <w:r w:rsidR="00BE6B2B">
        <w:rPr>
          <w:b/>
          <w:lang w:eastAsia="ja-JP"/>
        </w:rPr>
        <w:t xml:space="preserve"> coded concept: ‘Taiwan Red’ (</w:t>
      </w:r>
      <w:r w:rsidR="00BE6B2B" w:rsidRPr="00005BE6">
        <w:rPr>
          <w:rFonts w:ascii="ＭＳ 明朝" w:eastAsia="ＭＳ 明朝" w:hint="eastAsia"/>
          <w:b/>
          <w:sz w:val="20"/>
          <w:szCs w:val="20"/>
          <w:lang w:eastAsia="ja-JP"/>
        </w:rPr>
        <w:t>台灣紅</w:t>
      </w:r>
      <w:r w:rsidR="00BE6B2B">
        <w:rPr>
          <w:rFonts w:hint="eastAsia"/>
          <w:b/>
          <w:sz w:val="28"/>
          <w:szCs w:val="28"/>
          <w:lang w:eastAsia="ja-JP"/>
        </w:rPr>
        <w:t>)</w:t>
      </w:r>
    </w:p>
    <w:p w14:paraId="0D3C9E0A" w14:textId="7382D6C8" w:rsidR="00A62BAB" w:rsidRDefault="00D37170" w:rsidP="00D37170">
      <w:pPr>
        <w:pStyle w:val="NoSpacing"/>
      </w:pPr>
      <w:r>
        <w:t xml:space="preserve">This cultural discourse </w:t>
      </w:r>
      <w:r w:rsidR="00EC6984">
        <w:t>of Taiwaneseness a</w:t>
      </w:r>
      <w:r>
        <w:t xml:space="preserve">nd visualisation </w:t>
      </w:r>
      <w:r w:rsidR="00EC6984">
        <w:t xml:space="preserve">it as </w:t>
      </w:r>
      <w:r>
        <w:t xml:space="preserve">both ‘hybrid’ and ‘distinctive’ in Taiwanese floral chintz became also </w:t>
      </w:r>
      <w:r w:rsidR="00EC6984">
        <w:t>politicis</w:t>
      </w:r>
      <w:r>
        <w:t xml:space="preserve">ed.  </w:t>
      </w:r>
      <w:r w:rsidR="00A037A5">
        <w:t>L</w:t>
      </w:r>
      <w:r w:rsidR="000B658B">
        <w:t>ed by Chen Yu</w:t>
      </w:r>
      <w:r w:rsidR="00A037A5">
        <w:t xml:space="preserve">xiu, </w:t>
      </w:r>
      <w:r w:rsidR="00005BE6">
        <w:t xml:space="preserve">the Council for Cultural Affairs </w:t>
      </w:r>
      <w:r w:rsidR="000B658B">
        <w:t>(</w:t>
      </w:r>
      <w:r w:rsidR="00005BE6">
        <w:t>Wenjianhui</w:t>
      </w:r>
      <w:r w:rsidR="000304D9">
        <w:t>, former body of Wenhuapu</w:t>
      </w:r>
      <w:r w:rsidR="000B658B">
        <w:t xml:space="preserve">) under the previous government DPP </w:t>
      </w:r>
      <w:r w:rsidR="001C47A1">
        <w:t xml:space="preserve">(Democratic Progressive Party) </w:t>
      </w:r>
      <w:r w:rsidR="00A037A5">
        <w:t xml:space="preserve">started the project called ‘Taiwan Red’ in 2003.  She gathered opinions from eminent designers, artists, writers, </w:t>
      </w:r>
      <w:r w:rsidR="00663E99">
        <w:t>business people, academics of f</w:t>
      </w:r>
      <w:r w:rsidR="00A037A5">
        <w:t xml:space="preserve">olklore studies and natural scientists to </w:t>
      </w:r>
      <w:r w:rsidR="00C84D94">
        <w:t xml:space="preserve">search for the </w:t>
      </w:r>
      <w:r w:rsidR="00A037A5">
        <w:t>concept of ‘Taiwan Red’.  They tried to identify the concept of ‘Taiwan Red’ that characterises the essence of Taiwa</w:t>
      </w:r>
      <w:r w:rsidR="00C84D94">
        <w:t xml:space="preserve">nese culture which </w:t>
      </w:r>
      <w:r w:rsidR="00A037A5">
        <w:t>can be colour coded as the French culture is coded with the Red, White and Blue.  It has to be some kind of red as it is undeniably part of Chinese culture that is represented by red, but not the same as the red represented by PRC.</w:t>
      </w:r>
      <w:r w:rsidR="00A037A5">
        <w:rPr>
          <w:rStyle w:val="EndnoteReference"/>
        </w:rPr>
        <w:endnoteReference w:id="9"/>
      </w:r>
      <w:r w:rsidR="00A037A5">
        <w:t xml:space="preserve">  Under this politicised ‘Taiwan Red’ movement, t</w:t>
      </w:r>
      <w:r w:rsidR="00F2265E">
        <w:t xml:space="preserve">he floral chintz also </w:t>
      </w:r>
      <w:r w:rsidR="00A037A5">
        <w:t xml:space="preserve">played an important role.  </w:t>
      </w:r>
      <w:r w:rsidR="006A1BE8" w:rsidRPr="006A1BE8">
        <w:t>Wu Qi</w:t>
      </w:r>
      <w:r w:rsidR="006A1BE8">
        <w:t>ng</w:t>
      </w:r>
      <w:r w:rsidR="00041990">
        <w:t>g</w:t>
      </w:r>
      <w:r w:rsidR="006A1BE8">
        <w:t>ui</w:t>
      </w:r>
      <w:r w:rsidR="00F2265E">
        <w:t>, one of</w:t>
      </w:r>
      <w:r w:rsidR="00C84D94">
        <w:t xml:space="preserve"> the influential collaborators of this cultural movement, </w:t>
      </w:r>
      <w:r w:rsidR="000304D9">
        <w:rPr>
          <w:rFonts w:eastAsia="MS Mincho"/>
          <w:lang w:eastAsia="ja-JP"/>
        </w:rPr>
        <w:t>is a painter and</w:t>
      </w:r>
      <w:r w:rsidR="000304D9" w:rsidRPr="000304D9">
        <w:rPr>
          <w:rFonts w:eastAsia="MS Mincho"/>
          <w:lang w:eastAsia="ja-JP"/>
        </w:rPr>
        <w:t xml:space="preserve"> designer </w:t>
      </w:r>
      <w:r w:rsidR="00EC6984">
        <w:rPr>
          <w:rFonts w:eastAsia="MS Mincho"/>
          <w:lang w:eastAsia="ja-JP"/>
        </w:rPr>
        <w:t xml:space="preserve">who led the cultural industry.  </w:t>
      </w:r>
      <w:r w:rsidR="000304D9">
        <w:rPr>
          <w:lang w:eastAsia="ja-JP"/>
        </w:rPr>
        <w:t>She published elaborate catalogues and pattern books of Taiwan floral chintz and</w:t>
      </w:r>
      <w:r w:rsidR="00A62BAB">
        <w:rPr>
          <w:lang w:eastAsia="ja-JP"/>
        </w:rPr>
        <w:t xml:space="preserve"> made a visible connection between Taiwan floral chintz and the ‘Taiwan Red’ movement through her creative </w:t>
      </w:r>
      <w:r w:rsidR="00A62BAB">
        <w:t>design which I will discuss later.</w:t>
      </w:r>
      <w:r w:rsidR="000304D9">
        <w:t xml:space="preserve"> </w:t>
      </w:r>
    </w:p>
    <w:p w14:paraId="1168A017" w14:textId="77777777" w:rsidR="00A62BAB" w:rsidRDefault="00A62BAB" w:rsidP="00D37170">
      <w:pPr>
        <w:pStyle w:val="NoSpacing"/>
      </w:pPr>
    </w:p>
    <w:p w14:paraId="4D60A762" w14:textId="25268A57" w:rsidR="00EC0001" w:rsidRDefault="00083677" w:rsidP="00041990">
      <w:pPr>
        <w:rPr>
          <w:rFonts w:eastAsia="Times New Roman" w:cs="Times New Roman"/>
          <w:b/>
        </w:rPr>
      </w:pPr>
      <w:r>
        <w:rPr>
          <w:rFonts w:eastAsia="Times New Roman" w:cs="Times New Roman"/>
          <w:b/>
        </w:rPr>
        <w:t>Min-nan tradition vs Hakka tradition</w:t>
      </w:r>
    </w:p>
    <w:p w14:paraId="4A638147" w14:textId="349D2300" w:rsidR="00041990" w:rsidRPr="002B0B29" w:rsidRDefault="000304D9" w:rsidP="00C72362">
      <w:pPr>
        <w:pStyle w:val="NormalWeb"/>
        <w:spacing w:before="0" w:beforeAutospacing="0" w:after="0" w:afterAutospacing="0"/>
        <w:rPr>
          <w:rFonts w:ascii="Arial" w:eastAsia="ＭＳ 明朝" w:hAnsi="Arial" w:cs="Arial"/>
          <w:sz w:val="24"/>
          <w:szCs w:val="24"/>
          <w:lang w:eastAsia="ja-JP"/>
        </w:rPr>
      </w:pPr>
      <w:r>
        <w:rPr>
          <w:rFonts w:ascii="Arial" w:hAnsi="Arial" w:cs="Arial"/>
          <w:sz w:val="24"/>
          <w:szCs w:val="24"/>
          <w:lang w:eastAsia="ja-JP"/>
        </w:rPr>
        <w:t>The Taiwan Red under DPP was inclusive of all Taiwan’s multiple ethnicities including aboriginal people, and the flora chintz were seen to be not inseparable from this multiple ethnic culture</w:t>
      </w:r>
      <w:r w:rsidR="00C72362">
        <w:rPr>
          <w:rFonts w:ascii="Arial" w:hAnsi="Arial" w:cs="Arial"/>
          <w:sz w:val="24"/>
          <w:szCs w:val="24"/>
          <w:lang w:eastAsia="ja-JP"/>
        </w:rPr>
        <w:t xml:space="preserve">.  However, the floral chintz has increasingly been empowered by claim for </w:t>
      </w:r>
      <w:r w:rsidR="00C72362" w:rsidRPr="00C72362">
        <w:rPr>
          <w:rFonts w:ascii="Arial" w:eastAsia="ＭＳ 明朝" w:hAnsi="Arial" w:cs="Arial"/>
          <w:sz w:val="24"/>
          <w:szCs w:val="24"/>
          <w:lang w:eastAsia="ja-JP"/>
        </w:rPr>
        <w:t>the Min-nan Taiwanese tradition</w:t>
      </w:r>
      <w:r w:rsidR="00C72362">
        <w:rPr>
          <w:rFonts w:ascii="Arial" w:hAnsi="Arial" w:cs="Arial"/>
          <w:sz w:val="24"/>
          <w:szCs w:val="24"/>
          <w:lang w:eastAsia="ja-JP"/>
        </w:rPr>
        <w:t xml:space="preserve"> as in the Taichung exhibition and the Togo Village Art Museum, while also effectively strong claim by the </w:t>
      </w:r>
      <w:r w:rsidR="00C72362" w:rsidRPr="00C72362">
        <w:rPr>
          <w:rFonts w:ascii="Arial" w:hAnsi="Arial" w:cs="Arial"/>
          <w:sz w:val="24"/>
          <w:szCs w:val="24"/>
          <w:lang w:eastAsia="ja-JP"/>
        </w:rPr>
        <w:t>Hakka Taiwanese</w:t>
      </w:r>
      <w:r w:rsidR="00C72362" w:rsidRPr="002B0B29">
        <w:rPr>
          <w:rFonts w:ascii="Arial" w:hAnsi="Arial" w:cs="Arial"/>
          <w:sz w:val="24"/>
          <w:szCs w:val="24"/>
          <w:lang w:eastAsia="ja-JP"/>
        </w:rPr>
        <w:t xml:space="preserve">, but not by the aboriginal community.  The Hakka claim for their sole ownership is another </w:t>
      </w:r>
      <w:r w:rsidR="00FC025A" w:rsidRPr="002B0B29">
        <w:rPr>
          <w:rFonts w:ascii="Arial" w:eastAsia="ＭＳ 明朝" w:hAnsi="Arial" w:cs="Arial"/>
          <w:sz w:val="24"/>
          <w:szCs w:val="24"/>
          <w:lang w:eastAsia="ja-JP"/>
        </w:rPr>
        <w:t>involvement of a political agent</w:t>
      </w:r>
      <w:r w:rsidR="00C72362" w:rsidRPr="002B0B29">
        <w:rPr>
          <w:rFonts w:ascii="Arial" w:eastAsia="ＭＳ 明朝" w:hAnsi="Arial" w:cs="Arial"/>
          <w:sz w:val="24"/>
          <w:szCs w:val="24"/>
          <w:lang w:eastAsia="ja-JP"/>
        </w:rPr>
        <w:t>, namely</w:t>
      </w:r>
      <w:r w:rsidR="00FC025A" w:rsidRPr="002B0B29">
        <w:rPr>
          <w:rFonts w:ascii="Arial" w:eastAsia="ＭＳ 明朝" w:hAnsi="Arial" w:cs="Arial"/>
          <w:sz w:val="24"/>
          <w:szCs w:val="24"/>
          <w:lang w:eastAsia="ja-JP"/>
        </w:rPr>
        <w:t xml:space="preserve"> </w:t>
      </w:r>
      <w:r w:rsidR="000760FA" w:rsidRPr="002B0B29">
        <w:rPr>
          <w:rFonts w:ascii="Arial" w:eastAsia="ＭＳ 明朝" w:hAnsi="Arial" w:cs="Arial"/>
          <w:sz w:val="24"/>
          <w:szCs w:val="24"/>
          <w:lang w:eastAsia="ja-JP"/>
        </w:rPr>
        <w:t>the Hakka Affairs Council</w:t>
      </w:r>
      <w:r w:rsidR="002B0B29">
        <w:rPr>
          <w:rFonts w:ascii="Arial" w:eastAsia="ＭＳ 明朝" w:hAnsi="Arial" w:cs="Arial"/>
          <w:sz w:val="24"/>
          <w:szCs w:val="24"/>
          <w:lang w:eastAsia="ja-JP"/>
        </w:rPr>
        <w:t>.  According to Chang Su-hui</w:t>
      </w:r>
      <w:r w:rsidR="000760FA" w:rsidRPr="002B0B29">
        <w:rPr>
          <w:rFonts w:ascii="Arial" w:eastAsia="ＭＳ 明朝" w:hAnsi="Arial" w:cs="Arial"/>
          <w:sz w:val="24"/>
          <w:szCs w:val="24"/>
          <w:lang w:eastAsia="ja-JP"/>
        </w:rPr>
        <w:t xml:space="preserve">, </w:t>
      </w:r>
      <w:r w:rsidR="00EC0001" w:rsidRPr="002B0B29">
        <w:rPr>
          <w:rFonts w:ascii="Arial" w:eastAsia="ＭＳ 明朝" w:hAnsi="Arial" w:cs="Arial"/>
          <w:sz w:val="24"/>
          <w:szCs w:val="24"/>
          <w:lang w:eastAsia="ja-JP"/>
        </w:rPr>
        <w:t xml:space="preserve">the exhibition </w:t>
      </w:r>
      <w:r w:rsidR="004272CD" w:rsidRPr="002B0B29">
        <w:rPr>
          <w:rFonts w:ascii="Arial" w:eastAsia="ＭＳ 明朝" w:hAnsi="Arial" w:cs="Arial"/>
          <w:sz w:val="24"/>
          <w:szCs w:val="24"/>
          <w:lang w:eastAsia="ja-JP"/>
        </w:rPr>
        <w:t>‘Beautiful Floral Chintz: Hakka Women’s Aesthetic of Life’ (</w:t>
      </w:r>
      <w:r w:rsidR="00F24F08">
        <w:rPr>
          <w:rFonts w:ascii="ＭＳ 明朝" w:eastAsia="ＭＳ 明朝" w:hAnsi="Arial" w:cs="Arial" w:hint="eastAsia"/>
          <w:b/>
          <w:bCs/>
        </w:rPr>
        <w:t>花布靚靚─</w:t>
      </w:r>
      <w:r w:rsidR="00EC0001" w:rsidRPr="00005BE6">
        <w:rPr>
          <w:rFonts w:ascii="ＭＳ 明朝" w:eastAsia="ＭＳ 明朝" w:hAnsi="Arial" w:cs="Arial" w:hint="eastAsia"/>
          <w:b/>
          <w:bCs/>
        </w:rPr>
        <w:t>客家女性生活美學</w:t>
      </w:r>
      <w:r w:rsidR="004272CD" w:rsidRPr="002B0B29">
        <w:rPr>
          <w:rFonts w:ascii="Arial" w:hAnsi="Arial" w:cs="Arial"/>
          <w:bCs/>
          <w:sz w:val="24"/>
          <w:szCs w:val="24"/>
          <w:lang w:eastAsia="ja-JP"/>
        </w:rPr>
        <w:t>)</w:t>
      </w:r>
      <w:r w:rsidR="00EC0001" w:rsidRPr="002B0B29">
        <w:rPr>
          <w:rFonts w:ascii="Arial" w:hAnsi="Arial" w:cs="Arial"/>
          <w:bCs/>
          <w:sz w:val="24"/>
          <w:szCs w:val="24"/>
          <w:lang w:eastAsia="ja-JP"/>
        </w:rPr>
        <w:t xml:space="preserve"> held in 2002 endorsed by the Hakka Affairs Council marked the Hakka association with the floral chintz, and there was no identification before 2002.</w:t>
      </w:r>
      <w:r w:rsidR="000760FA" w:rsidRPr="002B0B29">
        <w:rPr>
          <w:rStyle w:val="EndnoteReference"/>
          <w:rFonts w:ascii="Arial" w:eastAsia="ＭＳ 明朝" w:hAnsi="Arial" w:cs="Arial"/>
          <w:sz w:val="24"/>
          <w:szCs w:val="24"/>
          <w:lang w:eastAsia="ja-JP"/>
        </w:rPr>
        <w:endnoteReference w:id="10"/>
      </w:r>
      <w:r w:rsidR="005B1434" w:rsidRPr="002B0B29">
        <w:rPr>
          <w:rFonts w:ascii="Arial" w:hAnsi="Arial" w:cs="Arial"/>
          <w:bCs/>
          <w:sz w:val="24"/>
          <w:szCs w:val="24"/>
          <w:lang w:eastAsia="ja-JP"/>
        </w:rPr>
        <w:t xml:space="preserve">  It commemorates Hakka women’s hard work in the field and their </w:t>
      </w:r>
      <w:r w:rsidR="00297193" w:rsidRPr="002B0B29">
        <w:rPr>
          <w:rFonts w:ascii="Arial" w:hAnsi="Arial" w:cs="Arial"/>
          <w:bCs/>
          <w:sz w:val="24"/>
          <w:szCs w:val="24"/>
          <w:lang w:eastAsia="ja-JP"/>
        </w:rPr>
        <w:t xml:space="preserve">aesthetic in daily life that is represented by floral chintz.  This Hakka ownership of this floral chintz has become increasingly visible through Hakka’s annual </w:t>
      </w:r>
      <w:r w:rsidR="002A28BE" w:rsidRPr="002B0B29">
        <w:rPr>
          <w:rFonts w:ascii="Arial" w:hAnsi="Arial" w:cs="Arial"/>
          <w:bCs/>
          <w:sz w:val="24"/>
          <w:szCs w:val="24"/>
          <w:lang w:eastAsia="ja-JP"/>
        </w:rPr>
        <w:t>Tung</w:t>
      </w:r>
      <w:r w:rsidR="002A28BE" w:rsidRPr="002B0B29">
        <w:rPr>
          <w:rFonts w:ascii="Arial" w:eastAsia="ＭＳ 明朝" w:hAnsi="Arial" w:cs="Arial"/>
          <w:bCs/>
          <w:sz w:val="24"/>
          <w:szCs w:val="24"/>
          <w:lang w:eastAsia="ja-JP"/>
        </w:rPr>
        <w:t xml:space="preserve"> blossom </w:t>
      </w:r>
      <w:r w:rsidR="002A28BE" w:rsidRPr="002B0B29">
        <w:rPr>
          <w:rFonts w:ascii="Arial" w:hAnsi="Arial" w:cs="Arial"/>
          <w:bCs/>
          <w:sz w:val="24"/>
          <w:szCs w:val="24"/>
          <w:lang w:eastAsia="ja-JP"/>
        </w:rPr>
        <w:t xml:space="preserve">festivals in spring across the country which also initiated by the Hakka Affairs Council. </w:t>
      </w:r>
      <w:r w:rsidR="003F1003" w:rsidRPr="002B0B29">
        <w:rPr>
          <w:rFonts w:ascii="Arial" w:eastAsia="ＭＳ 明朝" w:hAnsi="Arial" w:cs="Arial"/>
          <w:sz w:val="24"/>
          <w:szCs w:val="24"/>
          <w:lang w:eastAsia="ja-JP"/>
        </w:rPr>
        <w:t>(</w:t>
      </w:r>
      <w:r w:rsidR="003F1003" w:rsidRPr="002B0B29">
        <w:rPr>
          <w:rFonts w:ascii="Arial" w:eastAsia="ＭＳ 明朝" w:hAnsi="Arial" w:cs="Arial"/>
          <w:b/>
          <w:sz w:val="24"/>
          <w:szCs w:val="24"/>
          <w:lang w:eastAsia="ja-JP"/>
        </w:rPr>
        <w:t>Fig.</w:t>
      </w:r>
      <w:r w:rsidR="003F1003" w:rsidRPr="002B0B29">
        <w:rPr>
          <w:rFonts w:ascii="Arial" w:eastAsia="ＭＳ 明朝" w:hAnsi="Arial" w:cs="Arial"/>
          <w:sz w:val="24"/>
          <w:szCs w:val="24"/>
          <w:lang w:eastAsia="ja-JP"/>
        </w:rPr>
        <w:t>)</w:t>
      </w:r>
      <w:r w:rsidR="00041990" w:rsidRPr="002B0B29">
        <w:rPr>
          <w:rFonts w:ascii="Arial" w:eastAsia="ＭＳ 明朝" w:hAnsi="Arial" w:cs="Arial"/>
          <w:sz w:val="24"/>
          <w:szCs w:val="24"/>
          <w:lang w:eastAsia="ja-JP"/>
        </w:rPr>
        <w:t xml:space="preserve"> </w:t>
      </w:r>
      <w:r w:rsidR="006F6A10" w:rsidRPr="002B0B29">
        <w:rPr>
          <w:rFonts w:ascii="Arial" w:eastAsia="ＭＳ 明朝" w:hAnsi="Arial" w:cs="Arial"/>
          <w:sz w:val="24"/>
          <w:szCs w:val="24"/>
          <w:lang w:eastAsia="ja-JP"/>
        </w:rPr>
        <w:t xml:space="preserve">The Hakka </w:t>
      </w:r>
      <w:r w:rsidR="00650743" w:rsidRPr="002B0B29">
        <w:rPr>
          <w:rFonts w:ascii="Arial" w:eastAsia="ＭＳ 明朝" w:hAnsi="Arial" w:cs="Arial"/>
          <w:sz w:val="24"/>
          <w:szCs w:val="24"/>
          <w:lang w:eastAsia="ja-JP"/>
        </w:rPr>
        <w:t>Affairs Council has been</w:t>
      </w:r>
      <w:r w:rsidR="006F6A10" w:rsidRPr="002B0B29">
        <w:rPr>
          <w:rFonts w:ascii="Arial" w:eastAsia="ＭＳ 明朝" w:hAnsi="Arial" w:cs="Arial"/>
          <w:sz w:val="24"/>
          <w:szCs w:val="24"/>
          <w:lang w:eastAsia="ja-JP"/>
        </w:rPr>
        <w:t xml:space="preserve"> funding academic studies on Hakka studies, and </w:t>
      </w:r>
      <w:r w:rsidR="00041990" w:rsidRPr="002B0B29">
        <w:rPr>
          <w:rFonts w:ascii="Arial" w:eastAsia="ＭＳ 明朝" w:hAnsi="Arial" w:cs="Arial"/>
          <w:sz w:val="24"/>
          <w:szCs w:val="24"/>
          <w:lang w:eastAsia="ja-JP"/>
        </w:rPr>
        <w:t xml:space="preserve">several </w:t>
      </w:r>
      <w:r w:rsidR="006F6A10" w:rsidRPr="002B0B29">
        <w:rPr>
          <w:rFonts w:ascii="Arial" w:eastAsia="ＭＳ 明朝" w:hAnsi="Arial" w:cs="Arial"/>
          <w:sz w:val="24"/>
          <w:szCs w:val="24"/>
          <w:lang w:eastAsia="ja-JP"/>
        </w:rPr>
        <w:t xml:space="preserve">MA </w:t>
      </w:r>
      <w:r w:rsidR="00041990" w:rsidRPr="002B0B29">
        <w:rPr>
          <w:rFonts w:ascii="Arial" w:eastAsia="ＭＳ 明朝" w:hAnsi="Arial" w:cs="Arial"/>
          <w:sz w:val="24"/>
          <w:szCs w:val="24"/>
          <w:lang w:eastAsia="ja-JP"/>
        </w:rPr>
        <w:t xml:space="preserve">thesis </w:t>
      </w:r>
      <w:r w:rsidR="006F6A10" w:rsidRPr="002B0B29">
        <w:rPr>
          <w:rFonts w:ascii="Arial" w:eastAsia="ＭＳ 明朝" w:hAnsi="Arial" w:cs="Arial"/>
          <w:sz w:val="24"/>
          <w:szCs w:val="24"/>
          <w:lang w:eastAsia="ja-JP"/>
        </w:rPr>
        <w:t xml:space="preserve">on the floral chintz have been funded, </w:t>
      </w:r>
      <w:r w:rsidR="00041990" w:rsidRPr="002B0B29">
        <w:rPr>
          <w:rFonts w:ascii="Arial" w:eastAsia="ＭＳ 明朝" w:hAnsi="Arial" w:cs="Arial"/>
          <w:sz w:val="24"/>
          <w:szCs w:val="24"/>
          <w:lang w:eastAsia="ja-JP"/>
        </w:rPr>
        <w:t xml:space="preserve">for example from the National </w:t>
      </w:r>
      <w:r w:rsidR="00650743" w:rsidRPr="002B0B29">
        <w:rPr>
          <w:rFonts w:ascii="Arial" w:eastAsia="ＭＳ 明朝" w:hAnsi="Arial" w:cs="Arial"/>
          <w:sz w:val="24"/>
          <w:szCs w:val="24"/>
          <w:lang w:eastAsia="ja-JP"/>
        </w:rPr>
        <w:t xml:space="preserve">Central </w:t>
      </w:r>
      <w:r w:rsidR="00041990" w:rsidRPr="002B0B29">
        <w:rPr>
          <w:rFonts w:ascii="Arial" w:eastAsia="ＭＳ 明朝" w:hAnsi="Arial" w:cs="Arial"/>
          <w:sz w:val="24"/>
          <w:szCs w:val="24"/>
          <w:lang w:eastAsia="ja-JP"/>
        </w:rPr>
        <w:t>University.</w:t>
      </w:r>
      <w:r w:rsidR="00041990" w:rsidRPr="002B0B29">
        <w:rPr>
          <w:rStyle w:val="EndnoteReference"/>
          <w:rFonts w:ascii="Arial" w:eastAsia="ＭＳ 明朝" w:hAnsi="Arial" w:cs="Arial"/>
          <w:sz w:val="24"/>
          <w:szCs w:val="24"/>
          <w:lang w:eastAsia="ja-JP"/>
        </w:rPr>
        <w:endnoteReference w:id="11"/>
      </w:r>
      <w:r w:rsidR="00041990" w:rsidRPr="002B0B29">
        <w:rPr>
          <w:rFonts w:ascii="Arial" w:eastAsia="ＭＳ 明朝" w:hAnsi="Arial" w:cs="Arial"/>
          <w:sz w:val="24"/>
          <w:szCs w:val="24"/>
          <w:lang w:eastAsia="ja-JP"/>
        </w:rPr>
        <w:t xml:space="preserve">  </w:t>
      </w:r>
    </w:p>
    <w:p w14:paraId="66635B74" w14:textId="77777777" w:rsidR="00041990" w:rsidRDefault="00041990" w:rsidP="00041990">
      <w:pPr>
        <w:rPr>
          <w:rFonts w:eastAsia="ＭＳ 明朝"/>
          <w:lang w:eastAsia="ja-JP"/>
        </w:rPr>
      </w:pPr>
    </w:p>
    <w:p w14:paraId="2892F824" w14:textId="6A19F0FC" w:rsidR="00212F4C" w:rsidRDefault="00212F4C" w:rsidP="00041990">
      <w:pPr>
        <w:rPr>
          <w:rFonts w:eastAsia="ＭＳ 明朝"/>
          <w:lang w:eastAsia="ja-JP"/>
        </w:rPr>
      </w:pPr>
      <w:r>
        <w:rPr>
          <w:rFonts w:eastAsia="ＭＳ 明朝"/>
          <w:lang w:eastAsia="ja-JP"/>
        </w:rPr>
        <w:t>Taiwan floral chintz has sparked the political movements in various ways.</w:t>
      </w:r>
      <w:r w:rsidR="00D55DAA">
        <w:rPr>
          <w:rFonts w:eastAsia="ＭＳ 明朝"/>
          <w:lang w:eastAsia="ja-JP"/>
        </w:rPr>
        <w:t xml:space="preserve"> The </w:t>
      </w:r>
      <w:r>
        <w:rPr>
          <w:rFonts w:eastAsia="ＭＳ 明朝"/>
          <w:lang w:eastAsia="ja-JP"/>
        </w:rPr>
        <w:t>‘Taiwan Red’ movement under DPP seems to reflect Taiwan’s international diplomacy in min</w:t>
      </w:r>
      <w:r w:rsidR="00663E99">
        <w:rPr>
          <w:rFonts w:eastAsia="ＭＳ 明朝"/>
          <w:lang w:eastAsia="ja-JP"/>
        </w:rPr>
        <w:t>d, and resistance to PRC, while</w:t>
      </w:r>
      <w:r>
        <w:rPr>
          <w:rFonts w:eastAsia="ＭＳ 明朝"/>
          <w:lang w:eastAsia="ja-JP"/>
        </w:rPr>
        <w:t xml:space="preserve"> the </w:t>
      </w:r>
      <w:r w:rsidR="00230611">
        <w:rPr>
          <w:rFonts w:eastAsia="ＭＳ 明朝"/>
          <w:lang w:eastAsia="ja-JP"/>
        </w:rPr>
        <w:t xml:space="preserve">separate claims by the Min-nan and the </w:t>
      </w:r>
      <w:r>
        <w:rPr>
          <w:rFonts w:eastAsia="ＭＳ 明朝"/>
          <w:lang w:eastAsia="ja-JP"/>
        </w:rPr>
        <w:t xml:space="preserve">Hakka </w:t>
      </w:r>
      <w:r w:rsidR="00230611">
        <w:rPr>
          <w:rFonts w:eastAsia="ＭＳ 明朝"/>
          <w:lang w:eastAsia="ja-JP"/>
        </w:rPr>
        <w:t xml:space="preserve">ethnic groups seem to reflect </w:t>
      </w:r>
      <w:r>
        <w:rPr>
          <w:rFonts w:eastAsia="ＭＳ 明朝"/>
          <w:lang w:eastAsia="ja-JP"/>
        </w:rPr>
        <w:t xml:space="preserve">Taiwan’s domestic </w:t>
      </w:r>
      <w:r w:rsidR="00230611">
        <w:rPr>
          <w:rFonts w:eastAsia="ＭＳ 明朝"/>
          <w:lang w:eastAsia="ja-JP"/>
        </w:rPr>
        <w:t xml:space="preserve">political </w:t>
      </w:r>
      <w:r>
        <w:rPr>
          <w:rFonts w:eastAsia="ＭＳ 明朝"/>
          <w:lang w:eastAsia="ja-JP"/>
        </w:rPr>
        <w:t xml:space="preserve">issue. </w:t>
      </w:r>
    </w:p>
    <w:p w14:paraId="0BDEF493" w14:textId="77777777" w:rsidR="00212F4C" w:rsidRPr="002B0B29" w:rsidRDefault="00212F4C" w:rsidP="00041990">
      <w:pPr>
        <w:rPr>
          <w:rFonts w:eastAsia="ＭＳ 明朝"/>
          <w:lang w:eastAsia="ja-JP"/>
        </w:rPr>
      </w:pPr>
    </w:p>
    <w:p w14:paraId="36B32B8B" w14:textId="77777777" w:rsidR="00D12D43" w:rsidRDefault="00D12D43" w:rsidP="00613D1C">
      <w:pPr>
        <w:rPr>
          <w:b/>
          <w:sz w:val="28"/>
          <w:szCs w:val="28"/>
        </w:rPr>
      </w:pPr>
    </w:p>
    <w:p w14:paraId="57D4CF21" w14:textId="7323EAAB" w:rsidR="00613D1C" w:rsidRDefault="00B21BA0" w:rsidP="00613D1C">
      <w:pPr>
        <w:rPr>
          <w:b/>
          <w:sz w:val="28"/>
          <w:szCs w:val="28"/>
        </w:rPr>
      </w:pPr>
      <w:r>
        <w:rPr>
          <w:b/>
          <w:sz w:val="28"/>
          <w:szCs w:val="28"/>
        </w:rPr>
        <w:t xml:space="preserve">‘Vernacular Cosmopolitanism’ </w:t>
      </w:r>
    </w:p>
    <w:p w14:paraId="1EE5777A" w14:textId="4527539A" w:rsidR="00A65161" w:rsidRDefault="00D37170">
      <w:r w:rsidRPr="00D55DAA">
        <w:rPr>
          <w:rFonts w:eastAsia="Times New Roman" w:cs="Times New Roman"/>
        </w:rPr>
        <w:t xml:space="preserve">The cultural discourse </w:t>
      </w:r>
      <w:r w:rsidR="00EE2E48" w:rsidRPr="00D55DAA">
        <w:rPr>
          <w:rFonts w:eastAsia="Times New Roman" w:cs="Times New Roman"/>
        </w:rPr>
        <w:t>and visualization of ‘hybrid</w:t>
      </w:r>
      <w:r w:rsidRPr="00D55DAA">
        <w:rPr>
          <w:rFonts w:eastAsia="Times New Roman" w:cs="Times New Roman"/>
        </w:rPr>
        <w:t xml:space="preserve">’ </w:t>
      </w:r>
      <w:r w:rsidR="00EE2E48" w:rsidRPr="00D55DAA">
        <w:rPr>
          <w:rFonts w:eastAsia="Times New Roman" w:cs="Times New Roman"/>
        </w:rPr>
        <w:t>at the same time ‘distinctiv</w:t>
      </w:r>
      <w:r w:rsidR="00D55DAA" w:rsidRPr="00D55DAA">
        <w:rPr>
          <w:rFonts w:eastAsia="Times New Roman" w:cs="Times New Roman"/>
        </w:rPr>
        <w:t xml:space="preserve">e’ seem somewhat contradictory, but it is providing a flexible space connecting from the domestic ethnic identity to a wider outside world. </w:t>
      </w:r>
      <w:r w:rsidR="00D55DAA" w:rsidRPr="00D55DAA">
        <w:t xml:space="preserve"> </w:t>
      </w:r>
      <w:r w:rsidR="00466D8E" w:rsidRPr="00D55DAA">
        <w:rPr>
          <w:lang w:eastAsia="ja-JP"/>
        </w:rPr>
        <w:t xml:space="preserve">Cultural critic, </w:t>
      </w:r>
      <w:r w:rsidR="00EE2E48" w:rsidRPr="00D55DAA">
        <w:rPr>
          <w:lang w:eastAsia="ja-JP"/>
        </w:rPr>
        <w:t xml:space="preserve">Shih Shu-mei </w:t>
      </w:r>
      <w:r w:rsidR="00A65161" w:rsidRPr="00D55DAA">
        <w:rPr>
          <w:lang w:eastAsia="ja-JP"/>
        </w:rPr>
        <w:t xml:space="preserve">also </w:t>
      </w:r>
      <w:r w:rsidR="00466D8E" w:rsidRPr="00D55DAA">
        <w:rPr>
          <w:lang w:eastAsia="ja-JP"/>
        </w:rPr>
        <w:t>observes</w:t>
      </w:r>
      <w:r w:rsidR="00466D8E">
        <w:rPr>
          <w:lang w:eastAsia="ja-JP"/>
        </w:rPr>
        <w:t xml:space="preserve"> </w:t>
      </w:r>
      <w:r w:rsidR="00D55DAA">
        <w:rPr>
          <w:lang w:eastAsia="ja-JP"/>
        </w:rPr>
        <w:t>this</w:t>
      </w:r>
      <w:r w:rsidR="00A65161">
        <w:rPr>
          <w:lang w:eastAsia="ja-JP"/>
        </w:rPr>
        <w:t xml:space="preserve"> current phenomenon of </w:t>
      </w:r>
      <w:r w:rsidR="00466D8E" w:rsidRPr="00466D8E">
        <w:t>‘the refashi</w:t>
      </w:r>
      <w:r w:rsidR="00A65161">
        <w:t xml:space="preserve">oning of Taiwaneseness’ </w:t>
      </w:r>
      <w:r w:rsidR="00466D8E" w:rsidRPr="00466D8E">
        <w:t>undergoing in ‘all its contestatory and contradictory ways, as the official discourse increasingly comes to adopt a multicultural, multiethnic, and multilingual orientation’</w:t>
      </w:r>
      <w:r w:rsidR="00466D8E">
        <w:t>.</w:t>
      </w:r>
      <w:r w:rsidR="00466D8E" w:rsidRPr="00466D8E">
        <w:rPr>
          <w:rStyle w:val="EndnoteReference"/>
        </w:rPr>
        <w:t xml:space="preserve"> </w:t>
      </w:r>
      <w:r w:rsidR="00466D8E" w:rsidRPr="00466D8E">
        <w:rPr>
          <w:rStyle w:val="EndnoteReference"/>
        </w:rPr>
        <w:endnoteReference w:id="12"/>
      </w:r>
      <w:r w:rsidR="00466D8E" w:rsidRPr="00466D8E">
        <w:t xml:space="preserve">  </w:t>
      </w:r>
      <w:r w:rsidR="00A65161">
        <w:t xml:space="preserve">She </w:t>
      </w:r>
      <w:r w:rsidR="00504C4F">
        <w:t xml:space="preserve">calls this </w:t>
      </w:r>
      <w:r w:rsidR="00A65161">
        <w:rPr>
          <w:lang w:eastAsia="ja-JP"/>
        </w:rPr>
        <w:t xml:space="preserve">‘vernacular cosmopolitanism’ </w:t>
      </w:r>
      <w:r w:rsidR="003729C7">
        <w:rPr>
          <w:lang w:eastAsia="ja-JP"/>
        </w:rPr>
        <w:t xml:space="preserve">that is the characteristic of </w:t>
      </w:r>
      <w:r w:rsidR="00A65161">
        <w:rPr>
          <w:lang w:eastAsia="ja-JP"/>
        </w:rPr>
        <w:t xml:space="preserve">Taiwan’s </w:t>
      </w:r>
      <w:r w:rsidR="003729C7">
        <w:rPr>
          <w:lang w:eastAsia="ja-JP"/>
        </w:rPr>
        <w:t xml:space="preserve">unique </w:t>
      </w:r>
      <w:r w:rsidR="00A65161">
        <w:rPr>
          <w:lang w:eastAsia="ja-JP"/>
        </w:rPr>
        <w:t xml:space="preserve">cultural strategy </w:t>
      </w:r>
      <w:r w:rsidR="003729C7">
        <w:rPr>
          <w:lang w:eastAsia="ja-JP"/>
        </w:rPr>
        <w:t xml:space="preserve">for Taiwan to survive through its </w:t>
      </w:r>
      <w:r w:rsidR="00A65161">
        <w:t>vulnerable and precarious international position ‘squarely caught between the sometimes feuding sometimes collaborating empires of the United States and China’.</w:t>
      </w:r>
      <w:r w:rsidR="00A65161">
        <w:rPr>
          <w:rStyle w:val="EndnoteReference"/>
        </w:rPr>
        <w:endnoteReference w:id="13"/>
      </w:r>
    </w:p>
    <w:p w14:paraId="29A270E5" w14:textId="652FAC97" w:rsidR="00CF7F6B" w:rsidRPr="0071593C" w:rsidRDefault="003729C7">
      <w:r>
        <w:t xml:space="preserve">‘Cosmopolitanism’ is key </w:t>
      </w:r>
      <w:r w:rsidR="00504C4F">
        <w:t>because of its ‘portability and visibility’ enable ‘multiple registers and references’ beyond these empires.  It also ‘</w:t>
      </w:r>
      <w:r>
        <w:t>draws on the resources of Taiwan’s multiculture as well as world culture with multiple forms and objects of address, so that it is possible to break from the circuit of oppression and marginalization</w:t>
      </w:r>
      <w:r w:rsidR="00504C4F">
        <w:t>’.</w:t>
      </w:r>
      <w:r w:rsidR="00504C4F">
        <w:rPr>
          <w:rStyle w:val="EndnoteReference"/>
        </w:rPr>
        <w:endnoteReference w:id="14"/>
      </w:r>
      <w:r>
        <w:t xml:space="preserve"> </w:t>
      </w:r>
      <w:r w:rsidR="00D55DAA">
        <w:t xml:space="preserve"> Taiwanese floral chintz’s phenomenon al</w:t>
      </w:r>
      <w:r w:rsidR="007E61EB">
        <w:t>so has this characteristic</w:t>
      </w:r>
      <w:r w:rsidR="00D55DAA">
        <w:t xml:space="preserve"> </w:t>
      </w:r>
      <w:r w:rsidR="007E61EB">
        <w:t>of ‘Vernacular Cosmopolitanism’ that creates multiple registers and references with Taiwanese grandmas, the Minnan people, the Hakka people to Chinese, Japanese and Western traditions.</w:t>
      </w:r>
      <w:r w:rsidR="00E47BD2">
        <w:t xml:space="preserve">  Vernacularity is firmly situated in Taiwanese everydayness of this chintz.  This everydayness through community participation in Taiwan, artists presentation in international exhibitions, and domestic and international consumption of newly desi</w:t>
      </w:r>
      <w:r w:rsidR="00B840C8">
        <w:t xml:space="preserve">gned products, it not only becomes </w:t>
      </w:r>
      <w:r w:rsidR="00E47BD2">
        <w:t xml:space="preserve">transnational, but also </w:t>
      </w:r>
      <w:r w:rsidR="00B840C8">
        <w:t xml:space="preserve">cross visual cultural boundaries of </w:t>
      </w:r>
      <w:r w:rsidR="00E47BD2">
        <w:t xml:space="preserve">art-craft-design.  </w:t>
      </w:r>
      <w:r w:rsidR="007E61EB">
        <w:rPr>
          <w:lang w:eastAsia="ja-JP"/>
        </w:rPr>
        <w:t>Taiwanese floral chintz, though d</w:t>
      </w:r>
      <w:r w:rsidR="00CF7F6B">
        <w:rPr>
          <w:lang w:eastAsia="ja-JP"/>
        </w:rPr>
        <w:t>isarming</w:t>
      </w:r>
      <w:r w:rsidR="007E61EB">
        <w:rPr>
          <w:lang w:eastAsia="ja-JP"/>
        </w:rPr>
        <w:t>ly soft</w:t>
      </w:r>
      <w:r w:rsidR="00B840C8">
        <w:rPr>
          <w:lang w:eastAsia="ja-JP"/>
        </w:rPr>
        <w:t>, light</w:t>
      </w:r>
      <w:r w:rsidR="007E61EB">
        <w:rPr>
          <w:lang w:eastAsia="ja-JP"/>
        </w:rPr>
        <w:t xml:space="preserve"> and pretty </w:t>
      </w:r>
      <w:r w:rsidR="00B840C8">
        <w:rPr>
          <w:lang w:eastAsia="ja-JP"/>
        </w:rPr>
        <w:t>little object</w:t>
      </w:r>
      <w:r w:rsidR="007E61EB">
        <w:rPr>
          <w:lang w:eastAsia="ja-JP"/>
        </w:rPr>
        <w:t xml:space="preserve">, </w:t>
      </w:r>
      <w:r w:rsidR="00B840C8">
        <w:rPr>
          <w:lang w:eastAsia="ja-JP"/>
        </w:rPr>
        <w:t xml:space="preserve">has a unique power </w:t>
      </w:r>
      <w:r w:rsidR="007E61EB">
        <w:rPr>
          <w:lang w:eastAsia="ja-JP"/>
        </w:rPr>
        <w:t xml:space="preserve">as </w:t>
      </w:r>
      <w:r w:rsidR="00B840C8">
        <w:rPr>
          <w:lang w:eastAsia="ja-JP"/>
        </w:rPr>
        <w:t xml:space="preserve">a </w:t>
      </w:r>
      <w:r w:rsidR="007E61EB">
        <w:rPr>
          <w:lang w:eastAsia="ja-JP"/>
        </w:rPr>
        <w:t xml:space="preserve">cultural weapon.  </w:t>
      </w:r>
    </w:p>
    <w:p w14:paraId="2849EF32" w14:textId="77777777" w:rsidR="00B521B4" w:rsidRPr="0071593C" w:rsidRDefault="00B521B4">
      <w:pPr>
        <w:rPr>
          <w:lang w:eastAsia="ja-JP"/>
        </w:rPr>
      </w:pPr>
    </w:p>
    <w:p w14:paraId="147A6548" w14:textId="77777777" w:rsidR="007B6832" w:rsidRDefault="007B6832" w:rsidP="007B6832">
      <w:pPr>
        <w:rPr>
          <w:rFonts w:eastAsia="MS Mincho"/>
          <w:lang w:eastAsia="ja-JP"/>
        </w:rPr>
      </w:pPr>
    </w:p>
    <w:p w14:paraId="3C924DD2" w14:textId="1AB07CBC" w:rsidR="00083677" w:rsidRPr="00083677" w:rsidRDefault="00083677" w:rsidP="00083677">
      <w:pPr>
        <w:rPr>
          <w:b/>
          <w:sz w:val="28"/>
          <w:szCs w:val="28"/>
          <w:lang w:eastAsia="ja-JP"/>
        </w:rPr>
      </w:pPr>
      <w:r w:rsidRPr="00083677">
        <w:rPr>
          <w:b/>
          <w:sz w:val="28"/>
          <w:szCs w:val="28"/>
          <w:lang w:eastAsia="ja-JP"/>
        </w:rPr>
        <w:t xml:space="preserve">Creative Culture Industry and Retro Revival </w:t>
      </w:r>
    </w:p>
    <w:p w14:paraId="53C03300" w14:textId="75DF04F0" w:rsidR="00083677" w:rsidRDefault="002F339C" w:rsidP="00A62BAB">
      <w:pPr>
        <w:pStyle w:val="NoSpacing"/>
        <w:rPr>
          <w:lang w:eastAsia="ja-JP"/>
        </w:rPr>
      </w:pPr>
      <w:r>
        <w:rPr>
          <w:rFonts w:eastAsia="ＭＳ Ｐゴシック"/>
          <w:lang w:eastAsia="ja-JP"/>
        </w:rPr>
        <w:t xml:space="preserve">Lastly, I would like to look into the creative cultural industry of Taiwan floral chintz.  It is promoted by the government, and spread widely inspired designers, community circles and DIY hobbyists interest in creating new products. </w:t>
      </w:r>
      <w:r w:rsidR="00B23AF2">
        <w:rPr>
          <w:rFonts w:eastAsia="ＭＳ Ｐゴシック"/>
          <w:lang w:eastAsia="ja-JP"/>
        </w:rPr>
        <w:t xml:space="preserve"> </w:t>
      </w:r>
      <w:r w:rsidR="00083677">
        <w:rPr>
          <w:rFonts w:eastAsia="ＭＳ Ｐゴシック"/>
          <w:lang w:eastAsia="ja-JP"/>
        </w:rPr>
        <w:t xml:space="preserve">The Council for </w:t>
      </w:r>
      <w:r w:rsidR="00083677" w:rsidRPr="005A1BDD">
        <w:rPr>
          <w:rFonts w:eastAsia="ＭＳ Ｐゴシック"/>
          <w:lang w:eastAsia="ja-JP"/>
        </w:rPr>
        <w:t xml:space="preserve">Cultural </w:t>
      </w:r>
      <w:r w:rsidR="00083677">
        <w:rPr>
          <w:rFonts w:eastAsia="ＭＳ Ｐゴシック"/>
          <w:lang w:eastAsia="ja-JP"/>
        </w:rPr>
        <w:t>Affairs’ president Chen Yuxiu emphasized the importance of cultural creative industry and the government’s promotion of it through cultural policies, because that would develop international trade and enrich people’s life.</w:t>
      </w:r>
      <w:r w:rsidR="00083677" w:rsidRPr="005A1BDD">
        <w:rPr>
          <w:rStyle w:val="EndnoteReference"/>
          <w:rFonts w:eastAsia="ＭＳ Ｐゴシック"/>
        </w:rPr>
        <w:endnoteReference w:id="15"/>
      </w:r>
      <w:r w:rsidR="00083677">
        <w:rPr>
          <w:rFonts w:ascii="Microsoft Yi Baiti" w:eastAsia="Times New Roman" w:hAnsi="Microsoft Yi Baiti" w:cs="Microsoft Yi Baiti"/>
        </w:rPr>
        <w:t xml:space="preserve">  </w:t>
      </w:r>
      <w:r w:rsidR="00A62BAB">
        <w:t xml:space="preserve">Wu Qinggui who was involved in the ‘Taiwan Red’ movement </w:t>
      </w:r>
      <w:r w:rsidR="00A62BAB">
        <w:rPr>
          <w:lang w:eastAsia="ja-JP"/>
        </w:rPr>
        <w:t>set the first wave of creative cultural industry by creating design ideas f</w:t>
      </w:r>
      <w:r w:rsidR="00A62BAB">
        <w:t>rom her Spring Red Color (?) studio (Chun Cai Hong</w:t>
      </w:r>
      <w:r w:rsidR="00A62BAB" w:rsidRPr="00005BE6">
        <w:rPr>
          <w:rFonts w:ascii="ＭＳ 明朝" w:eastAsia="ＭＳ 明朝" w:hint="eastAsia"/>
          <w:sz w:val="20"/>
          <w:szCs w:val="20"/>
        </w:rPr>
        <w:t>春采紅工作室</w:t>
      </w:r>
      <w:r w:rsidR="00A62BAB">
        <w:rPr>
          <w:rFonts w:hint="eastAsia"/>
          <w:lang w:eastAsia="ja-JP"/>
        </w:rPr>
        <w:t>)</w:t>
      </w:r>
      <w:r w:rsidR="00A62BAB">
        <w:rPr>
          <w:lang w:eastAsia="ja-JP"/>
        </w:rPr>
        <w:t xml:space="preserve">.  Her design for ‘Taiwan </w:t>
      </w:r>
      <w:r w:rsidR="00A62BAB" w:rsidRPr="000304D9">
        <w:rPr>
          <w:lang w:eastAsia="ja-JP"/>
        </w:rPr>
        <w:t>dress</w:t>
      </w:r>
      <w:r w:rsidR="00A62BAB">
        <w:rPr>
          <w:lang w:eastAsia="ja-JP"/>
        </w:rPr>
        <w:t xml:space="preserve">’ used </w:t>
      </w:r>
      <w:r w:rsidR="00A62BAB" w:rsidRPr="000304D9">
        <w:rPr>
          <w:lang w:eastAsia="ja-JP"/>
        </w:rPr>
        <w:t xml:space="preserve">floral chintz </w:t>
      </w:r>
      <w:r w:rsidR="00A62BAB">
        <w:rPr>
          <w:lang w:eastAsia="ja-JP"/>
        </w:rPr>
        <w:t xml:space="preserve">and various accessories she designed were displayed in the Council for Cultural Affairs’ showroom near the Chiang Kai-shek Memorial Hall to which overseas visitors were often guided.  </w:t>
      </w:r>
      <w:r w:rsidR="00FB5EB7">
        <w:rPr>
          <w:lang w:eastAsia="ja-JP"/>
        </w:rPr>
        <w:t>They range from s</w:t>
      </w:r>
      <w:r w:rsidR="00A62BAB">
        <w:rPr>
          <w:lang w:eastAsia="ja-JP"/>
        </w:rPr>
        <w:t xml:space="preserve">mall accessories such as brooches to a large furniture such as floor lamps were also on display. </w:t>
      </w:r>
      <w:r w:rsidR="00083677">
        <w:rPr>
          <w:lang w:eastAsia="ja-JP"/>
        </w:rPr>
        <w:t>(</w:t>
      </w:r>
      <w:r w:rsidR="00083677">
        <w:rPr>
          <w:b/>
          <w:lang w:eastAsia="ja-JP"/>
        </w:rPr>
        <w:t xml:space="preserve">Fig.)  </w:t>
      </w:r>
      <w:r w:rsidR="00083677">
        <w:rPr>
          <w:lang w:eastAsia="ja-JP"/>
        </w:rPr>
        <w:t xml:space="preserve">Chang Wen whose design company called ‘Shin Taifeng’ (New Taiwan Style) which provided interior </w:t>
      </w:r>
      <w:r w:rsidR="00A62BAB">
        <w:rPr>
          <w:lang w:eastAsia="ja-JP"/>
        </w:rPr>
        <w:t xml:space="preserve">furniture </w:t>
      </w:r>
      <w:r w:rsidR="00083677">
        <w:rPr>
          <w:lang w:eastAsia="ja-JP"/>
        </w:rPr>
        <w:t xml:space="preserve">for the Taichung exhibition created an idea for a living space of a modern trendy living with an accented Taiwanese flavor, and his products were shown repeatedly in official exhibitions.  </w:t>
      </w:r>
      <w:r w:rsidR="00FB5EB7" w:rsidRPr="002B0B29">
        <w:rPr>
          <w:bCs/>
          <w:lang w:eastAsia="ja-JP"/>
        </w:rPr>
        <w:t xml:space="preserve">The </w:t>
      </w:r>
      <w:r w:rsidR="00FB5EB7">
        <w:rPr>
          <w:bCs/>
          <w:lang w:eastAsia="ja-JP"/>
        </w:rPr>
        <w:t xml:space="preserve">Hakka Affairs </w:t>
      </w:r>
      <w:r w:rsidR="00FB5EB7" w:rsidRPr="002B0B29">
        <w:rPr>
          <w:bCs/>
          <w:lang w:eastAsia="ja-JP"/>
        </w:rPr>
        <w:t xml:space="preserve">Council </w:t>
      </w:r>
      <w:r w:rsidR="00FB5EB7">
        <w:rPr>
          <w:bCs/>
          <w:lang w:eastAsia="ja-JP"/>
        </w:rPr>
        <w:t xml:space="preserve">also </w:t>
      </w:r>
      <w:r w:rsidR="00FB5EB7" w:rsidRPr="002B0B29">
        <w:rPr>
          <w:bCs/>
          <w:lang w:eastAsia="ja-JP"/>
        </w:rPr>
        <w:t xml:space="preserve">support creative industry and design production utilising floral chintz to create </w:t>
      </w:r>
      <w:r w:rsidR="00FB5EB7">
        <w:rPr>
          <w:bCs/>
          <w:lang w:eastAsia="ja-JP"/>
        </w:rPr>
        <w:t xml:space="preserve">a </w:t>
      </w:r>
      <w:r w:rsidR="00FB5EB7" w:rsidRPr="002B0B29">
        <w:rPr>
          <w:bCs/>
          <w:lang w:eastAsia="ja-JP"/>
        </w:rPr>
        <w:t xml:space="preserve">Hakka brand.  </w:t>
      </w:r>
      <w:r w:rsidR="00FB5EB7" w:rsidRPr="002B0B29">
        <w:rPr>
          <w:rFonts w:eastAsia="ＭＳ 明朝"/>
          <w:lang w:eastAsia="ja-JP"/>
        </w:rPr>
        <w:t xml:space="preserve">These are photos of the Hakka souvenir shop at the airport, and the catalogue of these Hakka brand sold at the Taipei County Hakka Museum in Sanxia. </w:t>
      </w:r>
      <w:r w:rsidR="00FB5EB7">
        <w:rPr>
          <w:lang w:eastAsia="ja-JP"/>
        </w:rPr>
        <w:t xml:space="preserve">These shops also sell </w:t>
      </w:r>
      <w:r w:rsidR="00083677">
        <w:rPr>
          <w:lang w:eastAsia="ja-JP"/>
        </w:rPr>
        <w:t xml:space="preserve">small interior and personal </w:t>
      </w:r>
      <w:r w:rsidR="00FB5EB7">
        <w:rPr>
          <w:lang w:eastAsia="ja-JP"/>
        </w:rPr>
        <w:t xml:space="preserve">and home </w:t>
      </w:r>
      <w:r w:rsidR="00083677">
        <w:rPr>
          <w:lang w:eastAsia="ja-JP"/>
        </w:rPr>
        <w:t>accessories ranging from te</w:t>
      </w:r>
      <w:r w:rsidR="00FB5EB7">
        <w:rPr>
          <w:lang w:eastAsia="ja-JP"/>
        </w:rPr>
        <w:t>a cups, tea cozy and scarves</w:t>
      </w:r>
      <w:r w:rsidR="00083677">
        <w:rPr>
          <w:lang w:eastAsia="ja-JP"/>
        </w:rPr>
        <w:t>. (</w:t>
      </w:r>
      <w:r w:rsidR="00083677">
        <w:rPr>
          <w:b/>
          <w:lang w:eastAsia="ja-JP"/>
        </w:rPr>
        <w:t>Fig.</w:t>
      </w:r>
      <w:r w:rsidR="00083677">
        <w:rPr>
          <w:lang w:eastAsia="ja-JP"/>
        </w:rPr>
        <w:t>)</w:t>
      </w:r>
      <w:r w:rsidR="00083677" w:rsidRPr="0071593C">
        <w:rPr>
          <w:lang w:eastAsia="ja-JP"/>
        </w:rPr>
        <w:t xml:space="preserve">  </w:t>
      </w:r>
      <w:r w:rsidR="0045765F">
        <w:rPr>
          <w:lang w:eastAsia="ja-JP"/>
        </w:rPr>
        <w:t>Michael Lin’s collaboration with Louis Vuitton at the</w:t>
      </w:r>
      <w:r w:rsidR="002B0A20">
        <w:rPr>
          <w:lang w:eastAsia="ja-JP"/>
        </w:rPr>
        <w:t xml:space="preserve"> opening of Taipei flagship boutique in 2006 marked Taiwan’s achievement in international creative industry. </w:t>
      </w:r>
      <w:r w:rsidR="00534FD0">
        <w:rPr>
          <w:lang w:eastAsia="ja-JP"/>
        </w:rPr>
        <w:t xml:space="preserve"> This is in a series of the company collaborated with Asian artists including Takashi Murakami and Yayoi Kusama.  </w:t>
      </w:r>
      <w:r w:rsidR="002B0A20">
        <w:rPr>
          <w:lang w:eastAsia="ja-JP"/>
        </w:rPr>
        <w:t xml:space="preserve">Lin designed the interior of the boutique, and their promotional animation projected his floral chintz work onto iconic buildings of Taipei. </w:t>
      </w:r>
    </w:p>
    <w:p w14:paraId="0F716C4E" w14:textId="77777777" w:rsidR="00083677" w:rsidRDefault="00083677" w:rsidP="00083677">
      <w:pPr>
        <w:rPr>
          <w:rFonts w:eastAsia="MS Mincho"/>
          <w:lang w:eastAsia="ja-JP"/>
        </w:rPr>
      </w:pPr>
    </w:p>
    <w:p w14:paraId="368C45A3" w14:textId="601C907C" w:rsidR="007B6832" w:rsidRPr="004407A9" w:rsidRDefault="002430F8" w:rsidP="007B6832">
      <w:pPr>
        <w:rPr>
          <w:b/>
          <w:lang w:eastAsia="ja-JP"/>
        </w:rPr>
      </w:pPr>
      <w:r>
        <w:rPr>
          <w:rFonts w:eastAsia="MS Mincho"/>
          <w:b/>
          <w:lang w:eastAsia="ja-JP"/>
        </w:rPr>
        <w:t>Global Retro of floral chintz</w:t>
      </w:r>
    </w:p>
    <w:p w14:paraId="1297BF22" w14:textId="0F709CA1" w:rsidR="003F1970" w:rsidRPr="00B102ED" w:rsidRDefault="0037763D" w:rsidP="003F1970">
      <w:pPr>
        <w:rPr>
          <w:rFonts w:eastAsia="MS Mincho"/>
          <w:lang w:eastAsia="ja-JP"/>
        </w:rPr>
      </w:pPr>
      <w:r>
        <w:rPr>
          <w:rFonts w:eastAsia="MS Mincho"/>
          <w:lang w:eastAsia="ja-JP"/>
        </w:rPr>
        <w:t xml:space="preserve">Taiwan’s revival of floral chintz and its commercialization are not isolated phenomenon if you look around the world trends. </w:t>
      </w:r>
      <w:r w:rsidR="004020F0">
        <w:rPr>
          <w:rFonts w:eastAsia="MS Mincho"/>
          <w:lang w:eastAsia="ja-JP"/>
        </w:rPr>
        <w:t xml:space="preserve">In Britain, as observed by design historian Jonathan Woodham, </w:t>
      </w:r>
      <w:r w:rsidR="005F3406">
        <w:rPr>
          <w:rFonts w:eastAsia="MS Mincho"/>
          <w:lang w:eastAsia="ja-JP"/>
        </w:rPr>
        <w:t xml:space="preserve">chintz pottery such as </w:t>
      </w:r>
      <w:r w:rsidR="004020F0">
        <w:rPr>
          <w:lang w:eastAsia="ja-JP"/>
        </w:rPr>
        <w:t>Royal Albert (Royal Doulton)’s ‘Old Country Roses’ bone china has been the best-selling tableware design</w:t>
      </w:r>
      <w:r w:rsidR="00DD6CE0">
        <w:rPr>
          <w:lang w:eastAsia="ja-JP"/>
        </w:rPr>
        <w:t xml:space="preserve"> selling ‘quintessential Englishness’ boosted by the idea of ‘heritage industry’ since 1980s.</w:t>
      </w:r>
      <w:r w:rsidR="004020F0">
        <w:rPr>
          <w:rStyle w:val="EndnoteReference"/>
          <w:lang w:eastAsia="ja-JP"/>
        </w:rPr>
        <w:endnoteReference w:id="16"/>
      </w:r>
      <w:r w:rsidR="009B584F">
        <w:rPr>
          <w:lang w:eastAsia="ja-JP"/>
        </w:rPr>
        <w:t xml:space="preserve"> </w:t>
      </w:r>
      <w:r w:rsidR="00994869">
        <w:rPr>
          <w:rFonts w:ascii="ＭＳ 明朝" w:eastAsia="ＭＳ 明朝" w:hAnsi="ＭＳ 明朝" w:cs="ＭＳ 明朝"/>
          <w:lang w:eastAsia="ja-JP"/>
        </w:rPr>
        <w:t xml:space="preserve"> </w:t>
      </w:r>
      <w:r w:rsidR="009B584F">
        <w:rPr>
          <w:lang w:eastAsia="ja-JP"/>
        </w:rPr>
        <w:t xml:space="preserve">Cath Kidston’s floral accessories </w:t>
      </w:r>
      <w:r w:rsidR="00595322">
        <w:rPr>
          <w:lang w:eastAsia="ja-JP"/>
        </w:rPr>
        <w:t xml:space="preserve">produced with an idea of ‘modern vintage’ </w:t>
      </w:r>
      <w:r w:rsidR="009B584F">
        <w:rPr>
          <w:lang w:eastAsia="ja-JP"/>
        </w:rPr>
        <w:t xml:space="preserve">have been </w:t>
      </w:r>
      <w:r w:rsidR="00595322">
        <w:rPr>
          <w:lang w:eastAsia="ja-JP"/>
        </w:rPr>
        <w:t xml:space="preserve">extremely popular </w:t>
      </w:r>
      <w:r w:rsidR="00B71202">
        <w:rPr>
          <w:lang w:eastAsia="ja-JP"/>
        </w:rPr>
        <w:t xml:space="preserve">creating </w:t>
      </w:r>
      <w:r w:rsidR="005F3406">
        <w:rPr>
          <w:lang w:eastAsia="ja-JP"/>
        </w:rPr>
        <w:t>a</w:t>
      </w:r>
      <w:r w:rsidR="00197EE3">
        <w:rPr>
          <w:lang w:eastAsia="ja-JP"/>
        </w:rPr>
        <w:t xml:space="preserve"> vinta</w:t>
      </w:r>
      <w:r w:rsidR="005F3406">
        <w:rPr>
          <w:lang w:eastAsia="ja-JP"/>
        </w:rPr>
        <w:t>ge boom, while h</w:t>
      </w:r>
      <w:r w:rsidR="00B71202">
        <w:rPr>
          <w:lang w:eastAsia="ja-JP"/>
        </w:rPr>
        <w:t xml:space="preserve">er cousin Kirstie Allsopp’s </w:t>
      </w:r>
      <w:r w:rsidR="008F53D0">
        <w:rPr>
          <w:lang w:eastAsia="ja-JP"/>
        </w:rPr>
        <w:t xml:space="preserve">TV </w:t>
      </w:r>
      <w:r w:rsidR="00974647">
        <w:rPr>
          <w:lang w:eastAsia="ja-JP"/>
        </w:rPr>
        <w:t>programmes such as</w:t>
      </w:r>
      <w:r w:rsidR="00B71202">
        <w:rPr>
          <w:lang w:eastAsia="ja-JP"/>
        </w:rPr>
        <w:t xml:space="preserve"> </w:t>
      </w:r>
      <w:r w:rsidR="00974647">
        <w:rPr>
          <w:lang w:eastAsia="ja-JP"/>
        </w:rPr>
        <w:t xml:space="preserve">‘Vintage Home’ and </w:t>
      </w:r>
      <w:r w:rsidR="00B71202">
        <w:rPr>
          <w:lang w:eastAsia="ja-JP"/>
        </w:rPr>
        <w:t>‘</w:t>
      </w:r>
      <w:r w:rsidR="008F53D0">
        <w:rPr>
          <w:lang w:eastAsia="ja-JP"/>
        </w:rPr>
        <w:t>Handmade Britain’</w:t>
      </w:r>
      <w:r w:rsidR="00974647">
        <w:rPr>
          <w:lang w:eastAsia="ja-JP"/>
        </w:rPr>
        <w:t xml:space="preserve"> </w:t>
      </w:r>
      <w:r w:rsidR="00197EE3">
        <w:rPr>
          <w:lang w:eastAsia="ja-JP"/>
        </w:rPr>
        <w:t xml:space="preserve">are equally promoting vintage styles that evokes emotive nostalgia to the 1950s Britain. </w:t>
      </w:r>
      <w:r w:rsidR="003F1970">
        <w:rPr>
          <w:lang w:eastAsia="ja-JP"/>
        </w:rPr>
        <w:t xml:space="preserve"> </w:t>
      </w:r>
      <w:r w:rsidR="006E7306">
        <w:rPr>
          <w:lang w:eastAsia="ja-JP"/>
        </w:rPr>
        <w:t xml:space="preserve">East London is full of Retro vintage shops with 1950s-70s furniture and fashion, and young people enjoy swing dances in the 1950s hairdo and attire.  </w:t>
      </w:r>
      <w:r w:rsidR="005F3406">
        <w:rPr>
          <w:lang w:eastAsia="ja-JP"/>
        </w:rPr>
        <w:t>The revival of chintz and ‘moder</w:t>
      </w:r>
      <w:r w:rsidR="002430F8">
        <w:rPr>
          <w:lang w:eastAsia="ja-JP"/>
        </w:rPr>
        <w:t>n vintage’ floral patterns appear to be</w:t>
      </w:r>
      <w:r w:rsidR="005F3406">
        <w:rPr>
          <w:lang w:eastAsia="ja-JP"/>
        </w:rPr>
        <w:t xml:space="preserve"> </w:t>
      </w:r>
      <w:r w:rsidR="002430F8">
        <w:rPr>
          <w:lang w:eastAsia="ja-JP"/>
        </w:rPr>
        <w:t xml:space="preserve">a </w:t>
      </w:r>
      <w:r w:rsidR="005F3406">
        <w:rPr>
          <w:lang w:eastAsia="ja-JP"/>
        </w:rPr>
        <w:t>global phenomenon</w:t>
      </w:r>
      <w:r w:rsidR="00A9097B">
        <w:rPr>
          <w:lang w:eastAsia="ja-JP"/>
        </w:rPr>
        <w:t xml:space="preserve"> with </w:t>
      </w:r>
      <w:r w:rsidR="00495F22">
        <w:rPr>
          <w:lang w:eastAsia="ja-JP"/>
        </w:rPr>
        <w:t xml:space="preserve">many </w:t>
      </w:r>
      <w:r w:rsidR="00A9097B">
        <w:rPr>
          <w:lang w:eastAsia="ja-JP"/>
        </w:rPr>
        <w:t>visual dialogues</w:t>
      </w:r>
      <w:r w:rsidR="002430F8">
        <w:rPr>
          <w:lang w:eastAsia="ja-JP"/>
        </w:rPr>
        <w:t xml:space="preserve">.  New products for sale at the British shop </w:t>
      </w:r>
      <w:r w:rsidR="003F1970">
        <w:rPr>
          <w:rFonts w:eastAsia="MS Mincho"/>
          <w:lang w:eastAsia="ja-JP"/>
        </w:rPr>
        <w:t xml:space="preserve">Graham &amp; Green’s </w:t>
      </w:r>
      <w:r w:rsidR="002430F8">
        <w:rPr>
          <w:rFonts w:eastAsia="MS Mincho"/>
          <w:lang w:eastAsia="ja-JP"/>
        </w:rPr>
        <w:t xml:space="preserve">such as these </w:t>
      </w:r>
      <w:r w:rsidR="003F1970">
        <w:rPr>
          <w:rFonts w:eastAsia="MS Mincho"/>
          <w:lang w:eastAsia="ja-JP"/>
        </w:rPr>
        <w:t xml:space="preserve">floral cushions and night gowns </w:t>
      </w:r>
      <w:r w:rsidR="00A9097B">
        <w:rPr>
          <w:rFonts w:eastAsia="MS Mincho"/>
          <w:lang w:eastAsia="ja-JP"/>
        </w:rPr>
        <w:t xml:space="preserve">were presented as </w:t>
      </w:r>
      <w:r w:rsidR="00A9097B" w:rsidRPr="00D46A6F">
        <w:rPr>
          <w:rFonts w:eastAsia="MS Mincho"/>
          <w:color w:val="FF0000"/>
          <w:lang w:eastAsia="ja-JP"/>
        </w:rPr>
        <w:t>‘???’</w:t>
      </w:r>
      <w:r w:rsidR="00A9097B">
        <w:rPr>
          <w:rFonts w:eastAsia="MS Mincho"/>
          <w:lang w:eastAsia="ja-JP"/>
        </w:rPr>
        <w:t xml:space="preserve"> but visually </w:t>
      </w:r>
      <w:r w:rsidR="002430F8">
        <w:rPr>
          <w:rFonts w:eastAsia="MS Mincho"/>
          <w:lang w:eastAsia="ja-JP"/>
        </w:rPr>
        <w:t xml:space="preserve">not dissimilar to </w:t>
      </w:r>
      <w:r w:rsidR="003F1970">
        <w:rPr>
          <w:rFonts w:eastAsia="MS Mincho"/>
          <w:lang w:eastAsia="ja-JP"/>
        </w:rPr>
        <w:t>Taiwan floral chintz design</w:t>
      </w:r>
      <w:r w:rsidR="00495F22">
        <w:rPr>
          <w:rFonts w:eastAsia="MS Mincho"/>
          <w:lang w:eastAsia="ja-JP"/>
        </w:rPr>
        <w:t>.  As Michael Lin’s point reminds us that floral patterns are truly shared world cultural property which has been contaminated, hybridised, circulated and re</w:t>
      </w:r>
      <w:r>
        <w:rPr>
          <w:rFonts w:eastAsia="MS Mincho"/>
          <w:lang w:eastAsia="ja-JP"/>
        </w:rPr>
        <w:t>-</w:t>
      </w:r>
      <w:r w:rsidR="00495F22">
        <w:rPr>
          <w:rFonts w:eastAsia="MS Mincho"/>
          <w:lang w:eastAsia="ja-JP"/>
        </w:rPr>
        <w:t>circulated across the world.</w:t>
      </w:r>
      <w:r>
        <w:rPr>
          <w:rFonts w:eastAsia="MS Mincho"/>
          <w:lang w:eastAsia="ja-JP"/>
        </w:rPr>
        <w:t xml:space="preserve">  Taiwan’s revival is also in full dialogue with this global trend of Retro.</w:t>
      </w:r>
      <w:r w:rsidR="003F1970">
        <w:rPr>
          <w:rFonts w:eastAsia="MS Mincho"/>
          <w:lang w:eastAsia="ja-JP"/>
        </w:rPr>
        <w:t>(</w:t>
      </w:r>
      <w:r w:rsidR="003F1970">
        <w:rPr>
          <w:rFonts w:eastAsia="MS Mincho"/>
          <w:b/>
          <w:lang w:eastAsia="ja-JP"/>
        </w:rPr>
        <w:t>Fig.</w:t>
      </w:r>
      <w:r w:rsidR="003F1970">
        <w:rPr>
          <w:rFonts w:eastAsia="MS Mincho"/>
          <w:lang w:eastAsia="ja-JP"/>
        </w:rPr>
        <w:t xml:space="preserve">) </w:t>
      </w:r>
    </w:p>
    <w:p w14:paraId="63BEFBC9" w14:textId="225E3158" w:rsidR="009B584F" w:rsidRPr="009B584F" w:rsidRDefault="009B584F" w:rsidP="009B584F">
      <w:pPr>
        <w:rPr>
          <w:rFonts w:eastAsia="MS Mincho"/>
          <w:b/>
          <w:lang w:eastAsia="ja-JP"/>
        </w:rPr>
      </w:pPr>
    </w:p>
    <w:p w14:paraId="105A8904" w14:textId="78540273" w:rsidR="003F1970" w:rsidRDefault="003F1970" w:rsidP="003F1970">
      <w:r>
        <w:rPr>
          <w:lang w:eastAsia="ja-JP"/>
        </w:rPr>
        <w:t xml:space="preserve">Design historian Elizabeth Guffey in her book </w:t>
      </w:r>
      <w:r>
        <w:rPr>
          <w:i/>
          <w:lang w:eastAsia="ja-JP"/>
        </w:rPr>
        <w:t>Retro: The Culture of Revival</w:t>
      </w:r>
      <w:r w:rsidR="000A73C9">
        <w:rPr>
          <w:lang w:eastAsia="ja-JP"/>
        </w:rPr>
        <w:t xml:space="preserve"> studies the last three decades of </w:t>
      </w:r>
      <w:r>
        <w:rPr>
          <w:lang w:eastAsia="ja-JP"/>
        </w:rPr>
        <w:t xml:space="preserve">Retro </w:t>
      </w:r>
      <w:r w:rsidR="000A73C9">
        <w:rPr>
          <w:lang w:eastAsia="ja-JP"/>
        </w:rPr>
        <w:t xml:space="preserve">trends.  She argues that Retro </w:t>
      </w:r>
      <w:r>
        <w:rPr>
          <w:lang w:eastAsia="ja-JP"/>
        </w:rPr>
        <w:t xml:space="preserve">quotes </w:t>
      </w:r>
      <w:r w:rsidR="006F0BF5">
        <w:rPr>
          <w:lang w:eastAsia="ja-JP"/>
        </w:rPr>
        <w:t xml:space="preserve">styles </w:t>
      </w:r>
      <w:r>
        <w:rPr>
          <w:lang w:eastAsia="ja-JP"/>
        </w:rPr>
        <w:t>from the recent past</w:t>
      </w:r>
      <w:r w:rsidR="000A73C9">
        <w:rPr>
          <w:lang w:eastAsia="ja-JP"/>
        </w:rPr>
        <w:t xml:space="preserve"> that is ba</w:t>
      </w:r>
      <w:r w:rsidR="006F0BF5">
        <w:rPr>
          <w:lang w:eastAsia="ja-JP"/>
        </w:rPr>
        <w:t>sed on a communal memory that are</w:t>
      </w:r>
      <w:r w:rsidR="000A73C9">
        <w:rPr>
          <w:lang w:eastAsia="ja-JP"/>
        </w:rPr>
        <w:t xml:space="preserve"> selective, subjective and irrel</w:t>
      </w:r>
      <w:r w:rsidR="006F0BF5">
        <w:rPr>
          <w:lang w:eastAsia="ja-JP"/>
        </w:rPr>
        <w:t>evant to historical accuracies.</w:t>
      </w:r>
      <w:r w:rsidR="0037763D">
        <w:rPr>
          <w:rStyle w:val="EndnoteReference"/>
          <w:lang w:eastAsia="ja-JP"/>
        </w:rPr>
        <w:endnoteReference w:id="17"/>
      </w:r>
    </w:p>
    <w:p w14:paraId="1E7864DD" w14:textId="1D287128" w:rsidR="000A73C9" w:rsidRDefault="006F0BF5" w:rsidP="000A73C9">
      <w:r>
        <w:t>Ahist</w:t>
      </w:r>
      <w:r w:rsidR="002430F8">
        <w:t>orically rediscovered</w:t>
      </w:r>
      <w:r>
        <w:t xml:space="preserve"> history </w:t>
      </w:r>
      <w:r w:rsidR="00A9097B">
        <w:t xml:space="preserve">is </w:t>
      </w:r>
      <w:r>
        <w:t xml:space="preserve">based on rupture </w:t>
      </w:r>
      <w:r w:rsidR="00A9097B">
        <w:t xml:space="preserve">that </w:t>
      </w:r>
      <w:r w:rsidR="002430F8">
        <w:t xml:space="preserve">curiously </w:t>
      </w:r>
      <w:r>
        <w:t xml:space="preserve">makes </w:t>
      </w:r>
      <w:r w:rsidR="00A9097B">
        <w:t xml:space="preserve">the present self so distant, </w:t>
      </w:r>
      <w:r>
        <w:t xml:space="preserve">different </w:t>
      </w:r>
      <w:r w:rsidR="00A9097B">
        <w:t>and even superior</w:t>
      </w:r>
      <w:r>
        <w:t>.</w:t>
      </w:r>
      <w:r w:rsidR="0037763D">
        <w:rPr>
          <w:rStyle w:val="EndnoteReference"/>
        </w:rPr>
        <w:endnoteReference w:id="18"/>
      </w:r>
      <w:r w:rsidR="005F3406">
        <w:t xml:space="preserve"> </w:t>
      </w:r>
      <w:r w:rsidR="0037763D">
        <w:t xml:space="preserve"> Therefore, global ret</w:t>
      </w:r>
      <w:r w:rsidR="00E80149">
        <w:t xml:space="preserve">ro is purely subjective and free from any constraints.  This precisely characterizes the Taiwan’s case, as Taiwan’s floral chintz has reference to the 1950s Taiwan, but with ahistorical multiple registers with Taiwanese grandmas, the Minnan people, the Hakka people to Chinese, Japanese and Western traditions.  Guffey also points that </w:t>
      </w:r>
      <w:r w:rsidR="000A73C9">
        <w:t xml:space="preserve">Retro is primarily the culture of consumption.  </w:t>
      </w:r>
      <w:r w:rsidR="00E80149">
        <w:t xml:space="preserve">As we see the thriving </w:t>
      </w:r>
      <w:r w:rsidR="006E7306">
        <w:t>creative cultural industry of T</w:t>
      </w:r>
      <w:r w:rsidR="00E80149">
        <w:t>a</w:t>
      </w:r>
      <w:r w:rsidR="006E7306">
        <w:t>i</w:t>
      </w:r>
      <w:r w:rsidR="00E80149">
        <w:t>wan floral chintz, this also tells the typical symptom of Retro in dialogue with global trends.</w:t>
      </w:r>
    </w:p>
    <w:p w14:paraId="50A77797" w14:textId="49A43229" w:rsidR="007A660F" w:rsidRDefault="007A660F" w:rsidP="007A660F"/>
    <w:p w14:paraId="025F64D6" w14:textId="68DC789B" w:rsidR="00B102ED" w:rsidRDefault="001C47A1" w:rsidP="007B6832">
      <w:pPr>
        <w:rPr>
          <w:rFonts w:eastAsia="MS Mincho"/>
          <w:lang w:eastAsia="ja-JP"/>
        </w:rPr>
      </w:pPr>
      <w:r>
        <w:rPr>
          <w:lang w:eastAsia="ja-JP"/>
        </w:rPr>
        <w:t xml:space="preserve">However, on the other hand, </w:t>
      </w:r>
      <w:r w:rsidR="00E80149">
        <w:rPr>
          <w:lang w:eastAsia="ja-JP"/>
        </w:rPr>
        <w:t>Taiwan’s case also presents a unique case in view of its political condition</w:t>
      </w:r>
      <w:r>
        <w:rPr>
          <w:lang w:eastAsia="ja-JP"/>
        </w:rPr>
        <w:t xml:space="preserve"> and its artistic cultural strategy described by Shi Shu-mei as ‘vernacular cosmopolitanism’.  The timing of the revival </w:t>
      </w:r>
      <w:r w:rsidR="0040692A">
        <w:rPr>
          <w:lang w:eastAsia="ja-JP"/>
        </w:rPr>
        <w:t xml:space="preserve">was 2000 as </w:t>
      </w:r>
      <w:r>
        <w:rPr>
          <w:lang w:eastAsia="ja-JP"/>
        </w:rPr>
        <w:t>observed by</w:t>
      </w:r>
      <w:r>
        <w:rPr>
          <w:rFonts w:eastAsia="MS Mincho"/>
          <w:lang w:eastAsia="ja-JP"/>
        </w:rPr>
        <w:t xml:space="preserve"> t</w:t>
      </w:r>
      <w:r w:rsidR="002430F8">
        <w:rPr>
          <w:rFonts w:eastAsia="MS Mincho"/>
          <w:lang w:eastAsia="ja-JP"/>
        </w:rPr>
        <w:t>he designer and collector Chen Zongping.</w:t>
      </w:r>
      <w:r w:rsidR="002430F8">
        <w:rPr>
          <w:rStyle w:val="EndnoteReference"/>
          <w:rFonts w:eastAsia="MS Mincho"/>
          <w:lang w:eastAsia="ja-JP"/>
        </w:rPr>
        <w:endnoteReference w:id="19"/>
      </w:r>
      <w:r w:rsidR="002430F8">
        <w:rPr>
          <w:rFonts w:eastAsia="MS Mincho"/>
          <w:lang w:eastAsia="ja-JP"/>
        </w:rPr>
        <w:t xml:space="preserve">  </w:t>
      </w:r>
      <w:r>
        <w:rPr>
          <w:rFonts w:eastAsia="MS Mincho"/>
          <w:lang w:eastAsia="ja-JP"/>
        </w:rPr>
        <w:t xml:space="preserve">It is </w:t>
      </w:r>
      <w:r w:rsidR="0040692A">
        <w:rPr>
          <w:rFonts w:eastAsia="MS Mincho"/>
          <w:lang w:eastAsia="ja-JP"/>
        </w:rPr>
        <w:t xml:space="preserve">not easily </w:t>
      </w:r>
      <w:r w:rsidR="00AE3E1E">
        <w:rPr>
          <w:rFonts w:eastAsia="MS Mincho"/>
          <w:lang w:eastAsia="ja-JP"/>
        </w:rPr>
        <w:t xml:space="preserve">dissociable with </w:t>
      </w:r>
      <w:r w:rsidR="0040692A">
        <w:rPr>
          <w:rFonts w:eastAsia="MS Mincho"/>
          <w:lang w:eastAsia="ja-JP"/>
        </w:rPr>
        <w:t xml:space="preserve">Taiwan’s political situations when </w:t>
      </w:r>
      <w:r w:rsidR="00AE3E1E">
        <w:rPr>
          <w:rFonts w:eastAsia="MS Mincho"/>
          <w:lang w:eastAsia="ja-JP"/>
        </w:rPr>
        <w:t xml:space="preserve">the then opposition party DPP’s took over the government and </w:t>
      </w:r>
      <w:r w:rsidR="0040692A">
        <w:rPr>
          <w:rFonts w:eastAsia="MS Mincho"/>
          <w:lang w:eastAsia="ja-JP"/>
        </w:rPr>
        <w:t xml:space="preserve">implemented numerous </w:t>
      </w:r>
      <w:r w:rsidR="00AE3E1E">
        <w:rPr>
          <w:rFonts w:eastAsia="MS Mincho"/>
          <w:lang w:eastAsia="ja-JP"/>
        </w:rPr>
        <w:t xml:space="preserve">Taiwanisation programmes.  The floral chintz revival developed mostly during the DPP period, but continues to the </w:t>
      </w:r>
      <w:r w:rsidR="0040692A">
        <w:rPr>
          <w:rFonts w:eastAsia="MS Mincho"/>
          <w:lang w:eastAsia="ja-JP"/>
        </w:rPr>
        <w:t xml:space="preserve">present now back under KMT.  It </w:t>
      </w:r>
      <w:r w:rsidR="00AE3E1E">
        <w:rPr>
          <w:rFonts w:eastAsia="MS Mincho"/>
          <w:lang w:eastAsia="ja-JP"/>
        </w:rPr>
        <w:t xml:space="preserve">reflects the Taiwan’s </w:t>
      </w:r>
      <w:r w:rsidR="0040692A">
        <w:rPr>
          <w:rFonts w:eastAsia="MS Mincho"/>
          <w:lang w:eastAsia="ja-JP"/>
        </w:rPr>
        <w:t>constantly unsettling situation as an independent country squeezed between strong powers.  Unlike the global frivolous subjective and purely commercial phenomenon, Taiwan</w:t>
      </w:r>
      <w:r w:rsidR="00026E01">
        <w:rPr>
          <w:rFonts w:eastAsia="MS Mincho"/>
          <w:lang w:eastAsia="ja-JP"/>
        </w:rPr>
        <w:t xml:space="preserve">’s floral chintz revival appear to suggest a wider collective social concerns specific to Taiwan. </w:t>
      </w:r>
    </w:p>
    <w:p w14:paraId="650922BA" w14:textId="77777777" w:rsidR="002430F8" w:rsidRDefault="002430F8" w:rsidP="007B6832">
      <w:pPr>
        <w:rPr>
          <w:rFonts w:eastAsia="MS Mincho"/>
          <w:lang w:eastAsia="ja-JP"/>
        </w:rPr>
      </w:pPr>
    </w:p>
    <w:p w14:paraId="2A8631C2" w14:textId="77777777" w:rsidR="002430F8" w:rsidRDefault="002430F8" w:rsidP="007B6832">
      <w:pPr>
        <w:rPr>
          <w:rFonts w:eastAsia="MS Mincho"/>
          <w:lang w:eastAsia="ja-JP"/>
        </w:rPr>
      </w:pPr>
    </w:p>
    <w:p w14:paraId="1B42E706" w14:textId="77777777" w:rsidR="006678AF" w:rsidRPr="003F3613" w:rsidRDefault="006678AF" w:rsidP="00BE6B2B">
      <w:pPr>
        <w:rPr>
          <w:rFonts w:eastAsia="MS Mincho"/>
          <w:b/>
          <w:sz w:val="28"/>
          <w:szCs w:val="28"/>
          <w:lang w:eastAsia="ja-JP"/>
        </w:rPr>
      </w:pPr>
      <w:r w:rsidRPr="003F3613">
        <w:rPr>
          <w:rFonts w:eastAsia="MS Mincho"/>
          <w:b/>
          <w:sz w:val="28"/>
          <w:szCs w:val="28"/>
          <w:lang w:eastAsia="ja-JP"/>
        </w:rPr>
        <w:t>Conclusion</w:t>
      </w:r>
    </w:p>
    <w:p w14:paraId="68D3C663" w14:textId="2AC3E65D" w:rsidR="00D46A6F" w:rsidRPr="00D46A6F" w:rsidRDefault="00043F0A" w:rsidP="00D46A6F">
      <w:pPr>
        <w:rPr>
          <w:rFonts w:eastAsia="MS Mincho"/>
          <w:b/>
          <w:lang w:eastAsia="ja-JP"/>
        </w:rPr>
      </w:pPr>
      <w:r w:rsidRPr="00D46A6F">
        <w:rPr>
          <w:rFonts w:eastAsia="MS Mincho"/>
          <w:b/>
          <w:lang w:eastAsia="ja-JP"/>
        </w:rPr>
        <w:t xml:space="preserve">1. </w:t>
      </w:r>
      <w:r w:rsidR="003F3613">
        <w:rPr>
          <w:rFonts w:eastAsia="MS Mincho"/>
          <w:b/>
          <w:lang w:eastAsia="ja-JP"/>
        </w:rPr>
        <w:t>Revival of Taiwan f</w:t>
      </w:r>
      <w:r w:rsidR="00D46A6F" w:rsidRPr="00D46A6F">
        <w:rPr>
          <w:rFonts w:eastAsia="MS Mincho"/>
          <w:b/>
          <w:lang w:eastAsia="ja-JP"/>
        </w:rPr>
        <w:t>lor</w:t>
      </w:r>
      <w:r w:rsidR="003F3613">
        <w:rPr>
          <w:rFonts w:eastAsia="MS Mincho"/>
          <w:b/>
          <w:lang w:eastAsia="ja-JP"/>
        </w:rPr>
        <w:t>al chintz is a unique cultural strategy</w:t>
      </w:r>
      <w:r w:rsidR="00D46A6F" w:rsidRPr="00D46A6F">
        <w:rPr>
          <w:rFonts w:eastAsia="MS Mincho"/>
          <w:b/>
          <w:lang w:eastAsia="ja-JP"/>
        </w:rPr>
        <w:t xml:space="preserve"> </w:t>
      </w:r>
      <w:r w:rsidR="003F3613">
        <w:rPr>
          <w:rFonts w:eastAsia="MS Mincho"/>
          <w:b/>
          <w:lang w:eastAsia="ja-JP"/>
        </w:rPr>
        <w:t>of ‘vernacular cosmopolitanism’ which connects regional-national-transnational t</w:t>
      </w:r>
      <w:r w:rsidR="00D46A6F" w:rsidRPr="00D46A6F">
        <w:rPr>
          <w:rFonts w:eastAsia="MS Mincho"/>
          <w:b/>
          <w:lang w:eastAsia="ja-JP"/>
        </w:rPr>
        <w:t>radition</w:t>
      </w:r>
      <w:r w:rsidR="003F3613">
        <w:rPr>
          <w:rFonts w:eastAsia="MS Mincho"/>
          <w:b/>
          <w:lang w:eastAsia="ja-JP"/>
        </w:rPr>
        <w:t>s</w:t>
      </w:r>
    </w:p>
    <w:p w14:paraId="1CC1B955" w14:textId="2C20860D" w:rsidR="00043F0A" w:rsidRPr="00046523" w:rsidRDefault="00046523" w:rsidP="00C608BE">
      <w:pPr>
        <w:rPr>
          <w:rFonts w:eastAsia="MS Mincho"/>
          <w:lang w:eastAsia="ja-JP"/>
        </w:rPr>
      </w:pPr>
      <w:r>
        <w:rPr>
          <w:rFonts w:eastAsia="MS Mincho"/>
          <w:lang w:eastAsia="ja-JP"/>
        </w:rPr>
        <w:t>Michael Lin has successfully presented his art of Taiwan floral chintz which sparked the domestic revival as well as consolidated Taiwan’s presence in international art world by making regional-national-transnational visual communication.  The domestic revivals often led and taken ownership by di</w:t>
      </w:r>
      <w:r w:rsidR="008A2470">
        <w:rPr>
          <w:rFonts w:eastAsia="MS Mincho"/>
          <w:lang w:eastAsia="ja-JP"/>
        </w:rPr>
        <w:t xml:space="preserve">fferent political agenda based by different ethnic groups.  Despite the differences in aims and targeted audience, what characterized the discourses are rhetorically contradictory but uniquely embracing multiplicity. </w:t>
      </w:r>
      <w:r w:rsidR="003F3613">
        <w:rPr>
          <w:rFonts w:eastAsia="MS Mincho"/>
          <w:lang w:eastAsia="ja-JP"/>
        </w:rPr>
        <w:t xml:space="preserve"> As </w:t>
      </w:r>
      <w:r w:rsidR="008A2470">
        <w:rPr>
          <w:rFonts w:eastAsia="MS Mincho"/>
          <w:lang w:eastAsia="ja-JP"/>
        </w:rPr>
        <w:t>described by Shih Shu-mei ‘vernacular cosmopolitanism’</w:t>
      </w:r>
      <w:r w:rsidR="003F3613">
        <w:rPr>
          <w:rFonts w:eastAsia="MS Mincho"/>
          <w:lang w:eastAsia="ja-JP"/>
        </w:rPr>
        <w:t xml:space="preserve">, this Taiwan’s </w:t>
      </w:r>
      <w:r w:rsidR="00276B94">
        <w:rPr>
          <w:rFonts w:eastAsia="MS Mincho"/>
          <w:lang w:eastAsia="ja-JP"/>
        </w:rPr>
        <w:t xml:space="preserve">shrewd </w:t>
      </w:r>
      <w:r w:rsidR="003F3613">
        <w:rPr>
          <w:rFonts w:eastAsia="MS Mincho"/>
          <w:lang w:eastAsia="ja-JP"/>
        </w:rPr>
        <w:t>cultural strategy can be read in this Taiwan floral chintz.</w:t>
      </w:r>
    </w:p>
    <w:p w14:paraId="3F7C427F" w14:textId="77777777" w:rsidR="00046523" w:rsidRPr="00D46A6F" w:rsidRDefault="00046523" w:rsidP="00C608BE">
      <w:pPr>
        <w:rPr>
          <w:rFonts w:eastAsia="MS Mincho"/>
          <w:b/>
          <w:lang w:eastAsia="ja-JP"/>
        </w:rPr>
      </w:pPr>
    </w:p>
    <w:p w14:paraId="7B655C09" w14:textId="0AA6C0A6" w:rsidR="00C608BE" w:rsidRDefault="003F3613" w:rsidP="00C608BE">
      <w:pPr>
        <w:rPr>
          <w:rFonts w:eastAsia="MS Mincho"/>
          <w:b/>
          <w:lang w:eastAsia="ja-JP"/>
        </w:rPr>
      </w:pPr>
      <w:r>
        <w:rPr>
          <w:rFonts w:eastAsia="MS Mincho"/>
          <w:b/>
          <w:lang w:eastAsia="ja-JP"/>
        </w:rPr>
        <w:t>2</w:t>
      </w:r>
      <w:r w:rsidR="00C608BE" w:rsidRPr="00C608BE">
        <w:rPr>
          <w:rFonts w:eastAsia="MS Mincho"/>
          <w:b/>
          <w:lang w:eastAsia="ja-JP"/>
        </w:rPr>
        <w:t xml:space="preserve">. </w:t>
      </w:r>
      <w:r>
        <w:rPr>
          <w:rFonts w:eastAsia="MS Mincho"/>
          <w:b/>
          <w:lang w:eastAsia="ja-JP"/>
        </w:rPr>
        <w:t xml:space="preserve">Revival of Taiwan floral chintz shares </w:t>
      </w:r>
      <w:r w:rsidR="00C608BE" w:rsidRPr="00C608BE">
        <w:rPr>
          <w:rFonts w:eastAsia="MS Mincho"/>
          <w:b/>
          <w:lang w:eastAsia="ja-JP"/>
        </w:rPr>
        <w:t xml:space="preserve">the global </w:t>
      </w:r>
      <w:r>
        <w:rPr>
          <w:rFonts w:eastAsia="MS Mincho"/>
          <w:b/>
          <w:lang w:eastAsia="ja-JP"/>
        </w:rPr>
        <w:t xml:space="preserve">commercial </w:t>
      </w:r>
      <w:r w:rsidR="00C608BE" w:rsidRPr="00C608BE">
        <w:rPr>
          <w:rFonts w:eastAsia="MS Mincho"/>
          <w:b/>
          <w:lang w:eastAsia="ja-JP"/>
        </w:rPr>
        <w:t>‘Retro’ phenomenon</w:t>
      </w:r>
      <w:r>
        <w:rPr>
          <w:rFonts w:eastAsia="MS Mincho"/>
          <w:b/>
          <w:lang w:eastAsia="ja-JP"/>
        </w:rPr>
        <w:t>, while it reflects Taiwan’s vulnerable political situations</w:t>
      </w:r>
    </w:p>
    <w:p w14:paraId="4174048F" w14:textId="4C51D188" w:rsidR="00BE6B2B" w:rsidRDefault="003F3613" w:rsidP="00BE6B2B">
      <w:pPr>
        <w:rPr>
          <w:rFonts w:ascii="ＭＳ 明朝" w:eastAsia="ＭＳ 明朝" w:hAnsi="ＭＳ 明朝" w:cs="ＭＳ 明朝"/>
          <w:sz w:val="28"/>
          <w:szCs w:val="28"/>
          <w:lang w:eastAsia="ja-JP"/>
        </w:rPr>
      </w:pPr>
      <w:r>
        <w:rPr>
          <w:rFonts w:eastAsia="MS Mincho"/>
          <w:lang w:eastAsia="ja-JP"/>
        </w:rPr>
        <w:t xml:space="preserve">Taiwan currently enjoys the thriving </w:t>
      </w:r>
      <w:r w:rsidR="00276B94">
        <w:rPr>
          <w:rFonts w:eastAsia="MS Mincho"/>
          <w:lang w:eastAsia="ja-JP"/>
        </w:rPr>
        <w:t xml:space="preserve">cultural creative industry through the revival of Taiwan floral chintz.  This phenomenon is not isolated in view of the current global phenomenon of a ‘Retro’ boom.  It is capturing the moment that people are yearning for the recent past, and </w:t>
      </w:r>
      <w:r w:rsidR="00994869">
        <w:rPr>
          <w:rFonts w:eastAsia="MS Mincho"/>
          <w:lang w:eastAsia="ja-JP"/>
        </w:rPr>
        <w:t>enjoy recreating and consuming them</w:t>
      </w:r>
      <w:r w:rsidR="00276B94">
        <w:rPr>
          <w:rFonts w:eastAsia="MS Mincho"/>
          <w:lang w:eastAsia="ja-JP"/>
        </w:rPr>
        <w:t xml:space="preserve"> in their </w:t>
      </w:r>
      <w:r w:rsidR="00994869">
        <w:rPr>
          <w:rFonts w:eastAsia="MS Mincho"/>
          <w:lang w:eastAsia="ja-JP"/>
        </w:rPr>
        <w:t>own creative and imaginary manners.  However, Taiwan’s case suggests more than enjoyment, but some more seriousness in relation to the survival of the country.</w:t>
      </w:r>
      <w:r w:rsidR="00994869">
        <w:rPr>
          <w:lang w:eastAsia="ja-JP"/>
        </w:rPr>
        <w:t xml:space="preserve">  Taiwan floral chintz, </w:t>
      </w:r>
      <w:r w:rsidR="00BE6B2B">
        <w:rPr>
          <w:lang w:eastAsia="ja-JP"/>
        </w:rPr>
        <w:t>disar</w:t>
      </w:r>
      <w:r w:rsidR="00994869">
        <w:rPr>
          <w:lang w:eastAsia="ja-JP"/>
        </w:rPr>
        <w:t xml:space="preserve">mingly soft, light and everyday </w:t>
      </w:r>
      <w:r w:rsidR="00BE6B2B">
        <w:rPr>
          <w:lang w:eastAsia="ja-JP"/>
        </w:rPr>
        <w:t xml:space="preserve">object </w:t>
      </w:r>
      <w:r w:rsidR="00994869">
        <w:rPr>
          <w:lang w:eastAsia="ja-JP"/>
        </w:rPr>
        <w:t xml:space="preserve">provokes curiosities on Taiwan’s specific </w:t>
      </w:r>
      <w:r w:rsidR="00BE6B2B">
        <w:rPr>
          <w:lang w:eastAsia="ja-JP"/>
        </w:rPr>
        <w:t>aes</w:t>
      </w:r>
      <w:r w:rsidR="00994869">
        <w:rPr>
          <w:lang w:eastAsia="ja-JP"/>
        </w:rPr>
        <w:t>thetic and political impl</w:t>
      </w:r>
      <w:r w:rsidR="00D74C7F">
        <w:rPr>
          <w:lang w:eastAsia="ja-JP"/>
        </w:rPr>
        <w:t>ications woven into this fabric</w:t>
      </w:r>
      <w:r w:rsidR="00994869">
        <w:rPr>
          <w:lang w:eastAsia="ja-JP"/>
        </w:rPr>
        <w:t xml:space="preserve">. </w:t>
      </w:r>
    </w:p>
    <w:p w14:paraId="79972859" w14:textId="77777777" w:rsidR="00BE6B2B" w:rsidRDefault="00BE6B2B">
      <w:pPr>
        <w:rPr>
          <w:lang w:eastAsia="ja-JP"/>
        </w:rPr>
      </w:pPr>
    </w:p>
    <w:p w14:paraId="25598F02" w14:textId="77777777" w:rsidR="00041990" w:rsidRDefault="00041990">
      <w:pPr>
        <w:rPr>
          <w:lang w:eastAsia="ja-JP"/>
        </w:rPr>
      </w:pPr>
    </w:p>
    <w:p w14:paraId="77D01059" w14:textId="77777777" w:rsidR="00041990" w:rsidRDefault="00041990">
      <w:pPr>
        <w:rPr>
          <w:lang w:eastAsia="ja-JP"/>
        </w:rPr>
      </w:pPr>
    </w:p>
    <w:p w14:paraId="04101142" w14:textId="77777777" w:rsidR="00041990" w:rsidRDefault="00041990">
      <w:pPr>
        <w:rPr>
          <w:lang w:eastAsia="ja-JP"/>
        </w:rPr>
      </w:pPr>
    </w:p>
    <w:p w14:paraId="0875AFB6" w14:textId="77777777" w:rsidR="00041990" w:rsidRDefault="00041990">
      <w:pPr>
        <w:rPr>
          <w:lang w:eastAsia="ja-JP"/>
        </w:rPr>
      </w:pPr>
    </w:p>
    <w:p w14:paraId="3E3F980E" w14:textId="60663226" w:rsidR="00C84D94" w:rsidRDefault="00C84D94">
      <w:pPr>
        <w:rPr>
          <w:lang w:eastAsia="ja-JP"/>
        </w:rPr>
      </w:pPr>
      <w:r>
        <w:rPr>
          <w:lang w:eastAsia="ja-JP"/>
        </w:rPr>
        <w:t>Fig.</w:t>
      </w:r>
    </w:p>
    <w:p w14:paraId="23BA15EA" w14:textId="77777777" w:rsidR="00C84D94" w:rsidRDefault="00C84D94">
      <w:pPr>
        <w:rPr>
          <w:lang w:eastAsia="ja-JP"/>
        </w:rPr>
      </w:pPr>
    </w:p>
    <w:p w14:paraId="34E76D80" w14:textId="3DCD117D" w:rsidR="00C84D94" w:rsidRPr="00C84D94" w:rsidRDefault="00C84D94">
      <w:pPr>
        <w:rPr>
          <w:lang w:eastAsia="ja-JP"/>
        </w:rPr>
      </w:pPr>
      <w:r w:rsidRPr="00C84D94">
        <w:rPr>
          <w:lang w:eastAsia="ja-JP"/>
        </w:rPr>
        <w:t xml:space="preserve">-A Variety of reds, colour chart, </w:t>
      </w:r>
      <w:r w:rsidRPr="00C84D94">
        <w:t xml:space="preserve">Chen Yuxiu, </w:t>
      </w:r>
      <w:r w:rsidRPr="00C84D94">
        <w:rPr>
          <w:i/>
        </w:rPr>
        <w:t>Xunzhao Taiwan Hong</w:t>
      </w:r>
      <w:r w:rsidRPr="00C84D94">
        <w:t>, Taipei: Wenjianhui, 2004, p. 14.</w:t>
      </w:r>
    </w:p>
    <w:p w14:paraId="28B91BA4" w14:textId="77777777" w:rsidR="00C84D94" w:rsidRDefault="00C84D94">
      <w:pPr>
        <w:rPr>
          <w:lang w:eastAsia="ja-JP"/>
        </w:rPr>
      </w:pPr>
    </w:p>
    <w:p w14:paraId="589F5880" w14:textId="21F70EFF" w:rsidR="00C27D7A" w:rsidRPr="0071593C" w:rsidRDefault="00C27D7A">
      <w:pPr>
        <w:rPr>
          <w:lang w:eastAsia="ja-JP"/>
        </w:rPr>
      </w:pPr>
      <w:r>
        <w:rPr>
          <w:lang w:eastAsia="ja-JP"/>
        </w:rPr>
        <w:t>-Louis Vuitton animation projecting Michael Lin’s art on iconic buildings in Taipei, the animation work was done by ‘Dark Room’, a company based in London.</w:t>
      </w:r>
    </w:p>
    <w:sectPr w:rsidR="00C27D7A" w:rsidRPr="0071593C" w:rsidSect="00E36A09">
      <w:footerReference w:type="even" r:id="rId8"/>
      <w:footerReference w:type="default" r:id="rId9"/>
      <w:endnotePr>
        <w:numFmt w:val="decimal"/>
      </w:endnotePr>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259CDF" w14:textId="77777777" w:rsidR="00276B94" w:rsidRDefault="00276B94" w:rsidP="006E55A5">
      <w:r>
        <w:separator/>
      </w:r>
    </w:p>
  </w:endnote>
  <w:endnote w:type="continuationSeparator" w:id="0">
    <w:p w14:paraId="58EDE469" w14:textId="77777777" w:rsidR="00276B94" w:rsidRDefault="00276B94" w:rsidP="006E55A5">
      <w:r>
        <w:continuationSeparator/>
      </w:r>
    </w:p>
  </w:endnote>
  <w:endnote w:id="1">
    <w:p w14:paraId="6D70AD2C" w14:textId="51343CFD" w:rsidR="00276B94" w:rsidRPr="00FB3673" w:rsidRDefault="00276B94">
      <w:pPr>
        <w:pStyle w:val="EndnoteText"/>
        <w:rPr>
          <w:sz w:val="20"/>
          <w:szCs w:val="20"/>
        </w:rPr>
      </w:pPr>
      <w:r w:rsidRPr="00FB3673">
        <w:rPr>
          <w:rStyle w:val="EndnoteReference"/>
          <w:sz w:val="20"/>
          <w:szCs w:val="20"/>
        </w:rPr>
        <w:endnoteRef/>
      </w:r>
      <w:r>
        <w:rPr>
          <w:sz w:val="20"/>
          <w:szCs w:val="20"/>
        </w:rPr>
        <w:t xml:space="preserve"> Chen Z</w:t>
      </w:r>
      <w:r w:rsidRPr="00FB3673">
        <w:rPr>
          <w:sz w:val="20"/>
          <w:szCs w:val="20"/>
        </w:rPr>
        <w:t>ongpin</w:t>
      </w:r>
      <w:r>
        <w:rPr>
          <w:sz w:val="20"/>
          <w:szCs w:val="20"/>
        </w:rPr>
        <w:t>g</w:t>
      </w:r>
      <w:r w:rsidRPr="00FB3673">
        <w:rPr>
          <w:sz w:val="20"/>
          <w:szCs w:val="20"/>
        </w:rPr>
        <w:t xml:space="preserve"> categorise the period as initiated by Michael Lin, Chen 2012, p. 16-17.</w:t>
      </w:r>
    </w:p>
  </w:endnote>
  <w:endnote w:id="2">
    <w:p w14:paraId="16FF51C6" w14:textId="2B793BE5" w:rsidR="00276B94" w:rsidRPr="00190EE9" w:rsidRDefault="00276B94">
      <w:pPr>
        <w:pStyle w:val="EndnoteText"/>
        <w:rPr>
          <w:sz w:val="20"/>
          <w:szCs w:val="20"/>
        </w:rPr>
      </w:pPr>
      <w:r w:rsidRPr="00190EE9">
        <w:rPr>
          <w:rStyle w:val="EndnoteReference"/>
          <w:sz w:val="20"/>
          <w:szCs w:val="20"/>
        </w:rPr>
        <w:endnoteRef/>
      </w:r>
      <w:r w:rsidRPr="00190EE9">
        <w:rPr>
          <w:sz w:val="20"/>
          <w:szCs w:val="20"/>
        </w:rPr>
        <w:t xml:space="preserve"> http://www.youtube.com/watch?v=DcwGyznqsKY</w:t>
      </w:r>
    </w:p>
  </w:endnote>
  <w:endnote w:id="3">
    <w:p w14:paraId="3B78B50A" w14:textId="1FC8DE20" w:rsidR="00276B94" w:rsidRPr="00190EE9" w:rsidRDefault="00276B94">
      <w:pPr>
        <w:pStyle w:val="EndnoteText"/>
        <w:rPr>
          <w:sz w:val="20"/>
          <w:szCs w:val="20"/>
        </w:rPr>
      </w:pPr>
      <w:r w:rsidRPr="00190EE9">
        <w:rPr>
          <w:rStyle w:val="EndnoteReference"/>
          <w:sz w:val="20"/>
          <w:szCs w:val="20"/>
        </w:rPr>
        <w:endnoteRef/>
      </w:r>
      <w:r w:rsidRPr="00190EE9">
        <w:rPr>
          <w:sz w:val="20"/>
          <w:szCs w:val="20"/>
        </w:rPr>
        <w:t xml:space="preserve"> Ibid.</w:t>
      </w:r>
    </w:p>
  </w:endnote>
  <w:endnote w:id="4">
    <w:p w14:paraId="37F57D4E" w14:textId="1860970A" w:rsidR="00276B94" w:rsidRPr="00141832" w:rsidRDefault="00276B94" w:rsidP="00095782">
      <w:pPr>
        <w:pStyle w:val="EndnoteText"/>
        <w:rPr>
          <w:sz w:val="20"/>
          <w:szCs w:val="20"/>
        </w:rPr>
      </w:pPr>
      <w:r w:rsidRPr="00141832">
        <w:rPr>
          <w:rStyle w:val="EndnoteReference"/>
          <w:sz w:val="20"/>
          <w:szCs w:val="20"/>
        </w:rPr>
        <w:endnoteRef/>
      </w:r>
      <w:r w:rsidRPr="00141832">
        <w:rPr>
          <w:sz w:val="20"/>
          <w:szCs w:val="20"/>
        </w:rPr>
        <w:t xml:space="preserve"> Sophie McINTYRE PhD thesis, ‘Imagining Taiwan: The Making and the Museological </w:t>
      </w:r>
      <w:r w:rsidR="00994869" w:rsidRPr="00141832">
        <w:rPr>
          <w:sz w:val="20"/>
          <w:szCs w:val="20"/>
        </w:rPr>
        <w:t>Representation</w:t>
      </w:r>
      <w:r w:rsidRPr="00141832">
        <w:rPr>
          <w:sz w:val="20"/>
          <w:szCs w:val="20"/>
        </w:rPr>
        <w:t xml:space="preserve"> of Art in Taiwan’s Quest for Identity (1987-2010)’, The Australian National University, December 2012, p. 349.</w:t>
      </w:r>
    </w:p>
  </w:endnote>
  <w:endnote w:id="5">
    <w:p w14:paraId="67F847A5" w14:textId="1E7496B1" w:rsidR="00276B94" w:rsidRPr="00141832" w:rsidRDefault="00276B94" w:rsidP="00141832">
      <w:pPr>
        <w:pStyle w:val="EndnoteText"/>
        <w:rPr>
          <w:sz w:val="20"/>
          <w:szCs w:val="20"/>
        </w:rPr>
      </w:pPr>
      <w:r w:rsidRPr="00141832">
        <w:rPr>
          <w:rStyle w:val="EndnoteReference"/>
          <w:sz w:val="20"/>
          <w:szCs w:val="20"/>
        </w:rPr>
        <w:endnoteRef/>
      </w:r>
      <w:r w:rsidRPr="00141832">
        <w:rPr>
          <w:sz w:val="20"/>
          <w:szCs w:val="20"/>
        </w:rPr>
        <w:t xml:space="preserve"> I’m grateful to Lee Ching-Fang of the National Chunghua University of Education who curated </w:t>
      </w:r>
      <w:r w:rsidRPr="00141832">
        <w:rPr>
          <w:rFonts w:eastAsia="MS Mincho"/>
          <w:sz w:val="20"/>
          <w:szCs w:val="20"/>
          <w:lang w:eastAsia="ja-JP"/>
        </w:rPr>
        <w:t>‘Enjoy the Beauty of Taiwanese Printed Cloth’ exhibition at the National Taiwan Museum of Fine Arts in Taizhong</w:t>
      </w:r>
      <w:r w:rsidRPr="00141832">
        <w:rPr>
          <w:sz w:val="20"/>
          <w:szCs w:val="20"/>
        </w:rPr>
        <w:t xml:space="preserve"> for providing for organising an interview with her and her students on 6 July 2012.</w:t>
      </w:r>
    </w:p>
  </w:endnote>
  <w:endnote w:id="6">
    <w:p w14:paraId="11E8DB23" w14:textId="302AED4E" w:rsidR="00276B94" w:rsidRPr="009A4154" w:rsidRDefault="00276B94">
      <w:pPr>
        <w:pStyle w:val="EndnoteText"/>
        <w:rPr>
          <w:rFonts w:ascii="ＭＳ 明朝" w:eastAsia="ＭＳ 明朝" w:hAnsi="ＭＳ 明朝" w:cs="ＭＳ 明朝"/>
          <w:sz w:val="20"/>
          <w:szCs w:val="20"/>
          <w:lang w:eastAsia="ja-JP"/>
        </w:rPr>
      </w:pPr>
      <w:r w:rsidRPr="009A4154">
        <w:rPr>
          <w:rStyle w:val="EndnoteReference"/>
          <w:sz w:val="20"/>
          <w:szCs w:val="20"/>
        </w:rPr>
        <w:endnoteRef/>
      </w:r>
      <w:r w:rsidRPr="009A4154">
        <w:rPr>
          <w:sz w:val="20"/>
          <w:szCs w:val="20"/>
        </w:rPr>
        <w:t xml:space="preserve"> For further information on the history of textile industry in Taiwan, see </w:t>
      </w:r>
      <w:r w:rsidRPr="009A4154">
        <w:rPr>
          <w:rFonts w:ascii="ＭＳ 明朝" w:eastAsia="ＭＳ 明朝" w:hAnsi="ＭＳ 明朝" w:cs="ＭＳ 明朝" w:hint="eastAsia"/>
          <w:sz w:val="20"/>
          <w:szCs w:val="20"/>
          <w:lang w:eastAsia="ja-JP"/>
        </w:rPr>
        <w:t>陳介英、台湾紡績産業発展史：牽紗引線話紡織（</w:t>
      </w:r>
      <w:r w:rsidRPr="009A4154">
        <w:rPr>
          <w:rFonts w:ascii="ＭＳ 明朝" w:eastAsia="ＭＳ 明朝" w:hAnsi="ＭＳ 明朝" w:cs="ＭＳ 明朝"/>
          <w:sz w:val="20"/>
          <w:szCs w:val="20"/>
          <w:lang w:eastAsia="ja-JP"/>
        </w:rPr>
        <w:t>Textile Industrial History of Taiwan)</w:t>
      </w:r>
      <w:r w:rsidRPr="009A4154">
        <w:rPr>
          <w:rFonts w:ascii="ＭＳ 明朝" w:eastAsia="ＭＳ 明朝" w:hAnsi="ＭＳ 明朝" w:cs="ＭＳ 明朝" w:hint="eastAsia"/>
          <w:sz w:val="20"/>
          <w:szCs w:val="20"/>
          <w:lang w:eastAsia="ja-JP"/>
        </w:rPr>
        <w:t>、高雄：国立科學工藝博物館、２００８。</w:t>
      </w:r>
    </w:p>
  </w:endnote>
  <w:endnote w:id="7">
    <w:p w14:paraId="773D5605" w14:textId="180230E6" w:rsidR="00276B94" w:rsidRPr="004C58CD" w:rsidRDefault="00276B94" w:rsidP="005709AC">
      <w:pPr>
        <w:pStyle w:val="EndnoteText"/>
        <w:rPr>
          <w:sz w:val="20"/>
          <w:szCs w:val="20"/>
        </w:rPr>
      </w:pPr>
      <w:r w:rsidRPr="004C58CD">
        <w:rPr>
          <w:rStyle w:val="EndnoteReference"/>
          <w:sz w:val="20"/>
          <w:szCs w:val="20"/>
        </w:rPr>
        <w:endnoteRef/>
      </w:r>
      <w:r w:rsidRPr="004C58CD">
        <w:rPr>
          <w:sz w:val="20"/>
          <w:szCs w:val="20"/>
        </w:rPr>
        <w:t xml:space="preserve"> Wu Qinggui, </w:t>
      </w:r>
      <w:r>
        <w:rPr>
          <w:i/>
          <w:sz w:val="20"/>
          <w:szCs w:val="20"/>
        </w:rPr>
        <w:t>Taiwan Hwapu</w:t>
      </w:r>
      <w:r>
        <w:rPr>
          <w:sz w:val="20"/>
          <w:szCs w:val="20"/>
        </w:rPr>
        <w:t>, Taipei: Locus Publishing, 2010</w:t>
      </w:r>
      <w:r w:rsidRPr="004C58CD">
        <w:rPr>
          <w:sz w:val="20"/>
          <w:szCs w:val="20"/>
        </w:rPr>
        <w:t>, pp. 14-15.</w:t>
      </w:r>
    </w:p>
  </w:endnote>
  <w:endnote w:id="8">
    <w:p w14:paraId="24F073E7" w14:textId="5B58F443" w:rsidR="00276B94" w:rsidRPr="001C56DA" w:rsidRDefault="00276B94">
      <w:pPr>
        <w:pStyle w:val="EndnoteText"/>
        <w:rPr>
          <w:sz w:val="20"/>
          <w:szCs w:val="20"/>
        </w:rPr>
      </w:pPr>
      <w:r w:rsidRPr="001C56DA">
        <w:rPr>
          <w:rStyle w:val="EndnoteReference"/>
          <w:sz w:val="20"/>
          <w:szCs w:val="20"/>
        </w:rPr>
        <w:endnoteRef/>
      </w:r>
      <w:r w:rsidRPr="001C56DA">
        <w:rPr>
          <w:sz w:val="20"/>
          <w:szCs w:val="20"/>
        </w:rPr>
        <w:t xml:space="preserve"> Chen 2012, pp. 22-23.</w:t>
      </w:r>
    </w:p>
  </w:endnote>
  <w:endnote w:id="9">
    <w:p w14:paraId="0C18FDA0" w14:textId="748C1CF3" w:rsidR="00276B94" w:rsidRPr="00C84D94" w:rsidRDefault="00276B94">
      <w:pPr>
        <w:pStyle w:val="EndnoteText"/>
        <w:rPr>
          <w:sz w:val="20"/>
          <w:szCs w:val="20"/>
        </w:rPr>
      </w:pPr>
      <w:r w:rsidRPr="00C84D94">
        <w:rPr>
          <w:rStyle w:val="EndnoteReference"/>
          <w:sz w:val="20"/>
          <w:szCs w:val="20"/>
        </w:rPr>
        <w:endnoteRef/>
      </w:r>
      <w:r w:rsidRPr="00C84D94">
        <w:rPr>
          <w:sz w:val="20"/>
          <w:szCs w:val="20"/>
        </w:rPr>
        <w:t xml:space="preserve"> Chen Yuxiu, </w:t>
      </w:r>
      <w:r w:rsidRPr="00C84D94">
        <w:rPr>
          <w:i/>
          <w:sz w:val="20"/>
          <w:szCs w:val="20"/>
        </w:rPr>
        <w:t>Xunzhao Taiwan Hong</w:t>
      </w:r>
      <w:r w:rsidRPr="00C84D94">
        <w:rPr>
          <w:sz w:val="20"/>
          <w:szCs w:val="20"/>
        </w:rPr>
        <w:t>, Taipei: Wenjianhui, 2004.</w:t>
      </w:r>
    </w:p>
  </w:endnote>
  <w:endnote w:id="10">
    <w:p w14:paraId="1F825A0C" w14:textId="5A4657BA" w:rsidR="00276B94" w:rsidRPr="000760FA" w:rsidRDefault="00276B94">
      <w:pPr>
        <w:pStyle w:val="EndnoteText"/>
        <w:rPr>
          <w:sz w:val="20"/>
          <w:szCs w:val="20"/>
        </w:rPr>
      </w:pPr>
      <w:r w:rsidRPr="000760FA">
        <w:rPr>
          <w:rStyle w:val="EndnoteReference"/>
          <w:sz w:val="20"/>
          <w:szCs w:val="20"/>
        </w:rPr>
        <w:endnoteRef/>
      </w:r>
      <w:r w:rsidRPr="000760FA">
        <w:rPr>
          <w:rFonts w:eastAsia="ＭＳ 明朝"/>
          <w:sz w:val="20"/>
          <w:szCs w:val="20"/>
          <w:lang w:eastAsia="ja-JP"/>
        </w:rPr>
        <w:t>張素恵、「客家花布的符號消費興族群認同」、国立中央大學、</w:t>
      </w:r>
      <w:r w:rsidRPr="000760FA">
        <w:rPr>
          <w:rFonts w:eastAsia="細明體"/>
          <w:sz w:val="20"/>
          <w:szCs w:val="20"/>
          <w:lang w:eastAsia="ja-JP"/>
        </w:rPr>
        <w:t>硕</w:t>
      </w:r>
      <w:r w:rsidRPr="000760FA">
        <w:rPr>
          <w:rFonts w:eastAsia="ＭＳ 明朝"/>
          <w:sz w:val="20"/>
          <w:szCs w:val="20"/>
          <w:lang w:eastAsia="ja-JP"/>
        </w:rPr>
        <w:t>士論文、２０１１</w:t>
      </w:r>
    </w:p>
  </w:endnote>
  <w:endnote w:id="11">
    <w:p w14:paraId="0CB8691B" w14:textId="458CA8D0" w:rsidR="00276B94" w:rsidRPr="00650743" w:rsidRDefault="00276B94" w:rsidP="00041990">
      <w:pPr>
        <w:pStyle w:val="EndnoteText"/>
        <w:rPr>
          <w:sz w:val="20"/>
          <w:szCs w:val="20"/>
        </w:rPr>
      </w:pPr>
      <w:r w:rsidRPr="004C58CD">
        <w:rPr>
          <w:rStyle w:val="EndnoteReference"/>
          <w:sz w:val="20"/>
          <w:szCs w:val="20"/>
        </w:rPr>
        <w:endnoteRef/>
      </w:r>
      <w:r w:rsidRPr="004C58CD">
        <w:rPr>
          <w:sz w:val="20"/>
          <w:szCs w:val="20"/>
        </w:rPr>
        <w:t xml:space="preserve"> </w:t>
      </w:r>
      <w:r>
        <w:rPr>
          <w:sz w:val="20"/>
          <w:szCs w:val="20"/>
        </w:rPr>
        <w:t xml:space="preserve">National Central University was the first institution in Taiwan that created the Hakka Studies Department with the initiation of the Hakka Affairs Council in 2003. For further information see the Hakka Affairs Council’s website  </w:t>
      </w:r>
      <w:hyperlink r:id="rId1" w:history="1">
        <w:r w:rsidRPr="00CE7E07">
          <w:rPr>
            <w:rStyle w:val="Hyperlink"/>
            <w:sz w:val="20"/>
            <w:szCs w:val="20"/>
          </w:rPr>
          <w:t>http://www.hakka.gov.tw/mp.asp?mp=11</w:t>
        </w:r>
      </w:hyperlink>
      <w:r>
        <w:rPr>
          <w:sz w:val="20"/>
          <w:szCs w:val="20"/>
        </w:rPr>
        <w:t xml:space="preserve"> (accessed 16 May 2013)  MA thesis funded by the HAC includes </w:t>
      </w:r>
      <w:r w:rsidRPr="004C58CD">
        <w:rPr>
          <w:rFonts w:eastAsia="ＭＳ 明朝"/>
          <w:sz w:val="20"/>
          <w:szCs w:val="20"/>
          <w:lang w:eastAsia="ja-JP"/>
        </w:rPr>
        <w:t>李怡萱　「客家花布産業発展之研究：以資源基礎的観點」国立中央大學、国立政治経済研究所、</w:t>
      </w:r>
      <w:r w:rsidRPr="004C58CD">
        <w:rPr>
          <w:rFonts w:eastAsia="細明體"/>
          <w:sz w:val="20"/>
          <w:szCs w:val="20"/>
          <w:lang w:eastAsia="ja-JP"/>
        </w:rPr>
        <w:t>硕</w:t>
      </w:r>
      <w:r w:rsidRPr="004C58CD">
        <w:rPr>
          <w:rFonts w:eastAsia="ＭＳ 明朝"/>
          <w:sz w:val="20"/>
          <w:szCs w:val="20"/>
          <w:lang w:eastAsia="ja-JP"/>
        </w:rPr>
        <w:t>士論文、２００９；張素恵、「客家花布的符號消費興族群認同」、国</w:t>
      </w:r>
      <w:r w:rsidRPr="00141832">
        <w:rPr>
          <w:rFonts w:eastAsia="ＭＳ 明朝"/>
          <w:sz w:val="20"/>
          <w:szCs w:val="20"/>
          <w:lang w:eastAsia="ja-JP"/>
        </w:rPr>
        <w:t>立中央大學、</w:t>
      </w:r>
      <w:r w:rsidRPr="00141832">
        <w:rPr>
          <w:rFonts w:eastAsia="細明體"/>
          <w:sz w:val="20"/>
          <w:szCs w:val="20"/>
          <w:lang w:eastAsia="ja-JP"/>
        </w:rPr>
        <w:t>硕</w:t>
      </w:r>
      <w:r w:rsidRPr="00141832">
        <w:rPr>
          <w:rFonts w:eastAsia="ＭＳ 明朝"/>
          <w:sz w:val="20"/>
          <w:szCs w:val="20"/>
          <w:lang w:eastAsia="ja-JP"/>
        </w:rPr>
        <w:t>士論文、２０１１。</w:t>
      </w:r>
    </w:p>
  </w:endnote>
  <w:endnote w:id="12">
    <w:p w14:paraId="4377AFF1" w14:textId="77777777" w:rsidR="00276B94" w:rsidRPr="00141832" w:rsidRDefault="00276B94" w:rsidP="00466D8E">
      <w:pPr>
        <w:rPr>
          <w:sz w:val="20"/>
          <w:szCs w:val="20"/>
        </w:rPr>
      </w:pPr>
      <w:r w:rsidRPr="00141832">
        <w:rPr>
          <w:rStyle w:val="EndnoteReference"/>
          <w:sz w:val="20"/>
          <w:szCs w:val="20"/>
        </w:rPr>
        <w:endnoteRef/>
      </w:r>
      <w:r w:rsidRPr="00141832">
        <w:rPr>
          <w:sz w:val="20"/>
          <w:szCs w:val="20"/>
        </w:rPr>
        <w:t xml:space="preserve"> Shu-mei Shih, </w:t>
      </w:r>
      <w:r w:rsidRPr="00141832">
        <w:rPr>
          <w:i/>
          <w:sz w:val="20"/>
          <w:szCs w:val="20"/>
        </w:rPr>
        <w:t xml:space="preserve">Visuality and Identity: Sinophone Articulations across the Pacific. </w:t>
      </w:r>
      <w:r w:rsidRPr="00141832">
        <w:rPr>
          <w:sz w:val="20"/>
          <w:szCs w:val="20"/>
        </w:rPr>
        <w:t>Berkeley, Los Angeles and London: University of California Press, 2007, p. 170.</w:t>
      </w:r>
    </w:p>
  </w:endnote>
  <w:endnote w:id="13">
    <w:p w14:paraId="12F28CCA" w14:textId="418BA056" w:rsidR="00276B94" w:rsidRPr="00A65161" w:rsidRDefault="00276B94">
      <w:pPr>
        <w:pStyle w:val="EndnoteText"/>
        <w:rPr>
          <w:sz w:val="20"/>
          <w:szCs w:val="20"/>
        </w:rPr>
      </w:pPr>
      <w:r w:rsidRPr="00A65161">
        <w:rPr>
          <w:rStyle w:val="EndnoteReference"/>
          <w:sz w:val="20"/>
          <w:szCs w:val="20"/>
        </w:rPr>
        <w:endnoteRef/>
      </w:r>
      <w:r w:rsidRPr="00A65161">
        <w:rPr>
          <w:sz w:val="20"/>
          <w:szCs w:val="20"/>
        </w:rPr>
        <w:t xml:space="preserve"> Ibid., p. 167.</w:t>
      </w:r>
    </w:p>
  </w:endnote>
  <w:endnote w:id="14">
    <w:p w14:paraId="6894D8FA" w14:textId="6F7C34A9" w:rsidR="00276B94" w:rsidRPr="00504C4F" w:rsidRDefault="00276B94">
      <w:pPr>
        <w:pStyle w:val="EndnoteText"/>
        <w:rPr>
          <w:sz w:val="20"/>
          <w:szCs w:val="20"/>
        </w:rPr>
      </w:pPr>
      <w:r w:rsidRPr="00504C4F">
        <w:rPr>
          <w:rStyle w:val="EndnoteReference"/>
          <w:sz w:val="20"/>
          <w:szCs w:val="20"/>
        </w:rPr>
        <w:endnoteRef/>
      </w:r>
      <w:r w:rsidRPr="00504C4F">
        <w:rPr>
          <w:sz w:val="20"/>
          <w:szCs w:val="20"/>
        </w:rPr>
        <w:t xml:space="preserve"> Ibid., p. 175.</w:t>
      </w:r>
    </w:p>
  </w:endnote>
  <w:endnote w:id="15">
    <w:p w14:paraId="0D54B5FE" w14:textId="77777777" w:rsidR="00276B94" w:rsidRPr="006602C8" w:rsidRDefault="00276B94" w:rsidP="00083677">
      <w:pPr>
        <w:pStyle w:val="Heading3"/>
        <w:spacing w:before="0"/>
        <w:rPr>
          <w:rFonts w:ascii="Arial" w:eastAsia="ＭＳ 明朝" w:hAnsi="Arial" w:cs="Arial"/>
          <w:b w:val="0"/>
          <w:color w:val="auto"/>
          <w:sz w:val="20"/>
          <w:szCs w:val="20"/>
        </w:rPr>
      </w:pPr>
      <w:r w:rsidRPr="006B5C24">
        <w:rPr>
          <w:rStyle w:val="EndnoteReference"/>
          <w:rFonts w:ascii="Arial" w:hAnsi="Arial" w:cs="Arial"/>
          <w:b w:val="0"/>
          <w:color w:val="auto"/>
          <w:sz w:val="20"/>
          <w:szCs w:val="20"/>
        </w:rPr>
        <w:endnoteRef/>
      </w:r>
      <w:r w:rsidRPr="006B5C24">
        <w:rPr>
          <w:rFonts w:ascii="Arial" w:hAnsi="Arial" w:cs="Arial"/>
          <w:b w:val="0"/>
          <w:color w:val="auto"/>
          <w:sz w:val="20"/>
          <w:szCs w:val="20"/>
        </w:rPr>
        <w:t xml:space="preserve"> ‘</w:t>
      </w:r>
      <w:r w:rsidRPr="006B5C24">
        <w:rPr>
          <w:rFonts w:ascii="Arial" w:eastAsia="ＭＳ Ｐゴシック" w:hAnsi="Arial" w:cs="Arial"/>
          <w:b w:val="0"/>
          <w:color w:val="auto"/>
          <w:sz w:val="20"/>
          <w:szCs w:val="20"/>
        </w:rPr>
        <w:t>好文化創意空間</w:t>
      </w:r>
      <w:r w:rsidRPr="006B5C24">
        <w:rPr>
          <w:rFonts w:ascii="Arial" w:hAnsi="Arial" w:cs="Arial"/>
          <w:b w:val="0"/>
          <w:color w:val="auto"/>
          <w:sz w:val="20"/>
          <w:szCs w:val="20"/>
        </w:rPr>
        <w:t xml:space="preserve"> </w:t>
      </w:r>
      <w:hyperlink r:id="rId2" w:history="1">
        <w:r w:rsidRPr="006B5C24">
          <w:rPr>
            <w:rStyle w:val="Hyperlink"/>
            <w:rFonts w:ascii="Arial" w:hAnsi="Arial" w:cs="Arial"/>
            <w:b w:val="0"/>
            <w:color w:val="auto"/>
            <w:sz w:val="20"/>
            <w:szCs w:val="20"/>
          </w:rPr>
          <w:t>http://mypaper.pchome.com.tw/lostcity/post/1301689373</w:t>
        </w:r>
      </w:hyperlink>
      <w:r w:rsidRPr="006B5C24">
        <w:rPr>
          <w:rFonts w:ascii="Arial" w:hAnsi="Arial" w:cs="Arial"/>
          <w:b w:val="0"/>
          <w:color w:val="auto"/>
          <w:sz w:val="20"/>
          <w:szCs w:val="20"/>
        </w:rPr>
        <w:t xml:space="preserve"> (accessed on 16 </w:t>
      </w:r>
      <w:r w:rsidRPr="006602C8">
        <w:rPr>
          <w:rFonts w:ascii="Arial" w:eastAsia="ＭＳ 明朝" w:hAnsi="Arial" w:cs="Arial"/>
          <w:b w:val="0"/>
          <w:color w:val="auto"/>
          <w:sz w:val="20"/>
          <w:szCs w:val="20"/>
        </w:rPr>
        <w:t>May 2013)</w:t>
      </w:r>
    </w:p>
  </w:endnote>
  <w:endnote w:id="16">
    <w:p w14:paraId="698205D6" w14:textId="2629F8AD" w:rsidR="00276B94" w:rsidRPr="004020F0" w:rsidRDefault="00276B94">
      <w:pPr>
        <w:pStyle w:val="EndnoteText"/>
        <w:rPr>
          <w:sz w:val="20"/>
          <w:szCs w:val="20"/>
        </w:rPr>
      </w:pPr>
      <w:r w:rsidRPr="004020F0">
        <w:rPr>
          <w:rStyle w:val="EndnoteReference"/>
          <w:sz w:val="20"/>
          <w:szCs w:val="20"/>
        </w:rPr>
        <w:endnoteRef/>
      </w:r>
      <w:r w:rsidRPr="004020F0">
        <w:rPr>
          <w:sz w:val="20"/>
          <w:szCs w:val="20"/>
        </w:rPr>
        <w:t xml:space="preserve"> </w:t>
      </w:r>
      <w:r w:rsidRPr="004020F0">
        <w:rPr>
          <w:sz w:val="20"/>
          <w:szCs w:val="20"/>
          <w:lang w:eastAsia="ja-JP"/>
        </w:rPr>
        <w:t xml:space="preserve">Jonathan Woodham, Twentieth-Century Design, </w:t>
      </w:r>
      <w:r>
        <w:rPr>
          <w:sz w:val="20"/>
          <w:szCs w:val="20"/>
          <w:lang w:eastAsia="ja-JP"/>
        </w:rPr>
        <w:t xml:space="preserve">Oxford and New York: Oxford University Press, 1997, </w:t>
      </w:r>
      <w:r w:rsidRPr="004020F0">
        <w:rPr>
          <w:sz w:val="20"/>
          <w:szCs w:val="20"/>
          <w:lang w:eastAsia="ja-JP"/>
        </w:rPr>
        <w:t>p</w:t>
      </w:r>
      <w:r>
        <w:rPr>
          <w:sz w:val="20"/>
          <w:szCs w:val="20"/>
          <w:lang w:eastAsia="ja-JP"/>
        </w:rPr>
        <w:t>p</w:t>
      </w:r>
      <w:r w:rsidRPr="004020F0">
        <w:rPr>
          <w:sz w:val="20"/>
          <w:szCs w:val="20"/>
          <w:lang w:eastAsia="ja-JP"/>
        </w:rPr>
        <w:t>. 217</w:t>
      </w:r>
      <w:r>
        <w:rPr>
          <w:sz w:val="20"/>
          <w:szCs w:val="20"/>
          <w:lang w:eastAsia="ja-JP"/>
        </w:rPr>
        <w:t>-219</w:t>
      </w:r>
      <w:r w:rsidRPr="004020F0">
        <w:rPr>
          <w:sz w:val="20"/>
          <w:szCs w:val="20"/>
          <w:lang w:eastAsia="ja-JP"/>
        </w:rPr>
        <w:t>.</w:t>
      </w:r>
    </w:p>
  </w:endnote>
  <w:endnote w:id="17">
    <w:p w14:paraId="19E13030" w14:textId="36FF39AA" w:rsidR="00276B94" w:rsidRPr="0037763D" w:rsidRDefault="00276B94">
      <w:pPr>
        <w:pStyle w:val="EndnoteText"/>
        <w:rPr>
          <w:sz w:val="20"/>
          <w:szCs w:val="20"/>
        </w:rPr>
      </w:pPr>
      <w:r w:rsidRPr="0037763D">
        <w:rPr>
          <w:rStyle w:val="EndnoteReference"/>
          <w:sz w:val="20"/>
          <w:szCs w:val="20"/>
        </w:rPr>
        <w:endnoteRef/>
      </w:r>
      <w:r w:rsidRPr="0037763D">
        <w:rPr>
          <w:sz w:val="20"/>
          <w:szCs w:val="20"/>
        </w:rPr>
        <w:t xml:space="preserve"> </w:t>
      </w:r>
      <w:r w:rsidRPr="0037763D">
        <w:rPr>
          <w:sz w:val="20"/>
          <w:szCs w:val="20"/>
          <w:lang w:eastAsia="ja-JP"/>
        </w:rPr>
        <w:t xml:space="preserve">Elizabeth Guffey in her book </w:t>
      </w:r>
      <w:r w:rsidRPr="0037763D">
        <w:rPr>
          <w:i/>
          <w:sz w:val="20"/>
          <w:szCs w:val="20"/>
          <w:lang w:eastAsia="ja-JP"/>
        </w:rPr>
        <w:t>Retro: The Culture of Revival</w:t>
      </w:r>
      <w:r w:rsidRPr="0037763D">
        <w:rPr>
          <w:sz w:val="20"/>
          <w:szCs w:val="20"/>
          <w:lang w:eastAsia="ja-JP"/>
        </w:rPr>
        <w:t>, London: Reaktion, 2006, p. 26</w:t>
      </w:r>
    </w:p>
  </w:endnote>
  <w:endnote w:id="18">
    <w:p w14:paraId="447FE680" w14:textId="708F55BD" w:rsidR="00276B94" w:rsidRPr="0037763D" w:rsidRDefault="00276B94">
      <w:pPr>
        <w:pStyle w:val="EndnoteText"/>
        <w:rPr>
          <w:sz w:val="20"/>
          <w:szCs w:val="20"/>
        </w:rPr>
      </w:pPr>
      <w:r w:rsidRPr="0037763D">
        <w:rPr>
          <w:rStyle w:val="EndnoteReference"/>
          <w:sz w:val="20"/>
          <w:szCs w:val="20"/>
        </w:rPr>
        <w:endnoteRef/>
      </w:r>
      <w:r w:rsidRPr="0037763D">
        <w:rPr>
          <w:sz w:val="20"/>
          <w:szCs w:val="20"/>
        </w:rPr>
        <w:t xml:space="preserve"> Ibid., pp. 161-162.</w:t>
      </w:r>
    </w:p>
  </w:endnote>
  <w:endnote w:id="19">
    <w:p w14:paraId="5C167812" w14:textId="77777777" w:rsidR="00276B94" w:rsidRPr="006602C8" w:rsidRDefault="00276B94" w:rsidP="002430F8">
      <w:pPr>
        <w:pStyle w:val="EndnoteText"/>
        <w:rPr>
          <w:rFonts w:eastAsia="ＭＳ 明朝"/>
          <w:sz w:val="20"/>
          <w:szCs w:val="20"/>
          <w:lang w:eastAsia="ja-JP"/>
        </w:rPr>
      </w:pPr>
      <w:r w:rsidRPr="006602C8">
        <w:rPr>
          <w:rStyle w:val="EndnoteReference"/>
          <w:rFonts w:eastAsia="ＭＳ 明朝"/>
          <w:sz w:val="20"/>
          <w:szCs w:val="20"/>
        </w:rPr>
        <w:endnoteRef/>
      </w:r>
      <w:r>
        <w:rPr>
          <w:rFonts w:eastAsia="ＭＳ 明朝"/>
          <w:sz w:val="20"/>
          <w:szCs w:val="20"/>
          <w:lang w:eastAsia="ja-JP"/>
        </w:rPr>
        <w:t>Chen Zongping (</w:t>
      </w:r>
      <w:r w:rsidRPr="006602C8">
        <w:rPr>
          <w:rFonts w:eastAsia="ＭＳ 明朝"/>
          <w:sz w:val="20"/>
          <w:szCs w:val="20"/>
        </w:rPr>
        <w:t>陳宗萍</w:t>
      </w:r>
      <w:r>
        <w:rPr>
          <w:rFonts w:eastAsia="ＭＳ 明朝" w:hint="eastAsia"/>
          <w:sz w:val="20"/>
          <w:szCs w:val="20"/>
          <w:lang w:eastAsia="ja-JP"/>
        </w:rPr>
        <w:t>)</w:t>
      </w:r>
      <w:r>
        <w:rPr>
          <w:rFonts w:eastAsia="ＭＳ 明朝"/>
          <w:sz w:val="20"/>
          <w:szCs w:val="20"/>
          <w:lang w:eastAsia="ja-JP"/>
        </w:rPr>
        <w:t xml:space="preserve"> </w:t>
      </w:r>
      <w:r w:rsidRPr="006602C8">
        <w:rPr>
          <w:rFonts w:eastAsia="ＭＳ 明朝"/>
          <w:sz w:val="20"/>
          <w:szCs w:val="20"/>
          <w:lang w:eastAsia="ja-JP"/>
        </w:rPr>
        <w:t>is a designer who runs</w:t>
      </w:r>
      <w:r w:rsidRPr="006602C8">
        <w:rPr>
          <w:rFonts w:eastAsia="ＭＳ 明朝"/>
          <w:sz w:val="20"/>
          <w:szCs w:val="20"/>
        </w:rPr>
        <w:t>台北永康街の彰藝坊</w:t>
      </w:r>
      <w:r w:rsidRPr="006602C8">
        <w:rPr>
          <w:rFonts w:eastAsia="ＭＳ 明朝"/>
          <w:sz w:val="20"/>
          <w:szCs w:val="20"/>
        </w:rPr>
        <w:t>, and published this book on her collection of several hundreds Taiwan floral chintz.</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A00002BF" w:usb1="68C7FCFB" w:usb2="00000010" w:usb3="00000000" w:csb0="0002009F" w:csb1="00000000"/>
  </w:font>
  <w:font w:name="ＭＳ Ｐ明朝">
    <w:charset w:val="4E"/>
    <w:family w:val="auto"/>
    <w:pitch w:val="variable"/>
    <w:sig w:usb0="E00002FF" w:usb1="6AC7FDFB" w:usb2="00000012" w:usb3="00000000" w:csb0="0002009F" w:csb1="00000000"/>
  </w:font>
  <w:font w:name="ＭＳ Ｐゴシック">
    <w:charset w:val="4E"/>
    <w:family w:val="auto"/>
    <w:pitch w:val="variable"/>
    <w:sig w:usb0="E00002FF" w:usb1="6AC7FDFB" w:usb2="00000012" w:usb3="00000000" w:csb0="0002009F" w:csb1="00000000"/>
  </w:font>
  <w:font w:name="細明體">
    <w:charset w:val="51"/>
    <w:family w:val="auto"/>
    <w:pitch w:val="variable"/>
    <w:sig w:usb0="A00002FF" w:usb1="28CFFCFA" w:usb2="00000016" w:usb3="00000000" w:csb0="00100001" w:csb1="00000000"/>
  </w:font>
  <w:font w:name="Microsoft Yi Baiti">
    <w:panose1 w:val="03000500000000000000"/>
    <w:charset w:val="00"/>
    <w:family w:val="auto"/>
    <w:pitch w:val="variable"/>
    <w:sig w:usb0="80000003" w:usb1="00010402" w:usb2="00080002" w:usb3="00000000" w:csb0="000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32323" w14:textId="77777777" w:rsidR="00276B94" w:rsidRDefault="00276B94" w:rsidP="007814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D417D6" w14:textId="77777777" w:rsidR="00276B94" w:rsidRDefault="00276B9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3B47A" w14:textId="77777777" w:rsidR="00276B94" w:rsidRDefault="00276B94" w:rsidP="007814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4C7F">
      <w:rPr>
        <w:rStyle w:val="PageNumber"/>
        <w:noProof/>
      </w:rPr>
      <w:t>1</w:t>
    </w:r>
    <w:r>
      <w:rPr>
        <w:rStyle w:val="PageNumber"/>
      </w:rPr>
      <w:fldChar w:fldCharType="end"/>
    </w:r>
  </w:p>
  <w:p w14:paraId="113452A8" w14:textId="77777777" w:rsidR="00276B94" w:rsidRDefault="00276B9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7CB1E8" w14:textId="77777777" w:rsidR="00276B94" w:rsidRDefault="00276B94" w:rsidP="006E55A5">
      <w:r>
        <w:separator/>
      </w:r>
    </w:p>
  </w:footnote>
  <w:footnote w:type="continuationSeparator" w:id="0">
    <w:p w14:paraId="1240B0AB" w14:textId="77777777" w:rsidR="00276B94" w:rsidRDefault="00276B94" w:rsidP="006E55A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46F0C"/>
    <w:multiLevelType w:val="hybridMultilevel"/>
    <w:tmpl w:val="F0CC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A558CF"/>
    <w:multiLevelType w:val="multilevel"/>
    <w:tmpl w:val="78D4C0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C4B261C"/>
    <w:multiLevelType w:val="hybridMultilevel"/>
    <w:tmpl w:val="78D4C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1B4"/>
    <w:rsid w:val="00005BE6"/>
    <w:rsid w:val="00014823"/>
    <w:rsid w:val="00022DFF"/>
    <w:rsid w:val="00026E01"/>
    <w:rsid w:val="000304D9"/>
    <w:rsid w:val="00041990"/>
    <w:rsid w:val="00043F0A"/>
    <w:rsid w:val="00046523"/>
    <w:rsid w:val="000760FA"/>
    <w:rsid w:val="00082846"/>
    <w:rsid w:val="00083677"/>
    <w:rsid w:val="00091E0F"/>
    <w:rsid w:val="00092CE1"/>
    <w:rsid w:val="00093418"/>
    <w:rsid w:val="00095782"/>
    <w:rsid w:val="000A73C9"/>
    <w:rsid w:val="000A7658"/>
    <w:rsid w:val="000B658B"/>
    <w:rsid w:val="000E4F8B"/>
    <w:rsid w:val="000F4C4A"/>
    <w:rsid w:val="00104BA0"/>
    <w:rsid w:val="00120961"/>
    <w:rsid w:val="00140BAC"/>
    <w:rsid w:val="00141832"/>
    <w:rsid w:val="001742F2"/>
    <w:rsid w:val="00174C9A"/>
    <w:rsid w:val="00180016"/>
    <w:rsid w:val="00190EE9"/>
    <w:rsid w:val="00197EE3"/>
    <w:rsid w:val="001B5A6C"/>
    <w:rsid w:val="001C47A1"/>
    <w:rsid w:val="001C56DA"/>
    <w:rsid w:val="001D2625"/>
    <w:rsid w:val="001D7C33"/>
    <w:rsid w:val="00212F4C"/>
    <w:rsid w:val="00214691"/>
    <w:rsid w:val="00230611"/>
    <w:rsid w:val="00235F2D"/>
    <w:rsid w:val="00237DB3"/>
    <w:rsid w:val="002430F8"/>
    <w:rsid w:val="00266232"/>
    <w:rsid w:val="00276B94"/>
    <w:rsid w:val="0029039C"/>
    <w:rsid w:val="00297193"/>
    <w:rsid w:val="002A28BE"/>
    <w:rsid w:val="002A55F0"/>
    <w:rsid w:val="002B0A20"/>
    <w:rsid w:val="002B0B29"/>
    <w:rsid w:val="002E638E"/>
    <w:rsid w:val="002F339C"/>
    <w:rsid w:val="003023B9"/>
    <w:rsid w:val="00306D92"/>
    <w:rsid w:val="00317411"/>
    <w:rsid w:val="00321CD1"/>
    <w:rsid w:val="00331728"/>
    <w:rsid w:val="003729C7"/>
    <w:rsid w:val="0037763D"/>
    <w:rsid w:val="003A118E"/>
    <w:rsid w:val="003A5B0A"/>
    <w:rsid w:val="003B17EC"/>
    <w:rsid w:val="003D68CD"/>
    <w:rsid w:val="003E3EF9"/>
    <w:rsid w:val="003F004B"/>
    <w:rsid w:val="003F1003"/>
    <w:rsid w:val="003F1970"/>
    <w:rsid w:val="003F3613"/>
    <w:rsid w:val="004020F0"/>
    <w:rsid w:val="0040692A"/>
    <w:rsid w:val="004272CD"/>
    <w:rsid w:val="004407A9"/>
    <w:rsid w:val="0045765F"/>
    <w:rsid w:val="00466D8E"/>
    <w:rsid w:val="00473E6E"/>
    <w:rsid w:val="00482B43"/>
    <w:rsid w:val="00495F22"/>
    <w:rsid w:val="004B030C"/>
    <w:rsid w:val="004C58CD"/>
    <w:rsid w:val="004E0B87"/>
    <w:rsid w:val="00504C4F"/>
    <w:rsid w:val="00513453"/>
    <w:rsid w:val="00534E57"/>
    <w:rsid w:val="00534FD0"/>
    <w:rsid w:val="005579DD"/>
    <w:rsid w:val="005601F2"/>
    <w:rsid w:val="005648DC"/>
    <w:rsid w:val="00566B0A"/>
    <w:rsid w:val="005709AC"/>
    <w:rsid w:val="005872BB"/>
    <w:rsid w:val="00595322"/>
    <w:rsid w:val="005A1BDD"/>
    <w:rsid w:val="005B1434"/>
    <w:rsid w:val="005C473E"/>
    <w:rsid w:val="005D2CCE"/>
    <w:rsid w:val="005F3406"/>
    <w:rsid w:val="00600864"/>
    <w:rsid w:val="006035FA"/>
    <w:rsid w:val="00613D1C"/>
    <w:rsid w:val="00650743"/>
    <w:rsid w:val="00655DB9"/>
    <w:rsid w:val="006602C8"/>
    <w:rsid w:val="00663C9A"/>
    <w:rsid w:val="00663E99"/>
    <w:rsid w:val="006678AF"/>
    <w:rsid w:val="006732B1"/>
    <w:rsid w:val="0069685A"/>
    <w:rsid w:val="006A1BE8"/>
    <w:rsid w:val="006B51C6"/>
    <w:rsid w:val="006B5C24"/>
    <w:rsid w:val="006D6244"/>
    <w:rsid w:val="006D6572"/>
    <w:rsid w:val="006E55A5"/>
    <w:rsid w:val="006E7306"/>
    <w:rsid w:val="006F0BF5"/>
    <w:rsid w:val="006F6A10"/>
    <w:rsid w:val="007053FC"/>
    <w:rsid w:val="00705CEE"/>
    <w:rsid w:val="0071593C"/>
    <w:rsid w:val="007234BF"/>
    <w:rsid w:val="00752106"/>
    <w:rsid w:val="007565E0"/>
    <w:rsid w:val="00781416"/>
    <w:rsid w:val="007A660F"/>
    <w:rsid w:val="007B6832"/>
    <w:rsid w:val="007C2835"/>
    <w:rsid w:val="007C69BD"/>
    <w:rsid w:val="007D495B"/>
    <w:rsid w:val="007E61EB"/>
    <w:rsid w:val="007E78B6"/>
    <w:rsid w:val="008066CE"/>
    <w:rsid w:val="008341C3"/>
    <w:rsid w:val="0087630D"/>
    <w:rsid w:val="0089040F"/>
    <w:rsid w:val="00896EA0"/>
    <w:rsid w:val="008A2470"/>
    <w:rsid w:val="008A4B0A"/>
    <w:rsid w:val="008D5CF0"/>
    <w:rsid w:val="008F53D0"/>
    <w:rsid w:val="0091720A"/>
    <w:rsid w:val="00933533"/>
    <w:rsid w:val="0095221A"/>
    <w:rsid w:val="0096419C"/>
    <w:rsid w:val="009707D5"/>
    <w:rsid w:val="00974647"/>
    <w:rsid w:val="0098083C"/>
    <w:rsid w:val="00981510"/>
    <w:rsid w:val="00983560"/>
    <w:rsid w:val="00994869"/>
    <w:rsid w:val="009A4154"/>
    <w:rsid w:val="009A4C7D"/>
    <w:rsid w:val="009B584F"/>
    <w:rsid w:val="009D39E8"/>
    <w:rsid w:val="009E4CAF"/>
    <w:rsid w:val="009F2DEA"/>
    <w:rsid w:val="009F40D4"/>
    <w:rsid w:val="00A02D5F"/>
    <w:rsid w:val="00A037A5"/>
    <w:rsid w:val="00A05526"/>
    <w:rsid w:val="00A20AC7"/>
    <w:rsid w:val="00A62BAB"/>
    <w:rsid w:val="00A65161"/>
    <w:rsid w:val="00A73797"/>
    <w:rsid w:val="00A9080E"/>
    <w:rsid w:val="00A9097B"/>
    <w:rsid w:val="00A95E2B"/>
    <w:rsid w:val="00AA53CB"/>
    <w:rsid w:val="00AD61A3"/>
    <w:rsid w:val="00AE3E1E"/>
    <w:rsid w:val="00B069EC"/>
    <w:rsid w:val="00B102ED"/>
    <w:rsid w:val="00B16D9C"/>
    <w:rsid w:val="00B21BA0"/>
    <w:rsid w:val="00B23AF2"/>
    <w:rsid w:val="00B24B79"/>
    <w:rsid w:val="00B521B4"/>
    <w:rsid w:val="00B52FA0"/>
    <w:rsid w:val="00B54916"/>
    <w:rsid w:val="00B71202"/>
    <w:rsid w:val="00B815FE"/>
    <w:rsid w:val="00B81618"/>
    <w:rsid w:val="00B840C8"/>
    <w:rsid w:val="00B94A19"/>
    <w:rsid w:val="00BA059C"/>
    <w:rsid w:val="00BA408C"/>
    <w:rsid w:val="00BE5877"/>
    <w:rsid w:val="00BE6B2B"/>
    <w:rsid w:val="00BE7005"/>
    <w:rsid w:val="00BF11CC"/>
    <w:rsid w:val="00BF20B7"/>
    <w:rsid w:val="00C23A4C"/>
    <w:rsid w:val="00C26750"/>
    <w:rsid w:val="00C27D7A"/>
    <w:rsid w:val="00C42CE3"/>
    <w:rsid w:val="00C608BE"/>
    <w:rsid w:val="00C70820"/>
    <w:rsid w:val="00C72362"/>
    <w:rsid w:val="00C840EA"/>
    <w:rsid w:val="00C84D94"/>
    <w:rsid w:val="00C91E19"/>
    <w:rsid w:val="00CA6896"/>
    <w:rsid w:val="00CF7F6B"/>
    <w:rsid w:val="00D12D43"/>
    <w:rsid w:val="00D37170"/>
    <w:rsid w:val="00D46A6F"/>
    <w:rsid w:val="00D55DAA"/>
    <w:rsid w:val="00D6765B"/>
    <w:rsid w:val="00D74C7F"/>
    <w:rsid w:val="00DC1F9D"/>
    <w:rsid w:val="00DC3C4D"/>
    <w:rsid w:val="00DC7DB6"/>
    <w:rsid w:val="00DD6CE0"/>
    <w:rsid w:val="00DE6D22"/>
    <w:rsid w:val="00E01AA0"/>
    <w:rsid w:val="00E36A09"/>
    <w:rsid w:val="00E41935"/>
    <w:rsid w:val="00E47BD2"/>
    <w:rsid w:val="00E80149"/>
    <w:rsid w:val="00EC0001"/>
    <w:rsid w:val="00EC6984"/>
    <w:rsid w:val="00EE2E48"/>
    <w:rsid w:val="00EE32B6"/>
    <w:rsid w:val="00EE50EF"/>
    <w:rsid w:val="00F05CF3"/>
    <w:rsid w:val="00F169ED"/>
    <w:rsid w:val="00F2265E"/>
    <w:rsid w:val="00F24E17"/>
    <w:rsid w:val="00F24F08"/>
    <w:rsid w:val="00F360C2"/>
    <w:rsid w:val="00F5778F"/>
    <w:rsid w:val="00F7613F"/>
    <w:rsid w:val="00FB3673"/>
    <w:rsid w:val="00FB5EB7"/>
    <w:rsid w:val="00FC025A"/>
    <w:rsid w:val="00FD29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BD40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74C9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unhideWhenUsed/>
    <w:qFormat/>
    <w:rsid w:val="00174C9A"/>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174C9A"/>
    <w:pPr>
      <w:spacing w:before="100" w:beforeAutospacing="1" w:after="100" w:afterAutospacing="1"/>
      <w:outlineLvl w:val="4"/>
    </w:pPr>
    <w:rPr>
      <w:rFonts w:ascii="Times" w:hAnsi="Times"/>
      <w:b/>
      <w:bCs/>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F7613F"/>
  </w:style>
  <w:style w:type="paragraph" w:styleId="NormalWeb">
    <w:name w:val="Normal (Web)"/>
    <w:basedOn w:val="Normal"/>
    <w:uiPriority w:val="99"/>
    <w:unhideWhenUsed/>
    <w:rsid w:val="00174C9A"/>
    <w:pPr>
      <w:spacing w:before="100" w:beforeAutospacing="1" w:after="100" w:afterAutospacing="1"/>
    </w:pPr>
    <w:rPr>
      <w:rFonts w:ascii="Times" w:hAnsi="Times" w:cs="Times New Roman"/>
      <w:sz w:val="20"/>
      <w:szCs w:val="20"/>
      <w:lang w:val="en-GB"/>
    </w:rPr>
  </w:style>
  <w:style w:type="character" w:customStyle="1" w:styleId="Heading5Char">
    <w:name w:val="Heading 5 Char"/>
    <w:basedOn w:val="DefaultParagraphFont"/>
    <w:link w:val="Heading5"/>
    <w:uiPriority w:val="9"/>
    <w:rsid w:val="00174C9A"/>
    <w:rPr>
      <w:rFonts w:ascii="Times" w:hAnsi="Times"/>
      <w:b/>
      <w:bCs/>
      <w:sz w:val="20"/>
      <w:szCs w:val="20"/>
      <w:lang w:val="en-GB"/>
    </w:rPr>
  </w:style>
  <w:style w:type="character" w:customStyle="1" w:styleId="Heading1Char">
    <w:name w:val="Heading 1 Char"/>
    <w:basedOn w:val="DefaultParagraphFont"/>
    <w:link w:val="Heading1"/>
    <w:uiPriority w:val="9"/>
    <w:rsid w:val="00174C9A"/>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rsid w:val="00174C9A"/>
    <w:rPr>
      <w:rFonts w:asciiTheme="majorHAnsi" w:eastAsiaTheme="majorEastAsia" w:hAnsiTheme="majorHAnsi" w:cstheme="majorBidi"/>
      <w:b/>
      <w:bCs/>
      <w:color w:val="4F81BD" w:themeColor="accent1"/>
    </w:rPr>
  </w:style>
  <w:style w:type="paragraph" w:styleId="EndnoteText">
    <w:name w:val="endnote text"/>
    <w:basedOn w:val="Normal"/>
    <w:link w:val="EndnoteTextChar"/>
    <w:uiPriority w:val="99"/>
    <w:unhideWhenUsed/>
    <w:rsid w:val="006E55A5"/>
  </w:style>
  <w:style w:type="character" w:customStyle="1" w:styleId="EndnoteTextChar">
    <w:name w:val="Endnote Text Char"/>
    <w:basedOn w:val="DefaultParagraphFont"/>
    <w:link w:val="EndnoteText"/>
    <w:uiPriority w:val="99"/>
    <w:rsid w:val="006E55A5"/>
  </w:style>
  <w:style w:type="character" w:styleId="EndnoteReference">
    <w:name w:val="endnote reference"/>
    <w:basedOn w:val="DefaultParagraphFont"/>
    <w:uiPriority w:val="99"/>
    <w:unhideWhenUsed/>
    <w:rsid w:val="006E55A5"/>
    <w:rPr>
      <w:vertAlign w:val="superscript"/>
    </w:rPr>
  </w:style>
  <w:style w:type="paragraph" w:styleId="Footer">
    <w:name w:val="footer"/>
    <w:basedOn w:val="Normal"/>
    <w:link w:val="FooterChar"/>
    <w:uiPriority w:val="99"/>
    <w:unhideWhenUsed/>
    <w:rsid w:val="00781416"/>
    <w:pPr>
      <w:tabs>
        <w:tab w:val="center" w:pos="4320"/>
        <w:tab w:val="right" w:pos="8640"/>
      </w:tabs>
    </w:pPr>
  </w:style>
  <w:style w:type="character" w:customStyle="1" w:styleId="FooterChar">
    <w:name w:val="Footer Char"/>
    <w:basedOn w:val="DefaultParagraphFont"/>
    <w:link w:val="Footer"/>
    <w:uiPriority w:val="99"/>
    <w:rsid w:val="00781416"/>
  </w:style>
  <w:style w:type="character" w:styleId="PageNumber">
    <w:name w:val="page number"/>
    <w:basedOn w:val="DefaultParagraphFont"/>
    <w:uiPriority w:val="99"/>
    <w:semiHidden/>
    <w:unhideWhenUsed/>
    <w:rsid w:val="00781416"/>
  </w:style>
  <w:style w:type="paragraph" w:styleId="Header">
    <w:name w:val="header"/>
    <w:basedOn w:val="Normal"/>
    <w:link w:val="HeaderChar"/>
    <w:uiPriority w:val="99"/>
    <w:unhideWhenUsed/>
    <w:rsid w:val="00B54916"/>
    <w:pPr>
      <w:tabs>
        <w:tab w:val="center" w:pos="4320"/>
        <w:tab w:val="right" w:pos="8640"/>
      </w:tabs>
    </w:pPr>
  </w:style>
  <w:style w:type="character" w:customStyle="1" w:styleId="HeaderChar">
    <w:name w:val="Header Char"/>
    <w:basedOn w:val="DefaultParagraphFont"/>
    <w:link w:val="Header"/>
    <w:uiPriority w:val="99"/>
    <w:rsid w:val="00B54916"/>
  </w:style>
  <w:style w:type="paragraph" w:styleId="ListParagraph">
    <w:name w:val="List Paragraph"/>
    <w:basedOn w:val="Normal"/>
    <w:uiPriority w:val="34"/>
    <w:qFormat/>
    <w:rsid w:val="00C608BE"/>
    <w:pPr>
      <w:ind w:left="720"/>
      <w:contextualSpacing/>
    </w:pPr>
  </w:style>
  <w:style w:type="character" w:styleId="Hyperlink">
    <w:name w:val="Hyperlink"/>
    <w:basedOn w:val="DefaultParagraphFont"/>
    <w:uiPriority w:val="99"/>
    <w:unhideWhenUsed/>
    <w:rsid w:val="006B5C24"/>
    <w:rPr>
      <w:color w:val="0000FF" w:themeColor="hyperlink"/>
      <w:u w:val="single"/>
    </w:rPr>
  </w:style>
  <w:style w:type="character" w:styleId="FollowedHyperlink">
    <w:name w:val="FollowedHyperlink"/>
    <w:basedOn w:val="DefaultParagraphFont"/>
    <w:uiPriority w:val="99"/>
    <w:semiHidden/>
    <w:unhideWhenUsed/>
    <w:rsid w:val="006B5C24"/>
    <w:rPr>
      <w:color w:val="800080" w:themeColor="followedHyperlink"/>
      <w:u w:val="single"/>
    </w:rPr>
  </w:style>
  <w:style w:type="paragraph" w:styleId="NoSpacing">
    <w:name w:val="No Spacing"/>
    <w:uiPriority w:val="1"/>
    <w:qFormat/>
    <w:rsid w:val="00D3717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74C9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unhideWhenUsed/>
    <w:qFormat/>
    <w:rsid w:val="00174C9A"/>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174C9A"/>
    <w:pPr>
      <w:spacing w:before="100" w:beforeAutospacing="1" w:after="100" w:afterAutospacing="1"/>
      <w:outlineLvl w:val="4"/>
    </w:pPr>
    <w:rPr>
      <w:rFonts w:ascii="Times" w:hAnsi="Times"/>
      <w:b/>
      <w:bCs/>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F7613F"/>
  </w:style>
  <w:style w:type="paragraph" w:styleId="NormalWeb">
    <w:name w:val="Normal (Web)"/>
    <w:basedOn w:val="Normal"/>
    <w:uiPriority w:val="99"/>
    <w:unhideWhenUsed/>
    <w:rsid w:val="00174C9A"/>
    <w:pPr>
      <w:spacing w:before="100" w:beforeAutospacing="1" w:after="100" w:afterAutospacing="1"/>
    </w:pPr>
    <w:rPr>
      <w:rFonts w:ascii="Times" w:hAnsi="Times" w:cs="Times New Roman"/>
      <w:sz w:val="20"/>
      <w:szCs w:val="20"/>
      <w:lang w:val="en-GB"/>
    </w:rPr>
  </w:style>
  <w:style w:type="character" w:customStyle="1" w:styleId="Heading5Char">
    <w:name w:val="Heading 5 Char"/>
    <w:basedOn w:val="DefaultParagraphFont"/>
    <w:link w:val="Heading5"/>
    <w:uiPriority w:val="9"/>
    <w:rsid w:val="00174C9A"/>
    <w:rPr>
      <w:rFonts w:ascii="Times" w:hAnsi="Times"/>
      <w:b/>
      <w:bCs/>
      <w:sz w:val="20"/>
      <w:szCs w:val="20"/>
      <w:lang w:val="en-GB"/>
    </w:rPr>
  </w:style>
  <w:style w:type="character" w:customStyle="1" w:styleId="Heading1Char">
    <w:name w:val="Heading 1 Char"/>
    <w:basedOn w:val="DefaultParagraphFont"/>
    <w:link w:val="Heading1"/>
    <w:uiPriority w:val="9"/>
    <w:rsid w:val="00174C9A"/>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rsid w:val="00174C9A"/>
    <w:rPr>
      <w:rFonts w:asciiTheme="majorHAnsi" w:eastAsiaTheme="majorEastAsia" w:hAnsiTheme="majorHAnsi" w:cstheme="majorBidi"/>
      <w:b/>
      <w:bCs/>
      <w:color w:val="4F81BD" w:themeColor="accent1"/>
    </w:rPr>
  </w:style>
  <w:style w:type="paragraph" w:styleId="EndnoteText">
    <w:name w:val="endnote text"/>
    <w:basedOn w:val="Normal"/>
    <w:link w:val="EndnoteTextChar"/>
    <w:uiPriority w:val="99"/>
    <w:unhideWhenUsed/>
    <w:rsid w:val="006E55A5"/>
  </w:style>
  <w:style w:type="character" w:customStyle="1" w:styleId="EndnoteTextChar">
    <w:name w:val="Endnote Text Char"/>
    <w:basedOn w:val="DefaultParagraphFont"/>
    <w:link w:val="EndnoteText"/>
    <w:uiPriority w:val="99"/>
    <w:rsid w:val="006E55A5"/>
  </w:style>
  <w:style w:type="character" w:styleId="EndnoteReference">
    <w:name w:val="endnote reference"/>
    <w:basedOn w:val="DefaultParagraphFont"/>
    <w:uiPriority w:val="99"/>
    <w:unhideWhenUsed/>
    <w:rsid w:val="006E55A5"/>
    <w:rPr>
      <w:vertAlign w:val="superscript"/>
    </w:rPr>
  </w:style>
  <w:style w:type="paragraph" w:styleId="Footer">
    <w:name w:val="footer"/>
    <w:basedOn w:val="Normal"/>
    <w:link w:val="FooterChar"/>
    <w:uiPriority w:val="99"/>
    <w:unhideWhenUsed/>
    <w:rsid w:val="00781416"/>
    <w:pPr>
      <w:tabs>
        <w:tab w:val="center" w:pos="4320"/>
        <w:tab w:val="right" w:pos="8640"/>
      </w:tabs>
    </w:pPr>
  </w:style>
  <w:style w:type="character" w:customStyle="1" w:styleId="FooterChar">
    <w:name w:val="Footer Char"/>
    <w:basedOn w:val="DefaultParagraphFont"/>
    <w:link w:val="Footer"/>
    <w:uiPriority w:val="99"/>
    <w:rsid w:val="00781416"/>
  </w:style>
  <w:style w:type="character" w:styleId="PageNumber">
    <w:name w:val="page number"/>
    <w:basedOn w:val="DefaultParagraphFont"/>
    <w:uiPriority w:val="99"/>
    <w:semiHidden/>
    <w:unhideWhenUsed/>
    <w:rsid w:val="00781416"/>
  </w:style>
  <w:style w:type="paragraph" w:styleId="Header">
    <w:name w:val="header"/>
    <w:basedOn w:val="Normal"/>
    <w:link w:val="HeaderChar"/>
    <w:uiPriority w:val="99"/>
    <w:unhideWhenUsed/>
    <w:rsid w:val="00B54916"/>
    <w:pPr>
      <w:tabs>
        <w:tab w:val="center" w:pos="4320"/>
        <w:tab w:val="right" w:pos="8640"/>
      </w:tabs>
    </w:pPr>
  </w:style>
  <w:style w:type="character" w:customStyle="1" w:styleId="HeaderChar">
    <w:name w:val="Header Char"/>
    <w:basedOn w:val="DefaultParagraphFont"/>
    <w:link w:val="Header"/>
    <w:uiPriority w:val="99"/>
    <w:rsid w:val="00B54916"/>
  </w:style>
  <w:style w:type="paragraph" w:styleId="ListParagraph">
    <w:name w:val="List Paragraph"/>
    <w:basedOn w:val="Normal"/>
    <w:uiPriority w:val="34"/>
    <w:qFormat/>
    <w:rsid w:val="00C608BE"/>
    <w:pPr>
      <w:ind w:left="720"/>
      <w:contextualSpacing/>
    </w:pPr>
  </w:style>
  <w:style w:type="character" w:styleId="Hyperlink">
    <w:name w:val="Hyperlink"/>
    <w:basedOn w:val="DefaultParagraphFont"/>
    <w:uiPriority w:val="99"/>
    <w:unhideWhenUsed/>
    <w:rsid w:val="006B5C24"/>
    <w:rPr>
      <w:color w:val="0000FF" w:themeColor="hyperlink"/>
      <w:u w:val="single"/>
    </w:rPr>
  </w:style>
  <w:style w:type="character" w:styleId="FollowedHyperlink">
    <w:name w:val="FollowedHyperlink"/>
    <w:basedOn w:val="DefaultParagraphFont"/>
    <w:uiPriority w:val="99"/>
    <w:semiHidden/>
    <w:unhideWhenUsed/>
    <w:rsid w:val="006B5C24"/>
    <w:rPr>
      <w:color w:val="800080" w:themeColor="followedHyperlink"/>
      <w:u w:val="single"/>
    </w:rPr>
  </w:style>
  <w:style w:type="paragraph" w:styleId="NoSpacing">
    <w:name w:val="No Spacing"/>
    <w:uiPriority w:val="1"/>
    <w:qFormat/>
    <w:rsid w:val="00D37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830927">
      <w:bodyDiv w:val="1"/>
      <w:marLeft w:val="0"/>
      <w:marRight w:val="0"/>
      <w:marTop w:val="0"/>
      <w:marBottom w:val="0"/>
      <w:divBdr>
        <w:top w:val="none" w:sz="0" w:space="0" w:color="auto"/>
        <w:left w:val="none" w:sz="0" w:space="0" w:color="auto"/>
        <w:bottom w:val="none" w:sz="0" w:space="0" w:color="auto"/>
        <w:right w:val="none" w:sz="0" w:space="0" w:color="auto"/>
      </w:divBdr>
      <w:divsChild>
        <w:div w:id="850951431">
          <w:marLeft w:val="0"/>
          <w:marRight w:val="0"/>
          <w:marTop w:val="0"/>
          <w:marBottom w:val="0"/>
          <w:divBdr>
            <w:top w:val="none" w:sz="0" w:space="0" w:color="auto"/>
            <w:left w:val="none" w:sz="0" w:space="0" w:color="auto"/>
            <w:bottom w:val="none" w:sz="0" w:space="0" w:color="auto"/>
            <w:right w:val="none" w:sz="0" w:space="0" w:color="auto"/>
          </w:divBdr>
        </w:div>
      </w:divsChild>
    </w:div>
    <w:div w:id="329529701">
      <w:bodyDiv w:val="1"/>
      <w:marLeft w:val="0"/>
      <w:marRight w:val="0"/>
      <w:marTop w:val="0"/>
      <w:marBottom w:val="0"/>
      <w:divBdr>
        <w:top w:val="none" w:sz="0" w:space="0" w:color="auto"/>
        <w:left w:val="none" w:sz="0" w:space="0" w:color="auto"/>
        <w:bottom w:val="none" w:sz="0" w:space="0" w:color="auto"/>
        <w:right w:val="none" w:sz="0" w:space="0" w:color="auto"/>
      </w:divBdr>
    </w:div>
    <w:div w:id="867137967">
      <w:bodyDiv w:val="1"/>
      <w:marLeft w:val="0"/>
      <w:marRight w:val="0"/>
      <w:marTop w:val="0"/>
      <w:marBottom w:val="0"/>
      <w:divBdr>
        <w:top w:val="none" w:sz="0" w:space="0" w:color="auto"/>
        <w:left w:val="none" w:sz="0" w:space="0" w:color="auto"/>
        <w:bottom w:val="none" w:sz="0" w:space="0" w:color="auto"/>
        <w:right w:val="none" w:sz="0" w:space="0" w:color="auto"/>
      </w:divBdr>
    </w:div>
    <w:div w:id="1146514136">
      <w:bodyDiv w:val="1"/>
      <w:marLeft w:val="0"/>
      <w:marRight w:val="0"/>
      <w:marTop w:val="0"/>
      <w:marBottom w:val="0"/>
      <w:divBdr>
        <w:top w:val="none" w:sz="0" w:space="0" w:color="auto"/>
        <w:left w:val="none" w:sz="0" w:space="0" w:color="auto"/>
        <w:bottom w:val="none" w:sz="0" w:space="0" w:color="auto"/>
        <w:right w:val="none" w:sz="0" w:space="0" w:color="auto"/>
      </w:divBdr>
    </w:div>
    <w:div w:id="1577131500">
      <w:bodyDiv w:val="1"/>
      <w:marLeft w:val="0"/>
      <w:marRight w:val="0"/>
      <w:marTop w:val="0"/>
      <w:marBottom w:val="0"/>
      <w:divBdr>
        <w:top w:val="none" w:sz="0" w:space="0" w:color="auto"/>
        <w:left w:val="none" w:sz="0" w:space="0" w:color="auto"/>
        <w:bottom w:val="none" w:sz="0" w:space="0" w:color="auto"/>
        <w:right w:val="none" w:sz="0" w:space="0" w:color="auto"/>
      </w:divBdr>
    </w:div>
    <w:div w:id="20726497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endnotes.xml.rels><?xml version="1.0" encoding="UTF-8" standalone="yes"?>
<Relationships xmlns="http://schemas.openxmlformats.org/package/2006/relationships"><Relationship Id="rId1" Type="http://schemas.openxmlformats.org/officeDocument/2006/relationships/hyperlink" Target="http://www.hakka.gov.tw/mp.asp?mp=11" TargetMode="External"/><Relationship Id="rId2" Type="http://schemas.openxmlformats.org/officeDocument/2006/relationships/hyperlink" Target="http://mypaper.pchome.com.tw/lostcity/post/13016893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3037</TotalTime>
  <Pages>8</Pages>
  <Words>3220</Words>
  <Characters>18355</Characters>
  <Application>Microsoft Macintosh Word</Application>
  <DocSecurity>0</DocSecurity>
  <Lines>152</Lines>
  <Paragraphs>43</Paragraphs>
  <ScaleCrop>false</ScaleCrop>
  <Company/>
  <LinksUpToDate>false</LinksUpToDate>
  <CharactersWithSpaces>21532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Kikuchi</dc:creator>
  <cp:keywords/>
  <dc:description/>
  <cp:lastModifiedBy>Y Kikuchi</cp:lastModifiedBy>
  <cp:revision>71</cp:revision>
  <dcterms:created xsi:type="dcterms:W3CDTF">2012-11-18T15:54:00Z</dcterms:created>
  <dcterms:modified xsi:type="dcterms:W3CDTF">2013-05-22T19:44:00Z</dcterms:modified>
</cp:coreProperties>
</file>