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0A61A" w14:textId="58A60F1F" w:rsidR="003D32F7" w:rsidRPr="000A47E6" w:rsidRDefault="003D32F7" w:rsidP="00F76E63">
      <w:pPr>
        <w:spacing w:line="360" w:lineRule="auto"/>
        <w:rPr>
          <w:rFonts w:cs="Arial"/>
          <w:b/>
        </w:rPr>
      </w:pPr>
      <w:bookmarkStart w:id="0" w:name="_GoBack"/>
      <w:r w:rsidRPr="000A47E6">
        <w:rPr>
          <w:rFonts w:cs="Arial"/>
          <w:b/>
        </w:rPr>
        <w:t>Not-Archaeology: Freud and Hiller as Collectors</w:t>
      </w:r>
    </w:p>
    <w:p w14:paraId="3370F7B5" w14:textId="77C31B87" w:rsidR="003D32F7" w:rsidRDefault="00BF54AA" w:rsidP="00F76E63">
      <w:pPr>
        <w:pStyle w:val="CommentText"/>
        <w:spacing w:line="360" w:lineRule="auto"/>
        <w:rPr>
          <w:rFonts w:cs="Arial"/>
          <w:sz w:val="22"/>
          <w:szCs w:val="22"/>
        </w:rPr>
      </w:pPr>
      <w:r w:rsidRPr="00A87D3C">
        <w:rPr>
          <w:rFonts w:cstheme="minorHAnsi"/>
          <w:b/>
          <w:sz w:val="22"/>
          <w:szCs w:val="22"/>
        </w:rPr>
        <w:t>Joanne Morra</w:t>
      </w:r>
    </w:p>
    <w:p w14:paraId="45DAAC0A" w14:textId="77777777" w:rsidR="00851B0C" w:rsidRPr="000A47E6" w:rsidRDefault="00851B0C" w:rsidP="00F76E63">
      <w:pPr>
        <w:pStyle w:val="CommentText"/>
        <w:spacing w:line="360" w:lineRule="auto"/>
        <w:rPr>
          <w:rFonts w:cs="Arial"/>
          <w:sz w:val="22"/>
          <w:szCs w:val="22"/>
        </w:rPr>
      </w:pPr>
    </w:p>
    <w:p w14:paraId="7B18DC00" w14:textId="7F8B5E41" w:rsidR="003D32F7" w:rsidRPr="000A47E6" w:rsidRDefault="003D32F7" w:rsidP="00F76E63">
      <w:pPr>
        <w:pStyle w:val="CommentText"/>
        <w:spacing w:line="360" w:lineRule="auto"/>
        <w:rPr>
          <w:rFonts w:cs="Arial"/>
        </w:rPr>
      </w:pPr>
      <w:r w:rsidRPr="000A47E6">
        <w:rPr>
          <w:rFonts w:cs="Arial"/>
          <w:sz w:val="22"/>
          <w:szCs w:val="22"/>
        </w:rPr>
        <w:t xml:space="preserve">Susan Hiller’s intervention </w:t>
      </w:r>
      <w:r w:rsidRPr="000A47E6">
        <w:rPr>
          <w:rFonts w:cs="Arial"/>
          <w:i/>
          <w:sz w:val="22"/>
          <w:szCs w:val="22"/>
        </w:rPr>
        <w:t>At the Freud Museum</w:t>
      </w:r>
      <w:r w:rsidR="00D42273">
        <w:rPr>
          <w:rFonts w:cs="Arial"/>
          <w:sz w:val="22"/>
          <w:szCs w:val="22"/>
        </w:rPr>
        <w:t xml:space="preserve"> </w:t>
      </w:r>
      <w:r w:rsidRPr="000A47E6">
        <w:rPr>
          <w:rFonts w:cs="Arial"/>
          <w:sz w:val="22"/>
          <w:szCs w:val="22"/>
        </w:rPr>
        <w:t>1994</w:t>
      </w:r>
      <w:r w:rsidR="00033039">
        <w:rPr>
          <w:rFonts w:cs="Arial"/>
          <w:sz w:val="22"/>
          <w:szCs w:val="22"/>
        </w:rPr>
        <w:t xml:space="preserve"> (</w:t>
      </w:r>
      <w:r w:rsidR="00033039" w:rsidRPr="00F76E63">
        <w:rPr>
          <w:rFonts w:cs="Arial"/>
          <w:sz w:val="22"/>
          <w:szCs w:val="22"/>
          <w:highlight w:val="magenta"/>
        </w:rPr>
        <w:t>fig.1</w:t>
      </w:r>
      <w:r w:rsidR="00033039">
        <w:rPr>
          <w:rFonts w:cs="Arial"/>
          <w:sz w:val="22"/>
          <w:szCs w:val="22"/>
        </w:rPr>
        <w:t>)</w:t>
      </w:r>
      <w:r w:rsidRPr="000A47E6">
        <w:rPr>
          <w:rFonts w:cs="Arial"/>
          <w:sz w:val="22"/>
          <w:szCs w:val="22"/>
        </w:rPr>
        <w:t xml:space="preserve">, the first incarnation of </w:t>
      </w:r>
      <w:r w:rsidRPr="000A47E6">
        <w:rPr>
          <w:rFonts w:cs="Arial"/>
          <w:i/>
          <w:iCs/>
          <w:sz w:val="22"/>
          <w:szCs w:val="22"/>
        </w:rPr>
        <w:t xml:space="preserve">From the Freud Museum </w:t>
      </w:r>
      <w:r w:rsidRPr="000A47E6">
        <w:rPr>
          <w:rFonts w:cs="Arial"/>
          <w:sz w:val="22"/>
          <w:szCs w:val="22"/>
        </w:rPr>
        <w:t>1991–6</w:t>
      </w:r>
      <w:r w:rsidR="00D42273">
        <w:rPr>
          <w:rFonts w:cs="Arial"/>
          <w:sz w:val="22"/>
          <w:szCs w:val="22"/>
        </w:rPr>
        <w:t xml:space="preserve"> (</w:t>
      </w:r>
      <w:r w:rsidR="00D42273" w:rsidRPr="00D42273">
        <w:rPr>
          <w:rFonts w:cs="Arial"/>
          <w:sz w:val="22"/>
          <w:szCs w:val="22"/>
        </w:rPr>
        <w:t>Tate T07438</w:t>
      </w:r>
      <w:r w:rsidR="00033039">
        <w:rPr>
          <w:rFonts w:cs="Arial"/>
          <w:sz w:val="22"/>
          <w:szCs w:val="22"/>
        </w:rPr>
        <w:t xml:space="preserve">; </w:t>
      </w:r>
      <w:r w:rsidR="00033039" w:rsidRPr="00F76E63">
        <w:rPr>
          <w:rFonts w:cs="Arial"/>
          <w:sz w:val="22"/>
          <w:szCs w:val="22"/>
          <w:highlight w:val="magenta"/>
        </w:rPr>
        <w:t>fig.2</w:t>
      </w:r>
      <w:r w:rsidRPr="000A47E6">
        <w:rPr>
          <w:rFonts w:cs="Arial"/>
          <w:sz w:val="22"/>
          <w:szCs w:val="22"/>
        </w:rPr>
        <w:t>), interrogated the Freud Museum</w:t>
      </w:r>
      <w:r w:rsidR="007024C5">
        <w:rPr>
          <w:rFonts w:cs="Arial"/>
          <w:sz w:val="22"/>
          <w:szCs w:val="22"/>
        </w:rPr>
        <w:t xml:space="preserve"> in</w:t>
      </w:r>
      <w:r w:rsidRPr="000A47E6">
        <w:rPr>
          <w:rFonts w:cs="Arial"/>
          <w:sz w:val="22"/>
          <w:szCs w:val="22"/>
        </w:rPr>
        <w:t xml:space="preserve"> London, Freud’s understanding of archaeology within psychoanalysis, and his collection of antiquities by asking both personal and epistem</w:t>
      </w:r>
      <w:r w:rsidR="000A47E6" w:rsidRPr="000A47E6">
        <w:rPr>
          <w:rFonts w:cs="Arial"/>
          <w:sz w:val="22"/>
          <w:szCs w:val="22"/>
        </w:rPr>
        <w:t>ological questions.</w:t>
      </w:r>
      <w:r w:rsidR="009A2B0D">
        <w:rPr>
          <w:rStyle w:val="EndnoteReference"/>
          <w:rFonts w:cs="Arial"/>
          <w:sz w:val="22"/>
          <w:szCs w:val="22"/>
        </w:rPr>
        <w:endnoteReference w:id="1"/>
      </w:r>
      <w:r w:rsidRPr="000A47E6">
        <w:rPr>
          <w:rFonts w:cs="Arial"/>
          <w:sz w:val="22"/>
          <w:szCs w:val="22"/>
        </w:rPr>
        <w:t xml:space="preserve"> When did Freud begin collecting antiquities? What type of a collector was he? How did he display his collection? What is the relationship between these historical objects that manifest the past and Freud’s interest in archaeology as a metaphor for the psychoanalytic practice of excavating personal history? What can archaeology offer psychoanalysis and what are the limits of this relationship? </w:t>
      </w:r>
      <w:r w:rsidR="000A47E6">
        <w:rPr>
          <w:rFonts w:cs="Arial"/>
          <w:sz w:val="22"/>
          <w:szCs w:val="22"/>
        </w:rPr>
        <w:t>I</w:t>
      </w:r>
      <w:r w:rsidRPr="000A47E6">
        <w:rPr>
          <w:rFonts w:cs="Arial"/>
          <w:sz w:val="22"/>
          <w:szCs w:val="22"/>
        </w:rPr>
        <w:t xml:space="preserve">t is with this final question that a slippage takes place </w:t>
      </w:r>
      <w:r w:rsidR="007D1C5D">
        <w:rPr>
          <w:rFonts w:cs="Arial"/>
          <w:sz w:val="22"/>
          <w:szCs w:val="22"/>
        </w:rPr>
        <w:t>from</w:t>
      </w:r>
      <w:r w:rsidRPr="000A47E6">
        <w:rPr>
          <w:rFonts w:cs="Arial"/>
          <w:sz w:val="22"/>
          <w:szCs w:val="22"/>
        </w:rPr>
        <w:t xml:space="preserve"> Freud’s interest in the archaeology of objects, as manifest in his collection, </w:t>
      </w:r>
      <w:r w:rsidR="007D1C5D">
        <w:rPr>
          <w:rFonts w:cs="Arial"/>
          <w:sz w:val="22"/>
          <w:szCs w:val="22"/>
        </w:rPr>
        <w:t>to</w:t>
      </w:r>
      <w:r w:rsidR="007D1C5D" w:rsidRPr="000A47E6">
        <w:rPr>
          <w:rFonts w:cs="Arial"/>
          <w:sz w:val="22"/>
          <w:szCs w:val="22"/>
        </w:rPr>
        <w:t xml:space="preserve"> </w:t>
      </w:r>
      <w:r w:rsidRPr="000A47E6">
        <w:rPr>
          <w:rFonts w:cs="Arial"/>
          <w:sz w:val="22"/>
          <w:szCs w:val="22"/>
        </w:rPr>
        <w:t>the metaphoric use of archaeology within psychoanalysis. By considering Freud’s various interests in archaeology, in light of Hiller’s installation</w:t>
      </w:r>
      <w:r w:rsidR="007024C5">
        <w:rPr>
          <w:rFonts w:cs="Arial"/>
          <w:sz w:val="22"/>
          <w:szCs w:val="22"/>
        </w:rPr>
        <w:t xml:space="preserve"> </w:t>
      </w:r>
      <w:r w:rsidR="007024C5" w:rsidRPr="000A47E6">
        <w:rPr>
          <w:rFonts w:cs="Arial"/>
          <w:i/>
          <w:sz w:val="22"/>
          <w:szCs w:val="22"/>
        </w:rPr>
        <w:t xml:space="preserve">At the Freud </w:t>
      </w:r>
      <w:r w:rsidR="007024C5" w:rsidRPr="007D1C5D">
        <w:rPr>
          <w:rFonts w:cs="Arial"/>
          <w:i/>
          <w:sz w:val="22"/>
          <w:szCs w:val="22"/>
        </w:rPr>
        <w:t>Museum</w:t>
      </w:r>
      <w:r w:rsidRPr="000A47E6">
        <w:rPr>
          <w:rFonts w:cs="Arial"/>
          <w:sz w:val="22"/>
          <w:szCs w:val="22"/>
        </w:rPr>
        <w:t xml:space="preserve">, we will see that what began as an archaeology of the mind for him, and an archaeological practice for Hiller, in the end, turns into a not-archaeology: a challenge to what archaeology can offer artistic practice and psychoanalysis. </w:t>
      </w:r>
    </w:p>
    <w:p w14:paraId="03BCD6D0" w14:textId="77777777" w:rsidR="003D32F7" w:rsidRPr="000A47E6" w:rsidRDefault="003D32F7" w:rsidP="00F76E63">
      <w:pPr>
        <w:spacing w:line="360" w:lineRule="auto"/>
        <w:rPr>
          <w:rFonts w:cs="Arial"/>
        </w:rPr>
      </w:pPr>
    </w:p>
    <w:p w14:paraId="7E89AD85" w14:textId="77777777" w:rsidR="003D32F7" w:rsidRPr="007D1C5D" w:rsidRDefault="003D32F7" w:rsidP="00F76E63">
      <w:pPr>
        <w:spacing w:line="360" w:lineRule="auto"/>
        <w:rPr>
          <w:rFonts w:cs="Arial"/>
        </w:rPr>
      </w:pPr>
      <w:r w:rsidRPr="007D1C5D">
        <w:rPr>
          <w:rFonts w:cs="Arial"/>
          <w:noProof/>
          <w:lang w:val="en-US"/>
        </w:rPr>
        <w:drawing>
          <wp:inline distT="0" distB="0" distL="0" distR="0" wp14:anchorId="661BACEE" wp14:editId="6919FDD3">
            <wp:extent cx="4071068" cy="2716173"/>
            <wp:effectExtent l="0" t="0" r="5715" b="8255"/>
            <wp:docPr id="23" name="Picture 23" descr="&quot;At the Freud Museum&quot;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At the Freud Museum&quot;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3030" cy="2717482"/>
                    </a:xfrm>
                    <a:prstGeom prst="rect">
                      <a:avLst/>
                    </a:prstGeom>
                    <a:noFill/>
                    <a:ln>
                      <a:noFill/>
                    </a:ln>
                  </pic:spPr>
                </pic:pic>
              </a:graphicData>
            </a:graphic>
          </wp:inline>
        </w:drawing>
      </w:r>
    </w:p>
    <w:p w14:paraId="13AD5403" w14:textId="77777777" w:rsidR="007024C5" w:rsidRPr="00F76E63" w:rsidRDefault="003D32F7" w:rsidP="00F76E63">
      <w:pPr>
        <w:spacing w:line="360" w:lineRule="auto"/>
        <w:outlineLvl w:val="0"/>
        <w:rPr>
          <w:rFonts w:cs="Arial"/>
          <w:sz w:val="20"/>
          <w:szCs w:val="20"/>
        </w:rPr>
      </w:pPr>
      <w:r w:rsidRPr="00F76E63">
        <w:rPr>
          <w:rFonts w:cs="Arial"/>
          <w:sz w:val="20"/>
          <w:szCs w:val="20"/>
        </w:rPr>
        <w:t xml:space="preserve">Fig.1 </w:t>
      </w:r>
    </w:p>
    <w:p w14:paraId="02D2BDDB" w14:textId="3C836E9E" w:rsidR="003D32F7" w:rsidRPr="00F76E63" w:rsidRDefault="003D32F7" w:rsidP="00F76E63">
      <w:pPr>
        <w:spacing w:line="360" w:lineRule="auto"/>
        <w:outlineLvl w:val="0"/>
        <w:rPr>
          <w:rFonts w:cs="Arial"/>
          <w:sz w:val="20"/>
          <w:szCs w:val="20"/>
        </w:rPr>
      </w:pPr>
      <w:r w:rsidRPr="00F76E63">
        <w:rPr>
          <w:rFonts w:cs="Arial"/>
          <w:sz w:val="20"/>
          <w:szCs w:val="20"/>
        </w:rPr>
        <w:t>Installation shot of Hiller</w:t>
      </w:r>
      <w:r w:rsidR="007024C5" w:rsidRPr="00F76E63">
        <w:rPr>
          <w:rFonts w:cs="Arial"/>
          <w:sz w:val="20"/>
          <w:szCs w:val="20"/>
        </w:rPr>
        <w:t>’s</w:t>
      </w:r>
      <w:r w:rsidRPr="00F76E63">
        <w:rPr>
          <w:rFonts w:cs="Arial"/>
          <w:sz w:val="20"/>
          <w:szCs w:val="20"/>
        </w:rPr>
        <w:t xml:space="preserve"> </w:t>
      </w:r>
      <w:r w:rsidRPr="00F76E63">
        <w:rPr>
          <w:rFonts w:cs="Arial"/>
          <w:i/>
          <w:sz w:val="20"/>
          <w:szCs w:val="20"/>
        </w:rPr>
        <w:t>At the Freud Museum</w:t>
      </w:r>
      <w:r w:rsidRPr="00F76E63">
        <w:rPr>
          <w:rFonts w:cs="Arial"/>
          <w:sz w:val="20"/>
          <w:szCs w:val="20"/>
        </w:rPr>
        <w:t xml:space="preserve"> </w:t>
      </w:r>
      <w:r w:rsidR="007024C5" w:rsidRPr="00F76E63">
        <w:rPr>
          <w:rFonts w:cs="Arial"/>
          <w:sz w:val="20"/>
          <w:szCs w:val="20"/>
        </w:rPr>
        <w:t>1994</w:t>
      </w:r>
    </w:p>
    <w:p w14:paraId="5AE6557F" w14:textId="77777777" w:rsidR="00033039" w:rsidRDefault="00033039" w:rsidP="00F76E63">
      <w:pPr>
        <w:spacing w:line="360" w:lineRule="auto"/>
        <w:ind w:firstLine="720"/>
        <w:rPr>
          <w:rFonts w:cs="Arial"/>
        </w:rPr>
      </w:pPr>
    </w:p>
    <w:p w14:paraId="0BE5B308" w14:textId="77777777" w:rsidR="00033039" w:rsidRDefault="00033039" w:rsidP="00F76E63">
      <w:pPr>
        <w:spacing w:line="360" w:lineRule="auto"/>
        <w:rPr>
          <w:rFonts w:cstheme="minorHAnsi"/>
        </w:rPr>
      </w:pPr>
      <w:r w:rsidRPr="00F76E63">
        <w:rPr>
          <w:rFonts w:cstheme="minorHAnsi"/>
          <w:b/>
          <w:noProof/>
          <w:lang w:val="en-US"/>
        </w:rPr>
        <w:lastRenderedPageBreak/>
        <w:drawing>
          <wp:inline distT="0" distB="0" distL="0" distR="0" wp14:anchorId="5CF81097" wp14:editId="33A145E6">
            <wp:extent cx="3649649" cy="1800642"/>
            <wp:effectExtent l="0" t="0" r="8255" b="9525"/>
            <wp:docPr id="26" name="Picture 26" descr="Susan Hiller ‘From the Freud Museum’, 1991–6&#10;© Susan Hi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an Hiller ‘From the Freud Museum’, 1991–6&#10;© Susan Hill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66992" cy="1809199"/>
                    </a:xfrm>
                    <a:prstGeom prst="rect">
                      <a:avLst/>
                    </a:prstGeom>
                    <a:noFill/>
                    <a:ln>
                      <a:noFill/>
                    </a:ln>
                  </pic:spPr>
                </pic:pic>
              </a:graphicData>
            </a:graphic>
          </wp:inline>
        </w:drawing>
      </w:r>
    </w:p>
    <w:p w14:paraId="0612030A" w14:textId="16D123A2" w:rsidR="00033039" w:rsidRPr="00FA5C64" w:rsidRDefault="00033039" w:rsidP="00F76E63">
      <w:pPr>
        <w:spacing w:line="360" w:lineRule="auto"/>
        <w:rPr>
          <w:rFonts w:cstheme="minorHAnsi"/>
          <w:bCs/>
          <w:sz w:val="20"/>
          <w:szCs w:val="20"/>
        </w:rPr>
      </w:pPr>
      <w:r>
        <w:rPr>
          <w:rFonts w:cstheme="minorHAnsi"/>
          <w:bCs/>
          <w:sz w:val="20"/>
          <w:szCs w:val="20"/>
        </w:rPr>
        <w:t>Fig.2</w:t>
      </w:r>
    </w:p>
    <w:p w14:paraId="7C0B54E5" w14:textId="77777777" w:rsidR="00033039" w:rsidRPr="00FA5C64" w:rsidRDefault="00033039" w:rsidP="00F76E63">
      <w:pPr>
        <w:spacing w:line="360" w:lineRule="auto"/>
        <w:rPr>
          <w:rFonts w:cstheme="minorHAnsi"/>
          <w:bCs/>
          <w:sz w:val="20"/>
          <w:szCs w:val="20"/>
        </w:rPr>
      </w:pPr>
      <w:r w:rsidRPr="00FA5C64">
        <w:rPr>
          <w:rFonts w:cstheme="minorHAnsi"/>
          <w:bCs/>
          <w:sz w:val="20"/>
          <w:szCs w:val="20"/>
        </w:rPr>
        <w:t>Susan Hiller</w:t>
      </w:r>
    </w:p>
    <w:p w14:paraId="59C4D338" w14:textId="77777777" w:rsidR="00033039" w:rsidRPr="00FA5C64" w:rsidRDefault="00033039" w:rsidP="00F76E63">
      <w:pPr>
        <w:spacing w:line="360" w:lineRule="auto"/>
        <w:rPr>
          <w:rFonts w:cstheme="minorHAnsi"/>
          <w:bCs/>
          <w:sz w:val="20"/>
          <w:szCs w:val="20"/>
        </w:rPr>
      </w:pPr>
      <w:r w:rsidRPr="00FA5C64">
        <w:rPr>
          <w:rFonts w:cstheme="minorHAnsi"/>
          <w:bCs/>
          <w:i/>
          <w:sz w:val="20"/>
          <w:szCs w:val="20"/>
        </w:rPr>
        <w:t>From the Freud Museum</w:t>
      </w:r>
      <w:r w:rsidRPr="00FA5C64">
        <w:rPr>
          <w:rFonts w:cstheme="minorHAnsi"/>
          <w:bCs/>
          <w:sz w:val="20"/>
          <w:szCs w:val="20"/>
        </w:rPr>
        <w:t xml:space="preserve"> 1991–6</w:t>
      </w:r>
    </w:p>
    <w:p w14:paraId="6EE7F943" w14:textId="77777777" w:rsidR="00033039" w:rsidRPr="00FA5C64" w:rsidRDefault="00033039" w:rsidP="00F76E63">
      <w:pPr>
        <w:spacing w:line="360" w:lineRule="auto"/>
        <w:rPr>
          <w:rFonts w:cstheme="minorHAnsi"/>
          <w:bCs/>
          <w:sz w:val="20"/>
          <w:szCs w:val="20"/>
        </w:rPr>
      </w:pPr>
      <w:r w:rsidRPr="00FA5C64">
        <w:rPr>
          <w:rFonts w:cstheme="minorHAnsi"/>
          <w:bCs/>
          <w:sz w:val="20"/>
          <w:szCs w:val="20"/>
        </w:rPr>
        <w:t>Glass, 50 cardboard boxes, paper, video, slide, light bulbs and other materials</w:t>
      </w:r>
    </w:p>
    <w:p w14:paraId="54526B16" w14:textId="77777777" w:rsidR="00033039" w:rsidRPr="00FA5C64" w:rsidRDefault="00033039" w:rsidP="00F76E63">
      <w:pPr>
        <w:spacing w:line="360" w:lineRule="auto"/>
        <w:rPr>
          <w:rFonts w:cstheme="minorHAnsi"/>
          <w:bCs/>
          <w:sz w:val="20"/>
          <w:szCs w:val="20"/>
        </w:rPr>
      </w:pPr>
      <w:r w:rsidRPr="00FA5C64">
        <w:rPr>
          <w:rFonts w:cstheme="minorHAnsi"/>
          <w:bCs/>
          <w:sz w:val="20"/>
          <w:szCs w:val="20"/>
        </w:rPr>
        <w:t>Dimensions</w:t>
      </w:r>
    </w:p>
    <w:p w14:paraId="78E30C9F" w14:textId="77777777" w:rsidR="00033039" w:rsidRPr="00FA5C64" w:rsidRDefault="00033039" w:rsidP="00F76E63">
      <w:pPr>
        <w:spacing w:line="360" w:lineRule="auto"/>
        <w:rPr>
          <w:rFonts w:cstheme="minorHAnsi"/>
          <w:bCs/>
          <w:sz w:val="20"/>
          <w:szCs w:val="20"/>
        </w:rPr>
      </w:pPr>
      <w:r w:rsidRPr="00FA5C64">
        <w:rPr>
          <w:rFonts w:cstheme="minorHAnsi"/>
          <w:bCs/>
          <w:sz w:val="20"/>
          <w:szCs w:val="20"/>
        </w:rPr>
        <w:t>Displayed: 2200 x 10000 x 600 mm</w:t>
      </w:r>
    </w:p>
    <w:p w14:paraId="3968239A" w14:textId="77777777" w:rsidR="00033039" w:rsidRPr="00FA5C64" w:rsidRDefault="00033039" w:rsidP="00F76E63">
      <w:pPr>
        <w:spacing w:line="360" w:lineRule="auto"/>
        <w:rPr>
          <w:rFonts w:cstheme="minorHAnsi"/>
          <w:bCs/>
          <w:sz w:val="20"/>
          <w:szCs w:val="20"/>
        </w:rPr>
      </w:pPr>
      <w:r w:rsidRPr="00FA5C64">
        <w:rPr>
          <w:rFonts w:cstheme="minorHAnsi"/>
          <w:bCs/>
          <w:sz w:val="20"/>
          <w:szCs w:val="20"/>
        </w:rPr>
        <w:t>Tate T07438</w:t>
      </w:r>
    </w:p>
    <w:p w14:paraId="6B2A9DE3" w14:textId="77777777" w:rsidR="00033039" w:rsidRPr="00FA5C64" w:rsidRDefault="00033039" w:rsidP="00F76E63">
      <w:pPr>
        <w:spacing w:line="360" w:lineRule="auto"/>
        <w:rPr>
          <w:rFonts w:cstheme="minorHAnsi"/>
          <w:bCs/>
          <w:sz w:val="20"/>
          <w:szCs w:val="20"/>
        </w:rPr>
      </w:pPr>
      <w:r w:rsidRPr="00FA5C64">
        <w:rPr>
          <w:rFonts w:cstheme="minorHAnsi"/>
          <w:bCs/>
          <w:sz w:val="20"/>
          <w:szCs w:val="20"/>
        </w:rPr>
        <w:t>© Susan Hiller</w:t>
      </w:r>
    </w:p>
    <w:p w14:paraId="516ADE79" w14:textId="77777777" w:rsidR="00033039" w:rsidRPr="000A47E6" w:rsidRDefault="00033039" w:rsidP="00F76E63">
      <w:pPr>
        <w:spacing w:line="360" w:lineRule="auto"/>
        <w:ind w:firstLine="720"/>
        <w:rPr>
          <w:rFonts w:cs="Arial"/>
        </w:rPr>
      </w:pPr>
    </w:p>
    <w:p w14:paraId="71E289D3" w14:textId="6EB45EEC" w:rsidR="003D32F7" w:rsidRPr="000A47E6" w:rsidRDefault="003D32F7" w:rsidP="00F76E63">
      <w:pPr>
        <w:spacing w:line="360" w:lineRule="auto"/>
        <w:rPr>
          <w:rFonts w:cs="Arial"/>
        </w:rPr>
      </w:pPr>
      <w:r w:rsidRPr="000A47E6">
        <w:rPr>
          <w:rFonts w:cs="Arial"/>
          <w:i/>
        </w:rPr>
        <w:t>At the Freud Museum</w:t>
      </w:r>
      <w:r w:rsidRPr="000A47E6">
        <w:rPr>
          <w:rFonts w:cs="Arial"/>
        </w:rPr>
        <w:t xml:space="preserve"> consisted of twenty-</w:t>
      </w:r>
      <w:r w:rsidR="00C6425B" w:rsidRPr="000A47E6">
        <w:rPr>
          <w:rFonts w:cs="Arial"/>
        </w:rPr>
        <w:t>t</w:t>
      </w:r>
      <w:r w:rsidR="00C6425B">
        <w:rPr>
          <w:rFonts w:cs="Arial"/>
        </w:rPr>
        <w:t>hree</w:t>
      </w:r>
      <w:r w:rsidR="00C6425B" w:rsidRPr="000A47E6">
        <w:rPr>
          <w:rFonts w:cs="Arial"/>
        </w:rPr>
        <w:t xml:space="preserve"> </w:t>
      </w:r>
      <w:r w:rsidRPr="000A47E6">
        <w:rPr>
          <w:rFonts w:cs="Arial"/>
        </w:rPr>
        <w:t>archaeological boxes made up of seemingly worthless and meaningless objects and fragments – discards, rubbish, fakes and ruins.</w:t>
      </w:r>
      <w:r w:rsidR="009A2B0D">
        <w:rPr>
          <w:rStyle w:val="EndnoteReference"/>
          <w:rFonts w:cs="Arial"/>
        </w:rPr>
        <w:endnoteReference w:id="2"/>
      </w:r>
      <w:r w:rsidRPr="000A47E6">
        <w:rPr>
          <w:rFonts w:cs="Arial"/>
        </w:rPr>
        <w:t xml:space="preserve"> With resonances of human origins, whether mythological, geological, historical or from popular culture, the items also reflected moments of political turmoil and historical cris</w:t>
      </w:r>
      <w:r w:rsidR="00FD55F0">
        <w:rPr>
          <w:rFonts w:cs="Arial"/>
        </w:rPr>
        <w:t>i</w:t>
      </w:r>
      <w:r w:rsidRPr="000A47E6">
        <w:rPr>
          <w:rFonts w:cs="Arial"/>
        </w:rPr>
        <w:t xml:space="preserve">s. Hiller accrued these objects serendipitously during her travels throughout Europe, North and South America, and Australasia. Although they were found through happenstance, Hiller has stated that they were chosen because they carried with them </w:t>
      </w:r>
      <w:proofErr w:type="gramStart"/>
      <w:r w:rsidRPr="000A47E6">
        <w:rPr>
          <w:rFonts w:cs="Arial"/>
        </w:rPr>
        <w:t>an ‘aura</w:t>
      </w:r>
      <w:proofErr w:type="gramEnd"/>
      <w:r w:rsidRPr="000A47E6">
        <w:rPr>
          <w:rFonts w:cs="Arial"/>
        </w:rPr>
        <w:t xml:space="preserve"> of memory’ that ‘hinted at meaning something’.</w:t>
      </w:r>
      <w:r w:rsidRPr="000A47E6">
        <w:rPr>
          <w:rStyle w:val="EndnoteReference"/>
          <w:rFonts w:cs="Arial"/>
        </w:rPr>
        <w:endnoteReference w:id="3"/>
      </w:r>
      <w:r w:rsidRPr="000A47E6">
        <w:rPr>
          <w:rFonts w:cs="Arial"/>
        </w:rPr>
        <w:t xml:space="preserve"> The prescient and distinctive nature of the objects was intended to appeal to our need to excavate, interpret and understand the past within the present. </w:t>
      </w:r>
    </w:p>
    <w:p w14:paraId="4DFC6189" w14:textId="77777777" w:rsidR="003D32F7" w:rsidRDefault="003D32F7" w:rsidP="00F76E63">
      <w:pPr>
        <w:spacing w:line="360" w:lineRule="auto"/>
        <w:rPr>
          <w:rFonts w:cs="Arial"/>
        </w:rPr>
      </w:pPr>
    </w:p>
    <w:p w14:paraId="1ACE4762" w14:textId="5D166814" w:rsidR="003D32F7" w:rsidRPr="000A47E6" w:rsidRDefault="003D32F7" w:rsidP="00F76E63">
      <w:pPr>
        <w:spacing w:line="360" w:lineRule="auto"/>
        <w:rPr>
          <w:rFonts w:cs="Arial"/>
        </w:rPr>
      </w:pPr>
      <w:r w:rsidRPr="000A47E6">
        <w:rPr>
          <w:rFonts w:cs="Arial"/>
        </w:rPr>
        <w:t xml:space="preserve">Having </w:t>
      </w:r>
      <w:r w:rsidRPr="000A47E6">
        <w:rPr>
          <w:rFonts w:cs="Arial"/>
          <w:i/>
        </w:rPr>
        <w:t>At the Freud Museum</w:t>
      </w:r>
      <w:r w:rsidRPr="000A47E6">
        <w:rPr>
          <w:rFonts w:cs="Arial"/>
        </w:rPr>
        <w:t xml:space="preserve"> inside </w:t>
      </w:r>
      <w:r w:rsidR="00FD55F0">
        <w:rPr>
          <w:rFonts w:cs="Arial"/>
        </w:rPr>
        <w:t>the museum itself</w:t>
      </w:r>
      <w:r w:rsidRPr="000A47E6">
        <w:rPr>
          <w:rFonts w:cs="Arial"/>
        </w:rPr>
        <w:t xml:space="preserve"> invoked Freud’s own practices as a collector and curator. Freud purchased </w:t>
      </w:r>
      <w:r w:rsidR="00DB2CB5">
        <w:rPr>
          <w:rFonts w:cs="Arial"/>
        </w:rPr>
        <w:t xml:space="preserve">his first sculptures, </w:t>
      </w:r>
      <w:r w:rsidRPr="000A47E6">
        <w:rPr>
          <w:rFonts w:cs="Arial"/>
        </w:rPr>
        <w:t>copies of Florentine statues in December 1896, only two months after the death of his father. In a letter to his colleague and friend</w:t>
      </w:r>
      <w:r w:rsidR="00FD55F0">
        <w:rPr>
          <w:rFonts w:cs="Arial"/>
        </w:rPr>
        <w:t>, the</w:t>
      </w:r>
      <w:r w:rsidRPr="000A47E6">
        <w:rPr>
          <w:rFonts w:cs="Arial"/>
        </w:rPr>
        <w:t xml:space="preserve"> otolaryngologist Wilhelm Fleiss, he noted that that the experience of acquiring these sculptures was </w:t>
      </w:r>
      <w:r w:rsidR="00FD55F0">
        <w:rPr>
          <w:rFonts w:cs="Arial"/>
        </w:rPr>
        <w:t xml:space="preserve">for him </w:t>
      </w:r>
      <w:r w:rsidRPr="000A47E6">
        <w:rPr>
          <w:rFonts w:cs="Arial"/>
        </w:rPr>
        <w:t>‘a source of extraordinary invigoration [</w:t>
      </w:r>
      <w:proofErr w:type="spellStart"/>
      <w:r w:rsidRPr="000A47E6">
        <w:rPr>
          <w:rFonts w:cs="Arial"/>
          <w:i/>
        </w:rPr>
        <w:t>Erquickung</w:t>
      </w:r>
      <w:proofErr w:type="spellEnd"/>
      <w:r w:rsidRPr="000A47E6">
        <w:rPr>
          <w:rFonts w:cs="Arial"/>
        </w:rPr>
        <w:t>, also translated as comfort and renewal]’ during this difficult time of loss and mourning.</w:t>
      </w:r>
      <w:r w:rsidRPr="000A47E6">
        <w:rPr>
          <w:rStyle w:val="EndnoteReference"/>
          <w:rFonts w:cs="Arial"/>
        </w:rPr>
        <w:endnoteReference w:id="4"/>
      </w:r>
      <w:r w:rsidRPr="000A47E6">
        <w:rPr>
          <w:rFonts w:cs="Arial"/>
        </w:rPr>
        <w:t xml:space="preserve"> The next time Freud referred to an acquisition of antiquities </w:t>
      </w:r>
      <w:r w:rsidR="00FD55F0">
        <w:rPr>
          <w:rFonts w:cs="Arial"/>
        </w:rPr>
        <w:t>–</w:t>
      </w:r>
      <w:r w:rsidRPr="000A47E6">
        <w:rPr>
          <w:rFonts w:cs="Arial"/>
        </w:rPr>
        <w:t xml:space="preserve"> rather than replicas </w:t>
      </w:r>
      <w:r w:rsidR="00FD55F0">
        <w:rPr>
          <w:rFonts w:cs="Arial"/>
        </w:rPr>
        <w:t>–</w:t>
      </w:r>
      <w:r w:rsidRPr="000A47E6">
        <w:rPr>
          <w:rFonts w:cs="Arial"/>
        </w:rPr>
        <w:t xml:space="preserve"> was in a postcard to his wife Martha in 1897 sent while he was travelling in </w:t>
      </w:r>
      <w:r w:rsidR="00FD55F0">
        <w:rPr>
          <w:rFonts w:cs="Arial"/>
        </w:rPr>
        <w:t xml:space="preserve">the Italian lake town of </w:t>
      </w:r>
      <w:proofErr w:type="spellStart"/>
      <w:r w:rsidRPr="000A47E6">
        <w:rPr>
          <w:rFonts w:cs="Arial"/>
        </w:rPr>
        <w:t>Bolsena</w:t>
      </w:r>
      <w:proofErr w:type="spellEnd"/>
      <w:r w:rsidRPr="000A47E6">
        <w:rPr>
          <w:rFonts w:cs="Arial"/>
        </w:rPr>
        <w:t>. It is quite likely that Freud was speaking of an Etruscan statuette. Then, on</w:t>
      </w:r>
      <w:r w:rsidR="00FD55F0">
        <w:rPr>
          <w:rFonts w:cs="Arial"/>
        </w:rPr>
        <w:t xml:space="preserve"> </w:t>
      </w:r>
      <w:r w:rsidRPr="000A47E6">
        <w:rPr>
          <w:rFonts w:cs="Arial"/>
        </w:rPr>
        <w:t>20</w:t>
      </w:r>
      <w:r w:rsidR="00FD55F0">
        <w:rPr>
          <w:rFonts w:cs="Arial"/>
        </w:rPr>
        <w:t xml:space="preserve"> </w:t>
      </w:r>
      <w:r w:rsidRPr="000A47E6">
        <w:rPr>
          <w:rFonts w:cs="Arial"/>
        </w:rPr>
        <w:t xml:space="preserve">August 1898, while taking a trip in Innsbruck, Freud wrote to Fleiss saying that </w:t>
      </w:r>
      <w:r w:rsidRPr="000A47E6">
        <w:rPr>
          <w:rFonts w:cs="Arial"/>
        </w:rPr>
        <w:lastRenderedPageBreak/>
        <w:t>his latest purchase was a Roman statuette of ‘an old child’.</w:t>
      </w:r>
      <w:r w:rsidRPr="000A47E6">
        <w:rPr>
          <w:rStyle w:val="EndnoteReference"/>
          <w:rFonts w:cs="Arial"/>
        </w:rPr>
        <w:endnoteReference w:id="5"/>
      </w:r>
      <w:r w:rsidRPr="000A47E6">
        <w:rPr>
          <w:rFonts w:cs="Arial"/>
        </w:rPr>
        <w:t xml:space="preserve"> From this point onwards, Freud’s collection grew rapidly as he procured objects during his travels across Europe, acquiring them by befriending various dealers in Vienna, Berlin, Paris and Rome, and receiving them as gifts from his family, friends and colleagues. Often seeking advice and authentication from friends and experts in the field, Freud made many well-considered decisions.</w:t>
      </w:r>
      <w:r w:rsidRPr="000A47E6">
        <w:rPr>
          <w:rStyle w:val="EndnoteReference"/>
          <w:rFonts w:cs="Arial"/>
        </w:rPr>
        <w:endnoteReference w:id="6"/>
      </w:r>
      <w:r w:rsidRPr="000A47E6">
        <w:rPr>
          <w:rFonts w:cs="Arial"/>
        </w:rPr>
        <w:t xml:space="preserve"> He also bought a few fakes, a few reproductions and some broken and damaged pieces simply because he wanted to have the objects near him. Freud often sold objects from his collection when he tired of them or required funds to obtain other pieces, and he delighted in gifting his antiquities to friends, family and colleagues.</w:t>
      </w:r>
      <w:r w:rsidR="001472B7">
        <w:rPr>
          <w:rStyle w:val="EndnoteReference"/>
          <w:rFonts w:cs="Arial"/>
        </w:rPr>
        <w:endnoteReference w:id="7"/>
      </w:r>
      <w:r w:rsidRPr="000A47E6">
        <w:rPr>
          <w:rFonts w:cs="Arial"/>
        </w:rPr>
        <w:t xml:space="preserve"> </w:t>
      </w:r>
    </w:p>
    <w:p w14:paraId="4557A25B" w14:textId="77777777" w:rsidR="003D32F7" w:rsidRDefault="003D32F7" w:rsidP="00F76E63">
      <w:pPr>
        <w:spacing w:line="360" w:lineRule="auto"/>
        <w:rPr>
          <w:rFonts w:cs="Arial"/>
        </w:rPr>
      </w:pPr>
    </w:p>
    <w:p w14:paraId="4FE0F501" w14:textId="758B2B55" w:rsidR="005654F3" w:rsidRPr="007E4BC3" w:rsidRDefault="005654F3" w:rsidP="00F76E63">
      <w:pPr>
        <w:spacing w:line="360" w:lineRule="auto"/>
        <w:rPr>
          <w:rFonts w:cs="Arial"/>
          <w:sz w:val="20"/>
          <w:szCs w:val="20"/>
        </w:rPr>
      </w:pPr>
      <w:r w:rsidRPr="007E4BC3">
        <w:rPr>
          <w:rFonts w:cs="Arial"/>
          <w:sz w:val="20"/>
          <w:szCs w:val="20"/>
        </w:rPr>
        <w:t>Fig.3</w:t>
      </w:r>
    </w:p>
    <w:p w14:paraId="04240973" w14:textId="38D2B18F" w:rsidR="005654F3" w:rsidRPr="007E4BC3" w:rsidRDefault="005654F3" w:rsidP="00F76E63">
      <w:pPr>
        <w:spacing w:line="360" w:lineRule="auto"/>
        <w:rPr>
          <w:rFonts w:cs="Arial"/>
          <w:sz w:val="20"/>
          <w:szCs w:val="20"/>
        </w:rPr>
      </w:pPr>
      <w:r w:rsidRPr="007E4BC3">
        <w:rPr>
          <w:rFonts w:cs="Arial"/>
          <w:sz w:val="20"/>
          <w:szCs w:val="20"/>
        </w:rPr>
        <w:t>Photograph of Freud’s desk showing statuettes</w:t>
      </w:r>
    </w:p>
    <w:p w14:paraId="770A62AC" w14:textId="77777777" w:rsidR="005654F3" w:rsidRDefault="005654F3" w:rsidP="00F76E63">
      <w:pPr>
        <w:spacing w:line="360" w:lineRule="auto"/>
        <w:rPr>
          <w:rFonts w:cs="Arial"/>
        </w:rPr>
      </w:pPr>
    </w:p>
    <w:p w14:paraId="76954B72" w14:textId="1501124B" w:rsidR="003D32F7" w:rsidRPr="000A47E6" w:rsidRDefault="00E50FBD" w:rsidP="00F76E63">
      <w:pPr>
        <w:spacing w:line="360" w:lineRule="auto"/>
        <w:rPr>
          <w:rFonts w:cs="Arial"/>
        </w:rPr>
      </w:pPr>
      <w:r>
        <w:rPr>
          <w:rFonts w:cs="Arial"/>
        </w:rPr>
        <w:t xml:space="preserve">In her 1994 installation </w:t>
      </w:r>
      <w:r w:rsidR="003D32F7" w:rsidRPr="000A47E6">
        <w:rPr>
          <w:rFonts w:cs="Arial"/>
        </w:rPr>
        <w:t>Hiller’s archaeological method of arranging and displaying an object or thing alongside a representation such as an image, text or chart and labelling it with a title raised questions about Freud’s own curatorial strategies. We know that Freud moved the objects around his study and consulting room, making new arrangements of them. When his patient</w:t>
      </w:r>
      <w:r>
        <w:rPr>
          <w:rFonts w:cs="Arial"/>
        </w:rPr>
        <w:t>,</w:t>
      </w:r>
      <w:r w:rsidR="003D32F7" w:rsidRPr="000A47E6">
        <w:rPr>
          <w:rFonts w:cs="Arial"/>
        </w:rPr>
        <w:t xml:space="preserve"> the American author and poet Hilda Doolittle (</w:t>
      </w:r>
      <w:r>
        <w:rPr>
          <w:rFonts w:cs="Arial"/>
        </w:rPr>
        <w:t>known by the pen name ‘</w:t>
      </w:r>
      <w:r w:rsidR="003D32F7" w:rsidRPr="000A47E6">
        <w:rPr>
          <w:rFonts w:cs="Arial"/>
        </w:rPr>
        <w:t>H.D.</w:t>
      </w:r>
      <w:r>
        <w:rPr>
          <w:rFonts w:cs="Arial"/>
        </w:rPr>
        <w:t>’</w:t>
      </w:r>
      <w:r w:rsidR="003D32F7" w:rsidRPr="000A47E6">
        <w:rPr>
          <w:rFonts w:cs="Arial"/>
        </w:rPr>
        <w:t>)</w:t>
      </w:r>
      <w:r>
        <w:rPr>
          <w:rFonts w:cs="Arial"/>
        </w:rPr>
        <w:t>,</w:t>
      </w:r>
      <w:r w:rsidR="003D32F7" w:rsidRPr="000A47E6">
        <w:rPr>
          <w:rFonts w:cs="Arial"/>
        </w:rPr>
        <w:t xml:space="preserve"> found herself for the first time in the midst of this vast collection she noted that Freud was a ‘curator in a museum’ surrounded by his antiquities.</w:t>
      </w:r>
      <w:r w:rsidR="003D32F7" w:rsidRPr="000A47E6">
        <w:rPr>
          <w:rStyle w:val="EndnoteReference"/>
          <w:rFonts w:cs="Arial"/>
        </w:rPr>
        <w:endnoteReference w:id="8"/>
      </w:r>
      <w:r w:rsidR="003D32F7" w:rsidRPr="000A47E6">
        <w:rPr>
          <w:rFonts w:cs="Arial"/>
        </w:rPr>
        <w:t xml:space="preserve"> Art historian and curator Jon Wood </w:t>
      </w:r>
      <w:r>
        <w:rPr>
          <w:rFonts w:cs="Arial"/>
        </w:rPr>
        <w:t xml:space="preserve">has </w:t>
      </w:r>
      <w:r w:rsidR="003D32F7" w:rsidRPr="000A47E6">
        <w:rPr>
          <w:rFonts w:cs="Arial"/>
        </w:rPr>
        <w:t>suggest</w:t>
      </w:r>
      <w:r>
        <w:rPr>
          <w:rFonts w:cs="Arial"/>
        </w:rPr>
        <w:t>ed</w:t>
      </w:r>
      <w:r w:rsidR="003D32F7" w:rsidRPr="000A47E6">
        <w:rPr>
          <w:rFonts w:cs="Arial"/>
        </w:rPr>
        <w:t xml:space="preserve"> that ‘a number of curatorial tendencies can be discerned’ in the arrangement of objects on Freud’s desk</w:t>
      </w:r>
      <w:r w:rsidR="00AB3A22">
        <w:rPr>
          <w:rFonts w:cs="Arial"/>
        </w:rPr>
        <w:t xml:space="preserve"> (</w:t>
      </w:r>
      <w:r w:rsidR="00AB3A22" w:rsidRPr="005654F3">
        <w:rPr>
          <w:rFonts w:cs="Arial"/>
          <w:highlight w:val="magenta"/>
        </w:rPr>
        <w:t>fig.3</w:t>
      </w:r>
      <w:r w:rsidR="00AB3A22">
        <w:rPr>
          <w:rFonts w:cs="Arial"/>
        </w:rPr>
        <w:t>)</w:t>
      </w:r>
      <w:r w:rsidR="003D32F7" w:rsidRPr="000A47E6">
        <w:rPr>
          <w:rFonts w:cs="Arial"/>
        </w:rPr>
        <w:t>. Placed in rows facing him, the combination of scales in the statuettes and the use of pedestals turn some into ‘miniature monuments’ resulting in ‘a contradictory spatial and temporal experience of nearness and distance, small-scale and monumental’. In addition, there is</w:t>
      </w:r>
      <w:r w:rsidR="00D7122D">
        <w:rPr>
          <w:rFonts w:cs="Arial"/>
        </w:rPr>
        <w:t xml:space="preserve"> what Wood calls</w:t>
      </w:r>
      <w:r w:rsidR="003D32F7" w:rsidRPr="000A47E6">
        <w:rPr>
          <w:rFonts w:cs="Arial"/>
        </w:rPr>
        <w:t xml:space="preserve"> an ‘active aesthetic’ at work in Freud’s display due to the varying heights, materials and finishes of the objects</w:t>
      </w:r>
      <w:r w:rsidR="00D7122D">
        <w:rPr>
          <w:rFonts w:cs="Arial"/>
        </w:rPr>
        <w:t>, and t</w:t>
      </w:r>
      <w:r w:rsidR="003D32F7" w:rsidRPr="000A47E6">
        <w:rPr>
          <w:rFonts w:cs="Arial"/>
        </w:rPr>
        <w:t>he ‘range of times, places and cultures’ within the collection of antiquities on Freud’s desk results in a ‘mini, desk-bound museum without walls’.</w:t>
      </w:r>
      <w:r w:rsidR="003D32F7" w:rsidRPr="000A47E6">
        <w:rPr>
          <w:rStyle w:val="EndnoteReference"/>
          <w:rFonts w:cs="Arial"/>
        </w:rPr>
        <w:endnoteReference w:id="9"/>
      </w:r>
      <w:r w:rsidR="003D32F7" w:rsidRPr="000A47E6">
        <w:rPr>
          <w:rFonts w:cs="Arial"/>
        </w:rPr>
        <w:t xml:space="preserve"> Freud’s mini, desk-bound museum situated within his larger collection, one that scholar of psychoanalysis</w:t>
      </w:r>
      <w:r w:rsidR="0003128F">
        <w:rPr>
          <w:rFonts w:cs="Arial"/>
        </w:rPr>
        <w:t xml:space="preserve"> J</w:t>
      </w:r>
      <w:r w:rsidR="003D32F7" w:rsidRPr="000A47E6">
        <w:rPr>
          <w:rFonts w:cs="Arial"/>
        </w:rPr>
        <w:t>ohn Forrester has called ‘a museum within a museum’</w:t>
      </w:r>
      <w:r w:rsidR="0003128F">
        <w:rPr>
          <w:rFonts w:cs="Arial"/>
        </w:rPr>
        <w:t>,</w:t>
      </w:r>
      <w:r w:rsidR="003D32F7" w:rsidRPr="000A47E6">
        <w:rPr>
          <w:rFonts w:cs="Arial"/>
        </w:rPr>
        <w:t xml:space="preserve"> was echoed by Hiller’s mini-installations – the individual boxes of </w:t>
      </w:r>
      <w:r w:rsidR="003D32F7" w:rsidRPr="000A47E6">
        <w:rPr>
          <w:rFonts w:cs="Arial"/>
          <w:i/>
          <w:iCs/>
        </w:rPr>
        <w:t>At the Freud Museum</w:t>
      </w:r>
      <w:r w:rsidR="003D32F7" w:rsidRPr="000A47E6">
        <w:rPr>
          <w:rFonts w:cs="Arial"/>
        </w:rPr>
        <w:t xml:space="preserve"> </w:t>
      </w:r>
      <w:r w:rsidR="0003128F">
        <w:rPr>
          <w:rFonts w:cs="Arial"/>
        </w:rPr>
        <w:t>–</w:t>
      </w:r>
      <w:r w:rsidR="0003128F" w:rsidRPr="000A47E6">
        <w:rPr>
          <w:rFonts w:cs="Arial"/>
        </w:rPr>
        <w:t xml:space="preserve"> </w:t>
      </w:r>
      <w:r w:rsidR="003D32F7" w:rsidRPr="000A47E6">
        <w:rPr>
          <w:rFonts w:cs="Arial"/>
        </w:rPr>
        <w:t>within the larger intervention of the work as a whole.</w:t>
      </w:r>
      <w:r w:rsidR="001472B7">
        <w:rPr>
          <w:rStyle w:val="EndnoteReference"/>
          <w:rFonts w:cs="Arial"/>
        </w:rPr>
        <w:endnoteReference w:id="10"/>
      </w:r>
    </w:p>
    <w:p w14:paraId="0ACF14A5" w14:textId="77777777" w:rsidR="003D32F7" w:rsidRDefault="003D32F7" w:rsidP="00F76E63">
      <w:pPr>
        <w:spacing w:line="360" w:lineRule="auto"/>
        <w:rPr>
          <w:rFonts w:cs="Arial"/>
        </w:rPr>
      </w:pPr>
    </w:p>
    <w:p w14:paraId="587C543E" w14:textId="77777777" w:rsidR="003D32F7" w:rsidRPr="000A47E6" w:rsidRDefault="003D32F7" w:rsidP="00F76E63">
      <w:pPr>
        <w:spacing w:line="360" w:lineRule="auto"/>
        <w:rPr>
          <w:rFonts w:cs="Arial"/>
        </w:rPr>
      </w:pPr>
      <w:r w:rsidRPr="000A47E6">
        <w:rPr>
          <w:rFonts w:cs="Arial"/>
        </w:rPr>
        <w:t xml:space="preserve">The importance of Hiller’s show was to demonstrate the close connection and the blurred boundaries between Freud’s antiquities as a material archaeological collection and his use of archaeology as a metaphor for psychoanalysis. We have already seen how the first was activated by Hiller’s installation; as for the second, it is useful to begin with Freud’s interest in archaeology. </w:t>
      </w:r>
    </w:p>
    <w:p w14:paraId="23BFA950" w14:textId="77777777" w:rsidR="003D32F7" w:rsidRDefault="003D32F7" w:rsidP="00F76E63">
      <w:pPr>
        <w:spacing w:line="360" w:lineRule="auto"/>
        <w:rPr>
          <w:rFonts w:cs="Arial"/>
        </w:rPr>
      </w:pPr>
    </w:p>
    <w:p w14:paraId="34B8A3DE" w14:textId="1C8BDBC4" w:rsidR="003D32F7" w:rsidRPr="000A47E6" w:rsidRDefault="003D32F7" w:rsidP="00F76E63">
      <w:pPr>
        <w:spacing w:line="360" w:lineRule="auto"/>
        <w:rPr>
          <w:rFonts w:cs="Arial"/>
        </w:rPr>
      </w:pPr>
      <w:r w:rsidRPr="000A47E6">
        <w:rPr>
          <w:rFonts w:cs="Arial"/>
        </w:rPr>
        <w:lastRenderedPageBreak/>
        <w:t xml:space="preserve">Freud’s attraction to archaeology was in part due to its popularity in the </w:t>
      </w:r>
      <w:r w:rsidR="000D4716">
        <w:rPr>
          <w:rFonts w:cs="Arial"/>
        </w:rPr>
        <w:t>nineteenth</w:t>
      </w:r>
      <w:r w:rsidR="000D4716" w:rsidRPr="000A47E6">
        <w:rPr>
          <w:rFonts w:cs="Arial"/>
        </w:rPr>
        <w:t xml:space="preserve"> </w:t>
      </w:r>
      <w:r w:rsidRPr="000A47E6">
        <w:rPr>
          <w:rFonts w:cs="Arial"/>
        </w:rPr>
        <w:t xml:space="preserve">and early </w:t>
      </w:r>
      <w:r w:rsidR="000D4716">
        <w:rPr>
          <w:rFonts w:cs="Arial"/>
        </w:rPr>
        <w:t>twentieth</w:t>
      </w:r>
      <w:r w:rsidR="000D4716" w:rsidRPr="000A47E6">
        <w:rPr>
          <w:rFonts w:cs="Arial"/>
        </w:rPr>
        <w:t xml:space="preserve"> </w:t>
      </w:r>
      <w:r w:rsidRPr="000A47E6">
        <w:rPr>
          <w:rFonts w:cs="Arial"/>
        </w:rPr>
        <w:t>centuries. Both archaeology and psychoanalysis emerged as fields of knowledge and practice during this time, and each did so with equal amounts of fanfare and infamy.</w:t>
      </w:r>
      <w:r w:rsidRPr="000A47E6">
        <w:rPr>
          <w:rStyle w:val="EndnoteReference"/>
          <w:rFonts w:cs="Arial"/>
        </w:rPr>
        <w:endnoteReference w:id="11"/>
      </w:r>
      <w:r w:rsidRPr="000A47E6">
        <w:rPr>
          <w:rFonts w:cs="Arial"/>
        </w:rPr>
        <w:t xml:space="preserve"> For Freud, both the popularity of archaeology as a mode of encountering the past and the </w:t>
      </w:r>
      <w:r w:rsidR="000D4716">
        <w:rPr>
          <w:rFonts w:cs="Arial"/>
        </w:rPr>
        <w:t>employment</w:t>
      </w:r>
      <w:r w:rsidR="000D4716" w:rsidRPr="000A47E6">
        <w:rPr>
          <w:rFonts w:cs="Arial"/>
        </w:rPr>
        <w:t xml:space="preserve"> </w:t>
      </w:r>
      <w:r w:rsidRPr="000A47E6">
        <w:rPr>
          <w:rFonts w:cs="Arial"/>
        </w:rPr>
        <w:t>of the archaeological metaphor were meant to legitimi</w:t>
      </w:r>
      <w:r w:rsidR="000D4716">
        <w:rPr>
          <w:rFonts w:cs="Arial"/>
        </w:rPr>
        <w:t>s</w:t>
      </w:r>
      <w:r w:rsidRPr="000A47E6">
        <w:rPr>
          <w:rFonts w:cs="Arial"/>
        </w:rPr>
        <w:t>e the scientific ambitions he had for psychoanalysis as a practice and as a way of understanding the formation of the human subject. The use of archaeology was to bring popularity and ‘respectability’ to psychoanalysis.</w:t>
      </w:r>
      <w:r w:rsidRPr="000A47E6">
        <w:rPr>
          <w:rStyle w:val="EndnoteReference"/>
          <w:rFonts w:cs="Arial"/>
        </w:rPr>
        <w:endnoteReference w:id="12"/>
      </w:r>
      <w:r w:rsidRPr="000A47E6">
        <w:rPr>
          <w:rFonts w:cs="Arial"/>
        </w:rPr>
        <w:t xml:space="preserve"> Freud was knowledgeable about the contemporary world of archaeology </w:t>
      </w:r>
      <w:r w:rsidR="000D4716">
        <w:rPr>
          <w:rFonts w:cs="Arial"/>
        </w:rPr>
        <w:t>–</w:t>
      </w:r>
      <w:r w:rsidR="000D4716" w:rsidRPr="000A47E6">
        <w:rPr>
          <w:rFonts w:cs="Arial"/>
        </w:rPr>
        <w:t xml:space="preserve"> </w:t>
      </w:r>
      <w:r w:rsidRPr="000A47E6">
        <w:rPr>
          <w:rFonts w:cs="Arial"/>
        </w:rPr>
        <w:t xml:space="preserve">from Giuseppe </w:t>
      </w:r>
      <w:proofErr w:type="spellStart"/>
      <w:r w:rsidRPr="000A47E6">
        <w:rPr>
          <w:rFonts w:cs="Arial"/>
        </w:rPr>
        <w:t>Fiorelli’s</w:t>
      </w:r>
      <w:proofErr w:type="spellEnd"/>
      <w:r w:rsidRPr="000A47E6">
        <w:rPr>
          <w:rFonts w:cs="Arial"/>
        </w:rPr>
        <w:t xml:space="preserve"> excavation of Pompeii </w:t>
      </w:r>
      <w:r w:rsidR="000D4716">
        <w:rPr>
          <w:rFonts w:cs="Arial"/>
        </w:rPr>
        <w:t>and</w:t>
      </w:r>
      <w:r w:rsidR="000D4716" w:rsidRPr="000A47E6">
        <w:rPr>
          <w:rFonts w:cs="Arial"/>
        </w:rPr>
        <w:t xml:space="preserve"> </w:t>
      </w:r>
      <w:r w:rsidRPr="000A47E6">
        <w:rPr>
          <w:rFonts w:cs="Arial"/>
        </w:rPr>
        <w:t>Heinrich Schliemann’s Troy</w:t>
      </w:r>
      <w:r w:rsidR="000D4716">
        <w:rPr>
          <w:rFonts w:cs="Arial"/>
        </w:rPr>
        <w:t xml:space="preserve"> to</w:t>
      </w:r>
      <w:r w:rsidRPr="000A47E6">
        <w:rPr>
          <w:rFonts w:cs="Arial"/>
        </w:rPr>
        <w:t xml:space="preserve"> Arthur Evans’</w:t>
      </w:r>
      <w:r w:rsidR="000D4716">
        <w:rPr>
          <w:rFonts w:cs="Arial"/>
        </w:rPr>
        <w:t>s</w:t>
      </w:r>
      <w:r w:rsidRPr="000A47E6">
        <w:rPr>
          <w:rFonts w:cs="Arial"/>
        </w:rPr>
        <w:t xml:space="preserve"> exploration and excavation of Knossos along with their accompanying controversies, George Herbert Carnarvon and Howard Carter’s discovery of Tutankhamen’s tomb</w:t>
      </w:r>
      <w:r w:rsidR="00767AA3">
        <w:rPr>
          <w:rFonts w:cs="Arial"/>
        </w:rPr>
        <w:t>,</w:t>
      </w:r>
      <w:r w:rsidR="000D4716">
        <w:rPr>
          <w:rFonts w:cs="Arial"/>
        </w:rPr>
        <w:t xml:space="preserve"> and</w:t>
      </w:r>
      <w:r w:rsidRPr="000A47E6">
        <w:rPr>
          <w:rFonts w:cs="Arial"/>
        </w:rPr>
        <w:t xml:space="preserve"> Leonard Woolley’s excavations of Sumerian Ur. </w:t>
      </w:r>
      <w:r w:rsidR="00B115D7">
        <w:rPr>
          <w:rFonts w:cs="Arial"/>
        </w:rPr>
        <w:t>Freud</w:t>
      </w:r>
      <w:r w:rsidR="00B115D7" w:rsidRPr="000A47E6">
        <w:rPr>
          <w:rFonts w:cs="Arial"/>
        </w:rPr>
        <w:t xml:space="preserve"> </w:t>
      </w:r>
      <w:r w:rsidRPr="000A47E6">
        <w:rPr>
          <w:rFonts w:cs="Arial"/>
        </w:rPr>
        <w:t>hoped that by using archaeology as a metaphor within his work, the sense of archaeology’s innovation, popularity and scientific judgment would positively impact upon psychoanalytic theory and practice.</w:t>
      </w:r>
      <w:r w:rsidRPr="000A47E6">
        <w:rPr>
          <w:rStyle w:val="EndnoteReference"/>
          <w:rFonts w:cs="Arial"/>
        </w:rPr>
        <w:endnoteReference w:id="13"/>
      </w:r>
    </w:p>
    <w:p w14:paraId="7D438E86" w14:textId="77777777" w:rsidR="003D32F7" w:rsidRDefault="003D32F7" w:rsidP="00F76E63">
      <w:pPr>
        <w:spacing w:line="360" w:lineRule="auto"/>
        <w:rPr>
          <w:rFonts w:cs="Arial"/>
        </w:rPr>
      </w:pPr>
    </w:p>
    <w:p w14:paraId="2A735138" w14:textId="325869EE" w:rsidR="003D32F7" w:rsidRDefault="003D32F7" w:rsidP="00F76E63">
      <w:pPr>
        <w:spacing w:line="360" w:lineRule="auto"/>
        <w:rPr>
          <w:rFonts w:cs="Arial"/>
        </w:rPr>
      </w:pPr>
      <w:r w:rsidRPr="000A47E6">
        <w:rPr>
          <w:rFonts w:cs="Arial"/>
        </w:rPr>
        <w:t>Freud was so</w:t>
      </w:r>
      <w:r w:rsidRPr="000A47E6">
        <w:rPr>
          <w:rFonts w:cs="Arial"/>
          <w:b/>
        </w:rPr>
        <w:t xml:space="preserve"> </w:t>
      </w:r>
      <w:r w:rsidRPr="000A47E6">
        <w:rPr>
          <w:rFonts w:cs="Arial"/>
        </w:rPr>
        <w:t>proud of his knowledge of archaeology and its embodiment in his antiquities that on 7</w:t>
      </w:r>
      <w:r w:rsidR="00767AA3">
        <w:rPr>
          <w:rFonts w:cs="Arial"/>
        </w:rPr>
        <w:t xml:space="preserve"> </w:t>
      </w:r>
      <w:r w:rsidRPr="000A47E6">
        <w:rPr>
          <w:rFonts w:cs="Arial"/>
        </w:rPr>
        <w:t xml:space="preserve">February 1931 he wrote a letter to his friend, </w:t>
      </w:r>
      <w:r w:rsidR="00B115D7">
        <w:rPr>
          <w:rFonts w:cs="Arial"/>
        </w:rPr>
        <w:t xml:space="preserve">the </w:t>
      </w:r>
      <w:r w:rsidRPr="000A47E6">
        <w:rPr>
          <w:rFonts w:cs="Arial"/>
        </w:rPr>
        <w:t>novelist, playwright, journalist and biographer Stefan Zweig</w:t>
      </w:r>
      <w:r w:rsidR="00B115D7">
        <w:rPr>
          <w:rFonts w:cs="Arial"/>
        </w:rPr>
        <w:t xml:space="preserve">, </w:t>
      </w:r>
      <w:r w:rsidRPr="000A47E6">
        <w:rPr>
          <w:rFonts w:cs="Arial"/>
        </w:rPr>
        <w:t>in which he made it clear that he felt slighted by Zweig’s recent essay on the analyst in which there was no mention of his collection: ‘I have made many sacrifices for my collection of Greek, Roman, and Egyptian antiquities, and actually have read more archaeology than psychology’.</w:t>
      </w:r>
      <w:r w:rsidRPr="000A47E6">
        <w:rPr>
          <w:rStyle w:val="EndnoteReference"/>
          <w:rFonts w:cs="Arial"/>
        </w:rPr>
        <w:endnoteReference w:id="14"/>
      </w:r>
      <w:r w:rsidRPr="000A47E6">
        <w:rPr>
          <w:rFonts w:cs="Arial"/>
        </w:rPr>
        <w:t xml:space="preserve"> Perhaps it was an exaggeration to say that he had read more archaeology than psychology, but Freud certainly had a serious and enduring interest in archaeology as a practice and as a metaphor for psychoanalysis and the formation of the human subject.</w:t>
      </w:r>
      <w:r w:rsidRPr="000A47E6">
        <w:rPr>
          <w:rStyle w:val="EndnoteReference"/>
          <w:rFonts w:cs="Arial"/>
        </w:rPr>
        <w:endnoteReference w:id="15"/>
      </w:r>
      <w:r w:rsidRPr="000A47E6">
        <w:rPr>
          <w:rFonts w:cs="Arial"/>
        </w:rPr>
        <w:t xml:space="preserve"> As Forrester puts it, Freud had a ‘desire to be an archaeologist of the mind’.</w:t>
      </w:r>
      <w:r w:rsidRPr="000A47E6">
        <w:rPr>
          <w:rStyle w:val="EndnoteReference"/>
          <w:rFonts w:cs="Arial"/>
        </w:rPr>
        <w:endnoteReference w:id="16"/>
      </w:r>
      <w:r w:rsidRPr="000A47E6">
        <w:rPr>
          <w:rFonts w:cs="Arial"/>
        </w:rPr>
        <w:t xml:space="preserve"> </w:t>
      </w:r>
    </w:p>
    <w:p w14:paraId="2D71AE96" w14:textId="77777777" w:rsidR="003D32F7" w:rsidRDefault="003D32F7" w:rsidP="00F76E63">
      <w:pPr>
        <w:spacing w:line="360" w:lineRule="auto"/>
        <w:rPr>
          <w:rFonts w:cs="Arial"/>
        </w:rPr>
      </w:pPr>
    </w:p>
    <w:p w14:paraId="24FF9575" w14:textId="320BD449" w:rsidR="003D32F7" w:rsidRPr="000A47E6" w:rsidRDefault="000120D3" w:rsidP="00F76E63">
      <w:pPr>
        <w:spacing w:line="360" w:lineRule="auto"/>
        <w:rPr>
          <w:rFonts w:cs="Arial"/>
          <w:lang w:val="en-US"/>
        </w:rPr>
      </w:pPr>
      <w:r>
        <w:rPr>
          <w:rFonts w:cs="Arial"/>
        </w:rPr>
        <w:t>Yet by 1937</w:t>
      </w:r>
      <w:r w:rsidR="003D32F7" w:rsidRPr="000A47E6">
        <w:rPr>
          <w:rFonts w:cs="Arial"/>
        </w:rPr>
        <w:t xml:space="preserve">, </w:t>
      </w:r>
      <w:r w:rsidR="003D32F7" w:rsidRPr="000A47E6">
        <w:rPr>
          <w:rFonts w:cs="Arial"/>
          <w:lang w:val="en-US"/>
        </w:rPr>
        <w:t xml:space="preserve">near the end of Freud’s life, </w:t>
      </w:r>
      <w:r w:rsidR="003D32F7" w:rsidRPr="000A47E6">
        <w:rPr>
          <w:rFonts w:cs="Arial"/>
        </w:rPr>
        <w:t>the usefulness of the archaeological metaphor had reached its limit</w:t>
      </w:r>
      <w:r>
        <w:rPr>
          <w:rFonts w:cs="Arial"/>
        </w:rPr>
        <w:t xml:space="preserve">, as Freud outlined in an essay published that year titled </w:t>
      </w:r>
      <w:r w:rsidRPr="000120D3">
        <w:rPr>
          <w:rFonts w:cs="Arial"/>
        </w:rPr>
        <w:t>‘Constructions in Analysis’</w:t>
      </w:r>
      <w:r>
        <w:rPr>
          <w:rFonts w:cs="Arial"/>
        </w:rPr>
        <w:t>.</w:t>
      </w:r>
      <w:r w:rsidRPr="000120D3">
        <w:rPr>
          <w:rFonts w:cs="Arial"/>
        </w:rPr>
        <w:t xml:space="preserve"> </w:t>
      </w:r>
      <w:r w:rsidR="003D32F7" w:rsidRPr="000A47E6">
        <w:rPr>
          <w:rFonts w:cs="Arial"/>
        </w:rPr>
        <w:t xml:space="preserve">For Freud it was now the psychoanalyst – not the archaeologist </w:t>
      </w:r>
      <w:r>
        <w:rPr>
          <w:rFonts w:cs="Arial"/>
        </w:rPr>
        <w:t>–</w:t>
      </w:r>
      <w:r w:rsidR="003D32F7" w:rsidRPr="000A47E6">
        <w:rPr>
          <w:rFonts w:cs="Arial"/>
        </w:rPr>
        <w:t xml:space="preserve"> who was able to achieve impressive goals in his work, objectives that were impossible</w:t>
      </w:r>
      <w:r w:rsidR="002C3C32">
        <w:rPr>
          <w:rFonts w:cs="Arial"/>
        </w:rPr>
        <w:t xml:space="preserve"> for the</w:t>
      </w:r>
      <w:r w:rsidR="003D32F7" w:rsidRPr="000A47E6">
        <w:rPr>
          <w:rFonts w:cs="Arial"/>
        </w:rPr>
        <w:t xml:space="preserve"> </w:t>
      </w:r>
      <w:r w:rsidR="002C3C32" w:rsidRPr="000A47E6">
        <w:rPr>
          <w:rFonts w:cs="Arial"/>
        </w:rPr>
        <w:t xml:space="preserve">archaeologist </w:t>
      </w:r>
      <w:r w:rsidR="003D32F7" w:rsidRPr="000A47E6">
        <w:rPr>
          <w:rFonts w:cs="Arial"/>
        </w:rPr>
        <w:t>to achieve.</w:t>
      </w:r>
      <w:r w:rsidR="003D32F7" w:rsidRPr="000A47E6">
        <w:rPr>
          <w:rStyle w:val="EndnoteReference"/>
          <w:rFonts w:cs="Arial"/>
        </w:rPr>
        <w:endnoteReference w:id="17"/>
      </w:r>
      <w:r w:rsidR="003D32F7" w:rsidRPr="000A47E6">
        <w:rPr>
          <w:rFonts w:cs="Arial"/>
        </w:rPr>
        <w:t xml:space="preserve"> Th</w:t>
      </w:r>
      <w:r w:rsidR="00717D29">
        <w:rPr>
          <w:rFonts w:cs="Arial"/>
        </w:rPr>
        <w:t xml:space="preserve">is </w:t>
      </w:r>
      <w:r w:rsidR="003D32F7" w:rsidRPr="000A47E6">
        <w:rPr>
          <w:rFonts w:cs="Arial"/>
        </w:rPr>
        <w:t>w</w:t>
      </w:r>
      <w:r w:rsidR="00717D29">
        <w:rPr>
          <w:rFonts w:cs="Arial"/>
        </w:rPr>
        <w:t>as</w:t>
      </w:r>
      <w:r w:rsidR="003D32F7" w:rsidRPr="000A47E6">
        <w:rPr>
          <w:rFonts w:cs="Arial"/>
        </w:rPr>
        <w:t xml:space="preserve"> the result of the psychoanalyst having, as Freud explained,</w:t>
      </w:r>
      <w:r w:rsidR="003D32F7" w:rsidRPr="000A47E6">
        <w:rPr>
          <w:rFonts w:cs="Arial"/>
          <w:lang w:val="en-US"/>
        </w:rPr>
        <w:t xml:space="preserve"> ‘</w:t>
      </w:r>
      <w:r w:rsidR="003D32F7" w:rsidRPr="000A47E6">
        <w:rPr>
          <w:rFonts w:cs="Arial"/>
        </w:rPr>
        <w:t>more material at his command to assist him, since what he is dealing with is not something destroyed but something that is still alive’.</w:t>
      </w:r>
      <w:r w:rsidR="003D32F7" w:rsidRPr="000A47E6">
        <w:rPr>
          <w:rStyle w:val="EndnoteReference"/>
          <w:rFonts w:cs="Arial"/>
        </w:rPr>
        <w:endnoteReference w:id="18"/>
      </w:r>
      <w:r w:rsidR="003D32F7" w:rsidRPr="000A47E6">
        <w:rPr>
          <w:rFonts w:cs="Arial"/>
        </w:rPr>
        <w:t xml:space="preserve"> This living material was vital to Freud’s understanding of psychoanalysis. For Freud, </w:t>
      </w:r>
      <w:r w:rsidR="003D32F7" w:rsidRPr="000A47E6">
        <w:rPr>
          <w:rFonts w:cs="Arial"/>
          <w:lang w:val="en-US"/>
        </w:rPr>
        <w:t>the work of psychoanalysis was to slowly and carefully uncover and ‘translate’ the still living topological traces of fragmented memory or ‘memory images’ within the subject’s memory ‘landscape’.</w:t>
      </w:r>
      <w:r w:rsidR="003D32F7" w:rsidRPr="000A47E6">
        <w:rPr>
          <w:rStyle w:val="EndnoteReference"/>
          <w:rFonts w:cs="Arial"/>
          <w:lang w:val="en-US"/>
        </w:rPr>
        <w:endnoteReference w:id="19"/>
      </w:r>
      <w:r w:rsidR="003D32F7" w:rsidRPr="000A47E6">
        <w:rPr>
          <w:rFonts w:cs="Arial"/>
          <w:lang w:val="en-US"/>
        </w:rPr>
        <w:t xml:space="preserve"> The ‘translation’ of this </w:t>
      </w:r>
      <w:r w:rsidR="003D32F7" w:rsidRPr="000A47E6">
        <w:rPr>
          <w:rFonts w:cs="Arial"/>
          <w:lang w:val="en-US"/>
        </w:rPr>
        <w:lastRenderedPageBreak/>
        <w:t xml:space="preserve">memory landscape is crucial to psychoanalysis. As Freud explained and </w:t>
      </w:r>
      <w:proofErr w:type="spellStart"/>
      <w:r w:rsidR="003D32F7" w:rsidRPr="000A47E6">
        <w:rPr>
          <w:rFonts w:cs="Arial"/>
          <w:lang w:val="en-US"/>
        </w:rPr>
        <w:t>emphasi</w:t>
      </w:r>
      <w:r w:rsidR="007E0AEF">
        <w:rPr>
          <w:rFonts w:cs="Arial"/>
          <w:lang w:val="en-US"/>
        </w:rPr>
        <w:t>s</w:t>
      </w:r>
      <w:r w:rsidR="003D32F7" w:rsidRPr="000A47E6">
        <w:rPr>
          <w:rFonts w:cs="Arial"/>
          <w:lang w:val="en-US"/>
        </w:rPr>
        <w:t>ed</w:t>
      </w:r>
      <w:proofErr w:type="spellEnd"/>
      <w:r w:rsidR="003D32F7" w:rsidRPr="000A47E6">
        <w:rPr>
          <w:rFonts w:cs="Arial"/>
          <w:lang w:val="en-US"/>
        </w:rPr>
        <w:t xml:space="preserve">, memory traces have undergone ‘from time to time a </w:t>
      </w:r>
      <w:r w:rsidR="003D32F7" w:rsidRPr="000A47E6">
        <w:rPr>
          <w:rFonts w:cs="Arial"/>
          <w:i/>
          <w:lang w:val="en-US"/>
        </w:rPr>
        <w:t>rearrangement</w:t>
      </w:r>
      <w:r w:rsidR="003D32F7" w:rsidRPr="000A47E6">
        <w:rPr>
          <w:rFonts w:cs="Arial"/>
          <w:lang w:val="en-US"/>
        </w:rPr>
        <w:t xml:space="preserve"> in accordance with fresh circumstances – to a </w:t>
      </w:r>
      <w:proofErr w:type="spellStart"/>
      <w:r w:rsidR="003D32F7" w:rsidRPr="000A47E6">
        <w:rPr>
          <w:rFonts w:cs="Arial"/>
          <w:i/>
          <w:lang w:val="en-US"/>
        </w:rPr>
        <w:t>retranscription</w:t>
      </w:r>
      <w:proofErr w:type="spellEnd"/>
      <w:r w:rsidR="003D32F7" w:rsidRPr="000A47E6">
        <w:rPr>
          <w:rFonts w:cs="Arial"/>
          <w:lang w:val="en-US"/>
        </w:rPr>
        <w:t xml:space="preserve">’. This means that they are in a constant process of reconfiguration. If a later </w:t>
      </w:r>
      <w:proofErr w:type="spellStart"/>
      <w:r w:rsidR="003D32F7" w:rsidRPr="000A47E6">
        <w:rPr>
          <w:rFonts w:cs="Arial"/>
          <w:lang w:val="en-US"/>
        </w:rPr>
        <w:t>retranscription</w:t>
      </w:r>
      <w:proofErr w:type="spellEnd"/>
      <w:r w:rsidR="003D32F7" w:rsidRPr="000A47E6">
        <w:rPr>
          <w:rFonts w:cs="Arial"/>
          <w:lang w:val="en-US"/>
        </w:rPr>
        <w:t xml:space="preserve"> does not exist, the earlier trace remains and becomes </w:t>
      </w:r>
      <w:proofErr w:type="gramStart"/>
      <w:r w:rsidR="003D32F7" w:rsidRPr="000A47E6">
        <w:rPr>
          <w:rFonts w:cs="Arial"/>
          <w:lang w:val="en-US"/>
        </w:rPr>
        <w:t>an ‘anachronism’</w:t>
      </w:r>
      <w:proofErr w:type="gramEnd"/>
      <w:r w:rsidR="003D32F7" w:rsidRPr="000A47E6">
        <w:rPr>
          <w:rFonts w:cs="Arial"/>
          <w:lang w:val="en-US"/>
        </w:rPr>
        <w:t xml:space="preserve"> </w:t>
      </w:r>
      <w:r w:rsidR="00717D29">
        <w:rPr>
          <w:rFonts w:cs="Arial"/>
          <w:lang w:val="en-US"/>
        </w:rPr>
        <w:t>–</w:t>
      </w:r>
      <w:r w:rsidR="00717D29" w:rsidRPr="000A47E6">
        <w:rPr>
          <w:rFonts w:cs="Arial"/>
          <w:lang w:val="en-US"/>
        </w:rPr>
        <w:t xml:space="preserve"> </w:t>
      </w:r>
      <w:r w:rsidR="003D32F7" w:rsidRPr="000A47E6">
        <w:rPr>
          <w:rFonts w:cs="Arial"/>
          <w:lang w:val="en-US"/>
        </w:rPr>
        <w:t>what Freud called being in the ‘presence of “survivals”’. This is clearly a very dynamic understanding of the mind.</w:t>
      </w:r>
      <w:r w:rsidR="003D32F7" w:rsidRPr="000A47E6">
        <w:rPr>
          <w:rStyle w:val="EndnoteReference"/>
          <w:rFonts w:cs="Arial"/>
          <w:lang w:val="en-US"/>
        </w:rPr>
        <w:endnoteReference w:id="20"/>
      </w:r>
      <w:r w:rsidR="003D32F7" w:rsidRPr="000A47E6">
        <w:rPr>
          <w:rFonts w:cs="Arial"/>
          <w:lang w:val="en-US"/>
        </w:rPr>
        <w:t xml:space="preserve"> Crucially, this also meant that the purpose of psychoanalysis was opposed to that of archaeology. Whereas archaeology </w:t>
      </w:r>
      <w:proofErr w:type="spellStart"/>
      <w:r w:rsidR="003D32F7" w:rsidRPr="000A47E6">
        <w:rPr>
          <w:rFonts w:cs="Arial"/>
          <w:lang w:val="en-US"/>
        </w:rPr>
        <w:t>endeavoured</w:t>
      </w:r>
      <w:proofErr w:type="spellEnd"/>
      <w:r w:rsidR="003D32F7" w:rsidRPr="000A47E6">
        <w:rPr>
          <w:rFonts w:cs="Arial"/>
          <w:lang w:val="en-US"/>
        </w:rPr>
        <w:t xml:space="preserve"> to hold still the excavated fragments so as to configure a total knowledge of the past, psychoanalysis </w:t>
      </w:r>
      <w:proofErr w:type="spellStart"/>
      <w:r w:rsidR="003D32F7" w:rsidRPr="000A47E6">
        <w:rPr>
          <w:rFonts w:cs="Arial"/>
          <w:lang w:val="en-US"/>
        </w:rPr>
        <w:t>recogni</w:t>
      </w:r>
      <w:r w:rsidR="00717D29">
        <w:rPr>
          <w:rFonts w:cs="Arial"/>
          <w:lang w:val="en-US"/>
        </w:rPr>
        <w:t>s</w:t>
      </w:r>
      <w:r w:rsidR="003D32F7" w:rsidRPr="000A47E6">
        <w:rPr>
          <w:rFonts w:cs="Arial"/>
          <w:lang w:val="en-US"/>
        </w:rPr>
        <w:t>ed</w:t>
      </w:r>
      <w:proofErr w:type="spellEnd"/>
      <w:r w:rsidR="003D32F7" w:rsidRPr="000A47E6">
        <w:rPr>
          <w:rFonts w:cs="Arial"/>
          <w:lang w:val="en-US"/>
        </w:rPr>
        <w:t xml:space="preserve"> this impossibility. This is why art historian Whitney Davis has called psychoanalysis a ‘not-archaeology’.</w:t>
      </w:r>
      <w:r w:rsidR="003D32F7" w:rsidRPr="000A47E6">
        <w:rPr>
          <w:rStyle w:val="EndnoteReference"/>
          <w:rFonts w:cs="Arial"/>
          <w:lang w:val="en-US"/>
        </w:rPr>
        <w:endnoteReference w:id="21"/>
      </w:r>
      <w:r w:rsidR="003D32F7" w:rsidRPr="000A47E6">
        <w:rPr>
          <w:rFonts w:cs="Arial"/>
          <w:lang w:val="en-US"/>
        </w:rPr>
        <w:t xml:space="preserve"> Psychoanalysis is a process of translating, deciphering and piecing together the ever-changing fragments and images from our past. In psychoanalysis we undertake this archaeological </w:t>
      </w:r>
      <w:proofErr w:type="spellStart"/>
      <w:r w:rsidR="003D32F7" w:rsidRPr="000A47E6">
        <w:rPr>
          <w:rFonts w:cs="Arial"/>
          <w:lang w:val="en-US"/>
        </w:rPr>
        <w:t>labour</w:t>
      </w:r>
      <w:proofErr w:type="spellEnd"/>
      <w:r w:rsidR="003D32F7" w:rsidRPr="000A47E6">
        <w:rPr>
          <w:rFonts w:cs="Arial"/>
          <w:lang w:val="en-US"/>
        </w:rPr>
        <w:t xml:space="preserve"> knowing that the process will never offer us a totality of any kind, nor would we aspire to </w:t>
      </w:r>
      <w:r w:rsidR="00B115D7">
        <w:rPr>
          <w:rFonts w:cs="Arial"/>
          <w:lang w:val="en-US"/>
        </w:rPr>
        <w:t>achieving one</w:t>
      </w:r>
      <w:r w:rsidR="003D32F7" w:rsidRPr="000A47E6">
        <w:rPr>
          <w:rFonts w:cs="Arial"/>
          <w:lang w:val="en-US"/>
        </w:rPr>
        <w:t xml:space="preserve">. </w:t>
      </w:r>
    </w:p>
    <w:p w14:paraId="5004FE6F" w14:textId="77777777" w:rsidR="003D32F7" w:rsidRDefault="003D32F7" w:rsidP="00F76E63">
      <w:pPr>
        <w:spacing w:line="360" w:lineRule="auto"/>
        <w:rPr>
          <w:rFonts w:cs="Arial"/>
        </w:rPr>
      </w:pPr>
    </w:p>
    <w:p w14:paraId="7C15613F" w14:textId="3F445E5A" w:rsidR="003D32F7" w:rsidRPr="000A47E6" w:rsidRDefault="003D32F7" w:rsidP="00F76E63">
      <w:pPr>
        <w:spacing w:line="360" w:lineRule="auto"/>
        <w:rPr>
          <w:rFonts w:cs="Arial"/>
        </w:rPr>
      </w:pPr>
      <w:r w:rsidRPr="000A47E6">
        <w:rPr>
          <w:rFonts w:cs="Arial"/>
        </w:rPr>
        <w:t>Hiller and Freud found, collected, organi</w:t>
      </w:r>
      <w:r w:rsidR="00717D29">
        <w:rPr>
          <w:rFonts w:cs="Arial"/>
        </w:rPr>
        <w:t>s</w:t>
      </w:r>
      <w:r w:rsidRPr="000A47E6">
        <w:rPr>
          <w:rFonts w:cs="Arial"/>
        </w:rPr>
        <w:t>ed, conserved and chose what was to be included in their collection;</w:t>
      </w:r>
      <w:r w:rsidR="00B115D7">
        <w:rPr>
          <w:rFonts w:cs="Arial"/>
        </w:rPr>
        <w:t xml:space="preserve"> in both cases,</w:t>
      </w:r>
      <w:r w:rsidRPr="000A47E6">
        <w:rPr>
          <w:rFonts w:cs="Arial"/>
        </w:rPr>
        <w:t xml:space="preserve"> a collection that was once private </w:t>
      </w:r>
      <w:r w:rsidR="00B115D7">
        <w:rPr>
          <w:rFonts w:cs="Arial"/>
        </w:rPr>
        <w:t>subsequently</w:t>
      </w:r>
      <w:r w:rsidR="00B115D7" w:rsidRPr="000A47E6">
        <w:rPr>
          <w:rFonts w:cs="Arial"/>
        </w:rPr>
        <w:t xml:space="preserve"> </w:t>
      </w:r>
      <w:r w:rsidRPr="000A47E6">
        <w:rPr>
          <w:rFonts w:cs="Arial"/>
        </w:rPr>
        <w:t xml:space="preserve">became public. Hiller’s installation was an index of historical and cultural beginnings and crises as embodied in objects that </w:t>
      </w:r>
      <w:r w:rsidR="00717D29">
        <w:rPr>
          <w:rFonts w:cs="Arial"/>
        </w:rPr>
        <w:t>we</w:t>
      </w:r>
      <w:r w:rsidRPr="000A47E6">
        <w:rPr>
          <w:rFonts w:cs="Arial"/>
        </w:rPr>
        <w:t xml:space="preserve">re no longer of any seeming use or value. </w:t>
      </w:r>
      <w:r w:rsidR="00537497">
        <w:rPr>
          <w:rFonts w:cs="Arial"/>
        </w:rPr>
        <w:t xml:space="preserve">For instance, in </w:t>
      </w:r>
      <w:proofErr w:type="spellStart"/>
      <w:r w:rsidR="00537497" w:rsidRPr="00F76E63">
        <w:rPr>
          <w:rFonts w:cs="Arial"/>
          <w:i/>
        </w:rPr>
        <w:t>Euxn</w:t>
      </w:r>
      <w:proofErr w:type="spellEnd"/>
      <w:r w:rsidR="00537497" w:rsidRPr="00F76E63">
        <w:rPr>
          <w:rFonts w:cs="Arial"/>
          <w:i/>
        </w:rPr>
        <w:t xml:space="preserve"> [</w:t>
      </w:r>
      <w:proofErr w:type="spellStart"/>
      <w:r w:rsidR="00537497" w:rsidRPr="00F76E63">
        <w:rPr>
          <w:rFonts w:cs="Arial"/>
          <w:i/>
          <w:highlight w:val="yellow"/>
        </w:rPr>
        <w:t>greek</w:t>
      </w:r>
      <w:proofErr w:type="spellEnd"/>
      <w:r w:rsidR="006F2D68" w:rsidRPr="00F76E63">
        <w:rPr>
          <w:rFonts w:cs="Arial"/>
          <w:i/>
          <w:highlight w:val="yellow"/>
        </w:rPr>
        <w:t xml:space="preserve"> characters</w:t>
      </w:r>
      <w:r w:rsidR="00537497" w:rsidRPr="00F76E63">
        <w:rPr>
          <w:rFonts w:cs="Arial"/>
          <w:i/>
        </w:rPr>
        <w:t>] / prayer</w:t>
      </w:r>
      <w:r w:rsidR="00537497">
        <w:rPr>
          <w:rFonts w:cs="Arial"/>
        </w:rPr>
        <w:t>, Hiller has placed a</w:t>
      </w:r>
      <w:r w:rsidR="006F2D68">
        <w:rPr>
          <w:rFonts w:cs="Arial"/>
        </w:rPr>
        <w:t xml:space="preserve"> schematic</w:t>
      </w:r>
      <w:r w:rsidR="00537497">
        <w:rPr>
          <w:rFonts w:cs="Arial"/>
        </w:rPr>
        <w:t xml:space="preserve"> map of Greece </w:t>
      </w:r>
      <w:r w:rsidR="006F2D68">
        <w:rPr>
          <w:rFonts w:cs="Arial"/>
        </w:rPr>
        <w:t xml:space="preserve">above a group of </w:t>
      </w:r>
      <w:r w:rsidR="00537497" w:rsidRPr="00165442">
        <w:rPr>
          <w:rFonts w:ascii="Arial" w:hAnsi="Arial" w:cs="Arial"/>
          <w:sz w:val="20"/>
          <w:szCs w:val="20"/>
        </w:rPr>
        <w:t xml:space="preserve">pebbles </w:t>
      </w:r>
      <w:r w:rsidR="006F2D68">
        <w:rPr>
          <w:rFonts w:ascii="Arial" w:hAnsi="Arial" w:cs="Arial"/>
          <w:sz w:val="20"/>
          <w:szCs w:val="20"/>
        </w:rPr>
        <w:t>the artist picked up when she travelled to the</w:t>
      </w:r>
      <w:r w:rsidR="00537497" w:rsidRPr="00165442">
        <w:rPr>
          <w:rFonts w:ascii="Arial" w:hAnsi="Arial" w:cs="Arial"/>
          <w:sz w:val="20"/>
          <w:szCs w:val="20"/>
        </w:rPr>
        <w:t xml:space="preserve"> cave at the bottom of the Mani peninsula</w:t>
      </w:r>
      <w:r w:rsidR="00537497">
        <w:rPr>
          <w:rFonts w:ascii="Arial" w:hAnsi="Arial" w:cs="Arial"/>
          <w:sz w:val="20"/>
          <w:szCs w:val="20"/>
        </w:rPr>
        <w:t xml:space="preserve">, near </w:t>
      </w:r>
      <w:proofErr w:type="spellStart"/>
      <w:r w:rsidR="00537497">
        <w:rPr>
          <w:rFonts w:ascii="Arial" w:hAnsi="Arial" w:cs="Arial"/>
          <w:sz w:val="20"/>
          <w:szCs w:val="20"/>
        </w:rPr>
        <w:t>Vathia</w:t>
      </w:r>
      <w:proofErr w:type="spellEnd"/>
      <w:r w:rsidR="00537497" w:rsidRPr="00165442">
        <w:rPr>
          <w:rFonts w:ascii="Arial" w:hAnsi="Arial" w:cs="Arial"/>
          <w:sz w:val="20"/>
          <w:szCs w:val="20"/>
        </w:rPr>
        <w:t xml:space="preserve"> where Aeneas is said to </w:t>
      </w:r>
      <w:r w:rsidR="00537497">
        <w:rPr>
          <w:rFonts w:ascii="Arial" w:hAnsi="Arial" w:cs="Arial"/>
          <w:sz w:val="20"/>
          <w:szCs w:val="20"/>
        </w:rPr>
        <w:t xml:space="preserve">have </w:t>
      </w:r>
      <w:r w:rsidR="00537497" w:rsidRPr="00165442">
        <w:rPr>
          <w:rFonts w:ascii="Arial" w:hAnsi="Arial" w:cs="Arial"/>
          <w:sz w:val="20"/>
          <w:szCs w:val="20"/>
        </w:rPr>
        <w:t>enter</w:t>
      </w:r>
      <w:r w:rsidR="00537497">
        <w:rPr>
          <w:rFonts w:ascii="Arial" w:hAnsi="Arial" w:cs="Arial"/>
          <w:sz w:val="20"/>
          <w:szCs w:val="20"/>
        </w:rPr>
        <w:t>ed</w:t>
      </w:r>
      <w:r w:rsidR="00537497" w:rsidRPr="00165442">
        <w:rPr>
          <w:rFonts w:ascii="Arial" w:hAnsi="Arial" w:cs="Arial"/>
          <w:sz w:val="20"/>
          <w:szCs w:val="20"/>
        </w:rPr>
        <w:t xml:space="preserve"> the Underworld</w:t>
      </w:r>
      <w:r w:rsidR="006F2D68">
        <w:rPr>
          <w:rFonts w:ascii="Arial" w:hAnsi="Arial" w:cs="Arial"/>
          <w:sz w:val="20"/>
          <w:szCs w:val="20"/>
        </w:rPr>
        <w:t xml:space="preserve"> taking us back to Ancient Greece and its mythologies. O</w:t>
      </w:r>
      <w:r w:rsidR="00537497">
        <w:rPr>
          <w:rFonts w:ascii="Arial" w:hAnsi="Arial" w:cs="Arial"/>
          <w:sz w:val="20"/>
          <w:szCs w:val="20"/>
        </w:rPr>
        <w:t xml:space="preserve">r the box </w:t>
      </w:r>
      <w:proofErr w:type="spellStart"/>
      <w:r w:rsidR="00537497" w:rsidRPr="00F76E63">
        <w:rPr>
          <w:rFonts w:ascii="Arial" w:hAnsi="Arial" w:cs="Arial"/>
          <w:i/>
          <w:sz w:val="20"/>
          <w:szCs w:val="20"/>
        </w:rPr>
        <w:t>A’shiwi</w:t>
      </w:r>
      <w:proofErr w:type="spellEnd"/>
      <w:r w:rsidR="00537497" w:rsidRPr="00F76E63">
        <w:rPr>
          <w:rFonts w:ascii="Arial" w:hAnsi="Arial" w:cs="Arial"/>
          <w:i/>
          <w:sz w:val="20"/>
          <w:szCs w:val="20"/>
        </w:rPr>
        <w:t xml:space="preserve"> / native</w:t>
      </w:r>
      <w:r w:rsidR="00537497">
        <w:rPr>
          <w:rFonts w:ascii="Arial" w:hAnsi="Arial" w:cs="Arial"/>
          <w:sz w:val="20"/>
          <w:szCs w:val="20"/>
        </w:rPr>
        <w:t xml:space="preserve"> where we find Native American potsherds in polythene bags, alongside </w:t>
      </w:r>
      <w:r w:rsidR="00537497" w:rsidRPr="00165442">
        <w:rPr>
          <w:rFonts w:ascii="Arial" w:hAnsi="Arial" w:cs="Arial"/>
          <w:sz w:val="20"/>
          <w:szCs w:val="20"/>
        </w:rPr>
        <w:t>a photocopy of a poem from an American primary schoolbook on the d</w:t>
      </w:r>
      <w:r w:rsidR="00537497">
        <w:rPr>
          <w:rFonts w:ascii="Arial" w:hAnsi="Arial" w:cs="Arial"/>
          <w:sz w:val="20"/>
          <w:szCs w:val="20"/>
        </w:rPr>
        <w:t>isappearance of Native children</w:t>
      </w:r>
      <w:r w:rsidR="006F2D68">
        <w:rPr>
          <w:rFonts w:ascii="Arial" w:hAnsi="Arial" w:cs="Arial"/>
          <w:sz w:val="20"/>
          <w:szCs w:val="20"/>
        </w:rPr>
        <w:t xml:space="preserve"> during a dark period in US history. Or</w:t>
      </w:r>
      <w:r w:rsidR="00537497">
        <w:rPr>
          <w:rFonts w:ascii="Arial" w:hAnsi="Arial" w:cs="Arial"/>
          <w:sz w:val="20"/>
          <w:szCs w:val="20"/>
        </w:rPr>
        <w:t xml:space="preserve"> the box </w:t>
      </w:r>
      <w:proofErr w:type="spellStart"/>
      <w:r w:rsidR="00537497" w:rsidRPr="00F76E63">
        <w:rPr>
          <w:rFonts w:ascii="Arial" w:hAnsi="Arial" w:cs="Arial"/>
          <w:i/>
          <w:sz w:val="20"/>
          <w:szCs w:val="20"/>
        </w:rPr>
        <w:t>Fatlad</w:t>
      </w:r>
      <w:proofErr w:type="spellEnd"/>
      <w:r w:rsidR="00537497" w:rsidRPr="00F76E63">
        <w:rPr>
          <w:rFonts w:ascii="Arial" w:hAnsi="Arial" w:cs="Arial"/>
          <w:i/>
          <w:sz w:val="20"/>
          <w:szCs w:val="20"/>
        </w:rPr>
        <w:t xml:space="preserve"> / fat lad</w:t>
      </w:r>
      <w:r w:rsidR="00537497">
        <w:rPr>
          <w:rFonts w:ascii="Arial" w:hAnsi="Arial" w:cs="Arial"/>
          <w:sz w:val="20"/>
          <w:szCs w:val="20"/>
        </w:rPr>
        <w:t xml:space="preserve">, </w:t>
      </w:r>
      <w:r w:rsidR="006F2D68">
        <w:rPr>
          <w:rFonts w:ascii="Arial" w:hAnsi="Arial" w:cs="Arial"/>
          <w:sz w:val="20"/>
          <w:szCs w:val="20"/>
        </w:rPr>
        <w:t xml:space="preserve">where </w:t>
      </w:r>
      <w:r w:rsidR="00537497">
        <w:rPr>
          <w:rFonts w:ascii="Arial" w:hAnsi="Arial" w:cs="Arial"/>
          <w:sz w:val="20"/>
          <w:szCs w:val="20"/>
        </w:rPr>
        <w:t xml:space="preserve">Hiller included earth she had collected in each of the six counties of Northern Ireland also in polythene bags, below </w:t>
      </w:r>
      <w:r w:rsidR="00537497" w:rsidRPr="00165442">
        <w:rPr>
          <w:rFonts w:ascii="Arial" w:hAnsi="Arial" w:cs="Arial"/>
          <w:sz w:val="20"/>
          <w:szCs w:val="20"/>
        </w:rPr>
        <w:t xml:space="preserve">a photocopy of a photograph </w:t>
      </w:r>
      <w:r w:rsidR="00537497">
        <w:rPr>
          <w:rFonts w:ascii="Arial" w:hAnsi="Arial" w:cs="Arial"/>
          <w:sz w:val="20"/>
          <w:szCs w:val="20"/>
        </w:rPr>
        <w:t>of a Belfast street scene with the</w:t>
      </w:r>
      <w:r w:rsidR="00537497" w:rsidRPr="00165442">
        <w:rPr>
          <w:rFonts w:ascii="Arial" w:hAnsi="Arial" w:cs="Arial"/>
          <w:sz w:val="20"/>
          <w:szCs w:val="20"/>
        </w:rPr>
        <w:t xml:space="preserve"> caption ‘Bombs o</w:t>
      </w:r>
      <w:r w:rsidR="006F2D68">
        <w:rPr>
          <w:rFonts w:ascii="Arial" w:hAnsi="Arial" w:cs="Arial"/>
          <w:sz w:val="20"/>
          <w:szCs w:val="20"/>
        </w:rPr>
        <w:t>r No Bombs – Business as Usual’ referring us to the long history of the ‘troubles’ in Ireland.</w:t>
      </w:r>
      <w:r w:rsidR="00537497" w:rsidRPr="00165442">
        <w:rPr>
          <w:rFonts w:ascii="Arial" w:hAnsi="Arial" w:cs="Arial"/>
          <w:sz w:val="20"/>
          <w:szCs w:val="20"/>
        </w:rPr>
        <w:t xml:space="preserve"> </w:t>
      </w:r>
      <w:r w:rsidRPr="000A47E6">
        <w:rPr>
          <w:rFonts w:cs="Arial"/>
        </w:rPr>
        <w:t>As for Freud, it is helpful to turn to the work of psychoanalyst Adam Phillips, specifically when he informs us that through the Freud’s collection and work,  ‘[</w:t>
      </w:r>
      <w:proofErr w:type="gramStart"/>
      <w:r w:rsidRPr="000A47E6">
        <w:rPr>
          <w:rFonts w:cs="Arial"/>
        </w:rPr>
        <w:t>t]he</w:t>
      </w:r>
      <w:proofErr w:type="gramEnd"/>
      <w:r w:rsidRPr="000A47E6">
        <w:rPr>
          <w:rFonts w:cs="Arial"/>
        </w:rPr>
        <w:t xml:space="preserve"> Enlightenment Freud wants to tell us what we have in common; [but] the post-Freudian Freud, his collaborative antagonist, is the connoisseur of anomalies’.</w:t>
      </w:r>
      <w:r w:rsidRPr="000A47E6">
        <w:rPr>
          <w:rStyle w:val="EndnoteReference"/>
          <w:rFonts w:cs="Arial"/>
        </w:rPr>
        <w:endnoteReference w:id="22"/>
      </w:r>
      <w:r w:rsidRPr="000A47E6">
        <w:rPr>
          <w:rFonts w:cs="Arial"/>
        </w:rPr>
        <w:t xml:space="preserve"> For Hiller, nothing but the structure of each box was consistent</w:t>
      </w:r>
      <w:r w:rsidR="00717D29">
        <w:rPr>
          <w:rFonts w:cs="Arial"/>
        </w:rPr>
        <w:t>;</w:t>
      </w:r>
      <w:r w:rsidRPr="000A47E6">
        <w:rPr>
          <w:rFonts w:cs="Arial"/>
        </w:rPr>
        <w:t xml:space="preserve"> all that they contained were serendipitous objects that later, through an archaeological method, came to have meaning. In light of this artistic intervention, and Phillips’</w:t>
      </w:r>
      <w:r w:rsidR="00717D29">
        <w:rPr>
          <w:rFonts w:cs="Arial"/>
        </w:rPr>
        <w:t>s</w:t>
      </w:r>
      <w:r w:rsidRPr="000A47E6">
        <w:rPr>
          <w:rFonts w:cs="Arial"/>
        </w:rPr>
        <w:t xml:space="preserve"> provocation, perhaps Freud’s collection may be understood</w:t>
      </w:r>
      <w:r w:rsidR="00142D94">
        <w:rPr>
          <w:rFonts w:cs="Arial"/>
        </w:rPr>
        <w:t>,</w:t>
      </w:r>
      <w:r w:rsidRPr="000A47E6">
        <w:rPr>
          <w:rFonts w:cs="Arial"/>
        </w:rPr>
        <w:t xml:space="preserve"> on the one hand,</w:t>
      </w:r>
      <w:r w:rsidR="00142D94">
        <w:rPr>
          <w:rFonts w:cs="Arial"/>
        </w:rPr>
        <w:t xml:space="preserve"> as</w:t>
      </w:r>
      <w:r w:rsidRPr="000A47E6">
        <w:rPr>
          <w:rFonts w:cs="Arial"/>
        </w:rPr>
        <w:t xml:space="preserve"> an archive of our commonalities discovered through Western culture’s celebration (and often through its coloni</w:t>
      </w:r>
      <w:r w:rsidR="00717D29">
        <w:rPr>
          <w:rFonts w:cs="Arial"/>
        </w:rPr>
        <w:t>s</w:t>
      </w:r>
      <w:r w:rsidRPr="000A47E6">
        <w:rPr>
          <w:rFonts w:cs="Arial"/>
        </w:rPr>
        <w:t>ation) of the ancient world’s achievements</w:t>
      </w:r>
      <w:r w:rsidR="00DE32DF">
        <w:rPr>
          <w:rFonts w:cs="Arial"/>
        </w:rPr>
        <w:t xml:space="preserve"> which,</w:t>
      </w:r>
      <w:r w:rsidRPr="000A47E6">
        <w:rPr>
          <w:rFonts w:cs="Arial"/>
        </w:rPr>
        <w:t xml:space="preserve"> buried and revealed, enabled Freud to understand the human subject and the practice of psychoanalysis.</w:t>
      </w:r>
      <w:r w:rsidRPr="000A47E6">
        <w:rPr>
          <w:rStyle w:val="EndnoteReference"/>
          <w:rFonts w:cs="Arial"/>
        </w:rPr>
        <w:endnoteReference w:id="23"/>
      </w:r>
      <w:r w:rsidRPr="000A47E6">
        <w:rPr>
          <w:rFonts w:cs="Arial"/>
        </w:rPr>
        <w:t xml:space="preserve"> On the other hand, the </w:t>
      </w:r>
      <w:r w:rsidRPr="000A47E6">
        <w:rPr>
          <w:rFonts w:cs="Arial"/>
        </w:rPr>
        <w:lastRenderedPageBreak/>
        <w:t>collection is also a compilation of ‘anomalies’ that like Hiller’s work did not provide us with a linear teleology of cultural and historical progression.</w:t>
      </w:r>
      <w:r w:rsidRPr="000A47E6">
        <w:rPr>
          <w:rStyle w:val="EndnoteReference"/>
          <w:rFonts w:cs="Arial"/>
        </w:rPr>
        <w:endnoteReference w:id="24"/>
      </w:r>
      <w:r w:rsidRPr="000A47E6">
        <w:rPr>
          <w:rFonts w:cs="Arial"/>
        </w:rPr>
        <w:t xml:space="preserve"> As art historian Jack J. Spector notes:</w:t>
      </w:r>
    </w:p>
    <w:p w14:paraId="5B40B37C" w14:textId="77777777" w:rsidR="003D32F7" w:rsidRPr="000A47E6" w:rsidRDefault="003D32F7" w:rsidP="00F76E63">
      <w:pPr>
        <w:spacing w:line="360" w:lineRule="auto"/>
        <w:ind w:firstLine="720"/>
        <w:rPr>
          <w:rFonts w:cs="Arial"/>
        </w:rPr>
      </w:pPr>
    </w:p>
    <w:p w14:paraId="5C3270CA" w14:textId="0FD5A5AA" w:rsidR="003D32F7" w:rsidRPr="000A47E6" w:rsidRDefault="003D32F7" w:rsidP="00F76E63">
      <w:pPr>
        <w:spacing w:line="360" w:lineRule="auto"/>
        <w:ind w:left="567" w:right="787"/>
        <w:rPr>
          <w:rFonts w:cs="Arial"/>
        </w:rPr>
      </w:pPr>
      <w:r w:rsidRPr="000A47E6">
        <w:rPr>
          <w:rFonts w:cs="Arial"/>
        </w:rPr>
        <w:t>The guiding principle by which Freud put his collection together was personal taste rather than any systematic interest in the objects. This becomes clear not only from the almost random heaps of objects, but from the surprising gaps and jumps from period to period and culture to culture; indeed, one’s first impression is that these objects have in common only their apparent great age and the remoteness of their origins … While Freud knew the value and background of most of his pieces, he was not driven by a narrow interest in one area, nor by the expert’s compulsion to gather all of the types in his special field.</w:t>
      </w:r>
      <w:r w:rsidRPr="000A47E6">
        <w:rPr>
          <w:rStyle w:val="EndnoteReference"/>
          <w:rFonts w:cs="Arial"/>
        </w:rPr>
        <w:endnoteReference w:id="25"/>
      </w:r>
      <w:r w:rsidRPr="000A47E6">
        <w:rPr>
          <w:rFonts w:cs="Arial"/>
        </w:rPr>
        <w:t xml:space="preserve"> </w:t>
      </w:r>
    </w:p>
    <w:p w14:paraId="161DDFEF" w14:textId="77777777" w:rsidR="003D32F7" w:rsidRPr="000A47E6" w:rsidRDefault="003D32F7" w:rsidP="00F76E63">
      <w:pPr>
        <w:spacing w:line="360" w:lineRule="auto"/>
        <w:rPr>
          <w:rFonts w:cs="Arial"/>
        </w:rPr>
      </w:pPr>
    </w:p>
    <w:p w14:paraId="6A463926" w14:textId="4A8497E3" w:rsidR="005E3BB2" w:rsidRPr="00EF5552" w:rsidRDefault="003D32F7" w:rsidP="00F76E63">
      <w:pPr>
        <w:spacing w:line="360" w:lineRule="auto"/>
        <w:rPr>
          <w:rFonts w:cstheme="minorHAnsi"/>
          <w:b/>
        </w:rPr>
      </w:pPr>
      <w:r w:rsidRPr="000A47E6">
        <w:rPr>
          <w:rFonts w:cs="Arial"/>
        </w:rPr>
        <w:t xml:space="preserve">Freud’s unclassified, spontaneous, non-serial mode of collecting as a practice and process was personally motivated, his taste was eclectic and his enjoyment was private. Hiller’s </w:t>
      </w:r>
      <w:r w:rsidRPr="000A47E6">
        <w:rPr>
          <w:rFonts w:cs="Arial"/>
          <w:i/>
        </w:rPr>
        <w:t>At the Freud Museum</w:t>
      </w:r>
      <w:r w:rsidR="009D570E">
        <w:rPr>
          <w:rFonts w:cs="Arial"/>
        </w:rPr>
        <w:t xml:space="preserve">, and the subsequent </w:t>
      </w:r>
      <w:r w:rsidR="009D570E">
        <w:rPr>
          <w:rFonts w:cs="Arial"/>
          <w:i/>
        </w:rPr>
        <w:t>From the Freud Museum</w:t>
      </w:r>
      <w:r w:rsidR="009D570E">
        <w:rPr>
          <w:rFonts w:cs="Arial"/>
        </w:rPr>
        <w:t>,</w:t>
      </w:r>
      <w:r w:rsidRPr="000A47E6">
        <w:rPr>
          <w:rFonts w:cs="Arial"/>
        </w:rPr>
        <w:t xml:space="preserve"> shared this motivation</w:t>
      </w:r>
      <w:r w:rsidR="00DE32DF">
        <w:rPr>
          <w:rFonts w:cs="Arial"/>
        </w:rPr>
        <w:t xml:space="preserve">. </w:t>
      </w:r>
      <w:r w:rsidR="00261242">
        <w:rPr>
          <w:rFonts w:cs="Arial"/>
        </w:rPr>
        <w:t>The mini-museums of both</w:t>
      </w:r>
      <w:r w:rsidRPr="000A47E6">
        <w:rPr>
          <w:rFonts w:cs="Arial"/>
        </w:rPr>
        <w:t xml:space="preserve"> </w:t>
      </w:r>
      <w:r w:rsidR="00261242">
        <w:rPr>
          <w:rFonts w:cs="Arial"/>
        </w:rPr>
        <w:t xml:space="preserve">Freud and Hiller </w:t>
      </w:r>
      <w:r w:rsidRPr="000A47E6">
        <w:rPr>
          <w:rFonts w:cs="Arial"/>
        </w:rPr>
        <w:t>w</w:t>
      </w:r>
      <w:r w:rsidR="00261242">
        <w:rPr>
          <w:rFonts w:cs="Arial"/>
        </w:rPr>
        <w:t>ere each</w:t>
      </w:r>
      <w:r w:rsidRPr="000A47E6">
        <w:rPr>
          <w:rFonts w:cs="Arial"/>
        </w:rPr>
        <w:t xml:space="preserve"> the result of the collector’s desire. Each of these two collections functioned as a museum of curiosities, rather than a ‘proper’ collection. Each materially manifested the individual </w:t>
      </w:r>
      <w:r w:rsidR="00142D94" w:rsidRPr="000A47E6">
        <w:rPr>
          <w:rFonts w:cs="Arial"/>
        </w:rPr>
        <w:t xml:space="preserve">collector’s </w:t>
      </w:r>
      <w:r w:rsidRPr="000A47E6">
        <w:rPr>
          <w:rFonts w:cs="Arial"/>
        </w:rPr>
        <w:t>understanding of culture and</w:t>
      </w:r>
      <w:r w:rsidR="00142D94">
        <w:rPr>
          <w:rFonts w:cs="Arial"/>
        </w:rPr>
        <w:t xml:space="preserve"> of</w:t>
      </w:r>
      <w:r w:rsidRPr="000A47E6">
        <w:rPr>
          <w:rFonts w:cs="Arial"/>
        </w:rPr>
        <w:t xml:space="preserve"> collecting</w:t>
      </w:r>
      <w:r w:rsidR="00DE32DF">
        <w:rPr>
          <w:rFonts w:cs="Arial"/>
        </w:rPr>
        <w:t>.</w:t>
      </w:r>
      <w:r w:rsidR="00DE32DF" w:rsidRPr="00DE32DF">
        <w:rPr>
          <w:rFonts w:cs="Arial"/>
        </w:rPr>
        <w:t xml:space="preserve"> </w:t>
      </w:r>
      <w:r w:rsidR="00DE32DF" w:rsidRPr="000A47E6">
        <w:rPr>
          <w:rFonts w:cs="Arial"/>
        </w:rPr>
        <w:t xml:space="preserve">Perhaps philosopher Jean </w:t>
      </w:r>
      <w:proofErr w:type="spellStart"/>
      <w:r w:rsidR="00DE32DF" w:rsidRPr="000A47E6">
        <w:rPr>
          <w:rFonts w:cs="Arial"/>
        </w:rPr>
        <w:t>Baudrillard</w:t>
      </w:r>
      <w:proofErr w:type="spellEnd"/>
      <w:r w:rsidR="00DE32DF" w:rsidRPr="000A47E6">
        <w:rPr>
          <w:rFonts w:cs="Arial"/>
        </w:rPr>
        <w:t xml:space="preserve"> was correct when he informed us that ‘it is invariably </w:t>
      </w:r>
      <w:r w:rsidR="00DE32DF" w:rsidRPr="000A47E6">
        <w:rPr>
          <w:rFonts w:cs="Arial"/>
          <w:i/>
        </w:rPr>
        <w:t>oneself</w:t>
      </w:r>
      <w:r w:rsidR="00DE32DF">
        <w:rPr>
          <w:rFonts w:cs="Arial"/>
        </w:rPr>
        <w:t xml:space="preserve"> that one collects’</w:t>
      </w:r>
      <w:r w:rsidRPr="000A47E6">
        <w:rPr>
          <w:rFonts w:cs="Arial"/>
        </w:rPr>
        <w:t>.</w:t>
      </w:r>
      <w:r w:rsidRPr="000A47E6">
        <w:rPr>
          <w:rStyle w:val="EndnoteReference"/>
          <w:rFonts w:cs="Arial"/>
        </w:rPr>
        <w:endnoteReference w:id="26"/>
      </w:r>
      <w:r w:rsidRPr="000A47E6">
        <w:rPr>
          <w:rFonts w:cs="Arial"/>
        </w:rPr>
        <w:t xml:space="preserve"> And like the psychoanalytic process itself, and Hiller’s installation, their collecting habits were not about conferring authenticity upon the past, but </w:t>
      </w:r>
      <w:r w:rsidR="00142D94">
        <w:rPr>
          <w:rFonts w:cs="Arial"/>
        </w:rPr>
        <w:t xml:space="preserve">about </w:t>
      </w:r>
      <w:r w:rsidRPr="000A47E6">
        <w:rPr>
          <w:rFonts w:cs="Arial"/>
        </w:rPr>
        <w:t>understanding our changing self in the present.</w:t>
      </w:r>
    </w:p>
    <w:bookmarkEnd w:id="0"/>
    <w:sectPr w:rsidR="005E3BB2" w:rsidRPr="00EF5552">
      <w:footerReference w:type="default" r:id="rId11"/>
      <w:endnotePr>
        <w:numFmt w:val="decimal"/>
        <w:numRestart w:val="eachSect"/>
      </w:endnotePr>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B44CAF" w15:done="0"/>
  <w15:commentEx w15:paraId="7E03B3E7" w15:done="0"/>
  <w15:commentEx w15:paraId="18338A28" w15:done="0"/>
  <w15:commentEx w15:paraId="6FE4B9AA" w15:done="0"/>
  <w15:commentEx w15:paraId="7EB8FB4B" w15:done="0"/>
  <w15:commentEx w15:paraId="05F28788" w15:done="0"/>
  <w15:commentEx w15:paraId="1D8DA741" w15:done="0"/>
  <w15:commentEx w15:paraId="7BA15155" w15:done="0"/>
  <w15:commentEx w15:paraId="098B891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C7152" w14:textId="77777777" w:rsidR="00537497" w:rsidRDefault="00537497" w:rsidP="00BC62D6">
      <w:r>
        <w:separator/>
      </w:r>
    </w:p>
  </w:endnote>
  <w:endnote w:type="continuationSeparator" w:id="0">
    <w:p w14:paraId="69BCB519" w14:textId="77777777" w:rsidR="00537497" w:rsidRDefault="00537497" w:rsidP="00BC62D6">
      <w:r>
        <w:continuationSeparator/>
      </w:r>
    </w:p>
  </w:endnote>
  <w:endnote w:id="1">
    <w:p w14:paraId="430859D3" w14:textId="326ACED7" w:rsidR="00537497" w:rsidRPr="00374260" w:rsidRDefault="00537497">
      <w:pPr>
        <w:pStyle w:val="EndnoteText"/>
        <w:rPr>
          <w:b/>
        </w:rPr>
      </w:pPr>
      <w:r>
        <w:rPr>
          <w:b/>
        </w:rPr>
        <w:t>Notes</w:t>
      </w:r>
    </w:p>
    <w:p w14:paraId="2A04CB1B" w14:textId="5BC3B568" w:rsidR="00537497" w:rsidRDefault="00537497">
      <w:pPr>
        <w:pStyle w:val="EndnoteText"/>
      </w:pPr>
      <w:r>
        <w:rPr>
          <w:rStyle w:val="EndnoteReference"/>
        </w:rPr>
        <w:endnoteRef/>
      </w:r>
      <w:r>
        <w:t xml:space="preserve"> For a wider discussion of contemporary artists’ interventions in the Freud Museum since 1989, see </w:t>
      </w:r>
      <w:r w:rsidRPr="00F76E63">
        <w:rPr>
          <w:rFonts w:ascii="Calibri" w:hAnsi="Calibri"/>
        </w:rPr>
        <w:t>Joanne Morra</w:t>
      </w:r>
      <w:r>
        <w:rPr>
          <w:rFonts w:ascii="Calibri" w:hAnsi="Calibri"/>
        </w:rPr>
        <w:t>,</w:t>
      </w:r>
      <w:r w:rsidRPr="00F76E63">
        <w:rPr>
          <w:rFonts w:ascii="Calibri" w:hAnsi="Calibri"/>
        </w:rPr>
        <w:t xml:space="preserve"> </w:t>
      </w:r>
      <w:r w:rsidRPr="00F76E63">
        <w:rPr>
          <w:rFonts w:ascii="Calibri" w:hAnsi="Calibri"/>
          <w:i/>
        </w:rPr>
        <w:t>Inside the Freud Museums: History, Memory and Site-Responsive Art</w:t>
      </w:r>
      <w:r w:rsidRPr="00F76E63">
        <w:rPr>
          <w:rFonts w:ascii="Calibri" w:hAnsi="Calibri"/>
        </w:rPr>
        <w:t>, London 201</w:t>
      </w:r>
      <w:r>
        <w:rPr>
          <w:rFonts w:ascii="Calibri" w:hAnsi="Calibri"/>
        </w:rPr>
        <w:t>7 (forthcoming)</w:t>
      </w:r>
      <w:r w:rsidRPr="00F76E63">
        <w:rPr>
          <w:rFonts w:ascii="Calibri" w:hAnsi="Calibri"/>
        </w:rPr>
        <w:t>.</w:t>
      </w:r>
    </w:p>
  </w:endnote>
  <w:endnote w:id="2">
    <w:p w14:paraId="351F95FB" w14:textId="21E5D5CA" w:rsidR="00537497" w:rsidRPr="009A2B0D" w:rsidRDefault="00537497" w:rsidP="009A2B0D">
      <w:pPr>
        <w:pStyle w:val="EndnoteText"/>
      </w:pPr>
      <w:r>
        <w:rPr>
          <w:rStyle w:val="EndnoteReference"/>
        </w:rPr>
        <w:endnoteRef/>
      </w:r>
      <w:r>
        <w:t xml:space="preserve"> By the time of its acquisition by Tate in 1998 the installation, now titled </w:t>
      </w:r>
      <w:r>
        <w:rPr>
          <w:i/>
        </w:rPr>
        <w:t>From the Freud Museum</w:t>
      </w:r>
      <w:r>
        <w:t xml:space="preserve">, consisted of fifty boxes, having grown steadily with each exhibition of the work since 1994. For more on this see </w:t>
      </w:r>
      <w:r w:rsidRPr="009A2B0D">
        <w:t xml:space="preserve">Alexandra </w:t>
      </w:r>
      <w:proofErr w:type="spellStart"/>
      <w:r w:rsidRPr="009A2B0D">
        <w:t>Kokoli</w:t>
      </w:r>
      <w:proofErr w:type="spellEnd"/>
      <w:r>
        <w:t xml:space="preserve">, ‘From, </w:t>
      </w:r>
      <w:proofErr w:type="gramStart"/>
      <w:r>
        <w:t>At</w:t>
      </w:r>
      <w:proofErr w:type="gramEnd"/>
      <w:r>
        <w:t xml:space="preserve"> and After the Freud Museum’, in </w:t>
      </w:r>
      <w:r w:rsidRPr="009A2B0D">
        <w:t xml:space="preserve">Alexandra </w:t>
      </w:r>
      <w:proofErr w:type="spellStart"/>
      <w:r w:rsidRPr="009A2B0D">
        <w:t>Kokoli</w:t>
      </w:r>
      <w:proofErr w:type="spellEnd"/>
      <w:r w:rsidRPr="009A2B0D">
        <w:t xml:space="preserve"> (ed.), </w:t>
      </w:r>
      <w:r w:rsidRPr="009A2B0D">
        <w:rPr>
          <w:i/>
        </w:rPr>
        <w:t>In Focus: ‘From the Freud Museum’ 1991–6, by Susan Hiller</w:t>
      </w:r>
      <w:r w:rsidRPr="009A2B0D">
        <w:t xml:space="preserve">, </w:t>
      </w:r>
      <w:proofErr w:type="spellStart"/>
      <w:r w:rsidRPr="009A2B0D">
        <w:rPr>
          <w:highlight w:val="green"/>
        </w:rPr>
        <w:t>xxxdate</w:t>
      </w:r>
      <w:proofErr w:type="spellEnd"/>
      <w:r w:rsidRPr="009A2B0D">
        <w:t>.</w:t>
      </w:r>
    </w:p>
  </w:endnote>
  <w:endnote w:id="3">
    <w:p w14:paraId="2F00338F" w14:textId="77777777" w:rsidR="00537497" w:rsidRPr="00F76E63" w:rsidRDefault="00537497" w:rsidP="003D32F7">
      <w:pPr>
        <w:pStyle w:val="EndnoteText"/>
        <w:rPr>
          <w:rFonts w:ascii="Calibri" w:hAnsi="Calibri" w:cs="Arial"/>
        </w:rPr>
      </w:pPr>
    </w:p>
  </w:endnote>
  <w:endnote w:id="4">
    <w:p w14:paraId="35C6BC6F" w14:textId="45A6AD82" w:rsidR="00537497" w:rsidRPr="00F76E63" w:rsidRDefault="00537497" w:rsidP="003D32F7">
      <w:pPr>
        <w:rPr>
          <w:rFonts w:ascii="Calibri" w:hAnsi="Calibri" w:cs="Arial"/>
          <w:sz w:val="20"/>
          <w:szCs w:val="20"/>
        </w:rPr>
      </w:pPr>
      <w:r w:rsidRPr="00F76E63">
        <w:rPr>
          <w:rStyle w:val="EndnoteReference"/>
          <w:rFonts w:ascii="Calibri" w:hAnsi="Calibri" w:cs="Arial"/>
          <w:sz w:val="20"/>
          <w:szCs w:val="20"/>
        </w:rPr>
        <w:endnoteRef/>
      </w:r>
      <w:r w:rsidRPr="00F76E63">
        <w:rPr>
          <w:rFonts w:ascii="Calibri" w:hAnsi="Calibri" w:cs="Arial"/>
          <w:sz w:val="20"/>
          <w:szCs w:val="20"/>
        </w:rPr>
        <w:t xml:space="preserve"> Sigmund Freud in Jeffrey </w:t>
      </w:r>
      <w:proofErr w:type="spellStart"/>
      <w:r w:rsidRPr="00F76E63">
        <w:rPr>
          <w:rFonts w:ascii="Calibri" w:hAnsi="Calibri" w:cs="Arial"/>
          <w:sz w:val="20"/>
          <w:szCs w:val="20"/>
        </w:rPr>
        <w:t>Mousaieff</w:t>
      </w:r>
      <w:proofErr w:type="spellEnd"/>
      <w:r w:rsidRPr="00F76E63">
        <w:rPr>
          <w:rFonts w:ascii="Calibri" w:hAnsi="Calibri" w:cs="Arial"/>
          <w:sz w:val="20"/>
          <w:szCs w:val="20"/>
        </w:rPr>
        <w:t xml:space="preserve"> Masson</w:t>
      </w:r>
      <w:r w:rsidRPr="00842525">
        <w:rPr>
          <w:rFonts w:ascii="Calibri" w:hAnsi="Calibri" w:cs="Arial"/>
          <w:sz w:val="20"/>
          <w:szCs w:val="20"/>
        </w:rPr>
        <w:t xml:space="preserve"> (</w:t>
      </w:r>
      <w:r w:rsidRPr="00F76E63">
        <w:rPr>
          <w:rFonts w:ascii="Calibri" w:hAnsi="Calibri" w:cs="Arial"/>
          <w:sz w:val="20"/>
          <w:szCs w:val="20"/>
        </w:rPr>
        <w:t>ed.</w:t>
      </w:r>
      <w:r w:rsidRPr="00842525">
        <w:rPr>
          <w:rFonts w:ascii="Calibri" w:hAnsi="Calibri" w:cs="Arial"/>
          <w:sz w:val="20"/>
          <w:szCs w:val="20"/>
        </w:rPr>
        <w:t>),</w:t>
      </w:r>
      <w:r w:rsidRPr="00F76E63">
        <w:rPr>
          <w:rFonts w:ascii="Calibri" w:hAnsi="Calibri" w:cs="Arial"/>
          <w:sz w:val="20"/>
          <w:szCs w:val="20"/>
        </w:rPr>
        <w:t xml:space="preserve"> </w:t>
      </w:r>
      <w:r w:rsidRPr="00F76E63">
        <w:rPr>
          <w:rFonts w:ascii="Calibri" w:hAnsi="Calibri" w:cs="Arial"/>
          <w:i/>
          <w:sz w:val="20"/>
          <w:szCs w:val="20"/>
        </w:rPr>
        <w:t xml:space="preserve">The Complete Letters of Sigmund Freud to Wilhelm </w:t>
      </w:r>
      <w:proofErr w:type="spellStart"/>
      <w:r w:rsidRPr="00F76E63">
        <w:rPr>
          <w:rFonts w:ascii="Calibri" w:hAnsi="Calibri" w:cs="Arial"/>
          <w:i/>
          <w:sz w:val="20"/>
          <w:szCs w:val="20"/>
        </w:rPr>
        <w:t>Fliess</w:t>
      </w:r>
      <w:proofErr w:type="spellEnd"/>
      <w:r w:rsidRPr="00F76E63">
        <w:rPr>
          <w:rFonts w:ascii="Calibri" w:hAnsi="Calibri" w:cs="Arial"/>
          <w:i/>
          <w:sz w:val="20"/>
          <w:szCs w:val="20"/>
        </w:rPr>
        <w:t>, 1887</w:t>
      </w:r>
      <w:r w:rsidRPr="00842525">
        <w:rPr>
          <w:rFonts w:ascii="Calibri" w:hAnsi="Calibri" w:cs="Arial"/>
          <w:i/>
          <w:sz w:val="20"/>
          <w:szCs w:val="20"/>
        </w:rPr>
        <w:t>–</w:t>
      </w:r>
      <w:r w:rsidRPr="00F76E63">
        <w:rPr>
          <w:rFonts w:ascii="Calibri" w:hAnsi="Calibri" w:cs="Arial"/>
          <w:i/>
          <w:sz w:val="20"/>
          <w:szCs w:val="20"/>
        </w:rPr>
        <w:t>1904</w:t>
      </w:r>
      <w:r w:rsidRPr="00842525">
        <w:rPr>
          <w:rFonts w:ascii="Calibri" w:hAnsi="Calibri" w:cs="Arial"/>
          <w:sz w:val="20"/>
          <w:szCs w:val="20"/>
        </w:rPr>
        <w:t>,</w:t>
      </w:r>
      <w:r w:rsidRPr="00F76E63">
        <w:rPr>
          <w:rFonts w:ascii="Calibri" w:hAnsi="Calibri" w:cs="Arial"/>
          <w:sz w:val="20"/>
          <w:szCs w:val="20"/>
        </w:rPr>
        <w:t xml:space="preserve"> </w:t>
      </w:r>
      <w:r w:rsidRPr="00842525">
        <w:rPr>
          <w:rFonts w:ascii="Calibri" w:hAnsi="Calibri" w:cs="Arial"/>
          <w:sz w:val="20"/>
          <w:szCs w:val="20"/>
        </w:rPr>
        <w:t xml:space="preserve">trans. by Jeffrey </w:t>
      </w:r>
      <w:proofErr w:type="spellStart"/>
      <w:r w:rsidRPr="00842525">
        <w:rPr>
          <w:rFonts w:ascii="Calibri" w:hAnsi="Calibri" w:cs="Arial"/>
          <w:sz w:val="20"/>
          <w:szCs w:val="20"/>
        </w:rPr>
        <w:t>Mousaieff</w:t>
      </w:r>
      <w:proofErr w:type="spellEnd"/>
      <w:r w:rsidRPr="00842525">
        <w:rPr>
          <w:rFonts w:ascii="Calibri" w:hAnsi="Calibri" w:cs="Arial"/>
          <w:sz w:val="20"/>
          <w:szCs w:val="20"/>
        </w:rPr>
        <w:t xml:space="preserve"> Masson, </w:t>
      </w:r>
      <w:r w:rsidRPr="00F76E63">
        <w:rPr>
          <w:rFonts w:ascii="Calibri" w:hAnsi="Calibri" w:cs="Arial"/>
          <w:sz w:val="20"/>
          <w:szCs w:val="20"/>
        </w:rPr>
        <w:t xml:space="preserve">Cambridge, </w:t>
      </w:r>
      <w:r w:rsidRPr="00842525">
        <w:rPr>
          <w:rFonts w:ascii="Calibri" w:hAnsi="Calibri" w:cs="Arial"/>
          <w:sz w:val="20"/>
          <w:szCs w:val="20"/>
        </w:rPr>
        <w:t>Massachusetts</w:t>
      </w:r>
      <w:r w:rsidRPr="00F76E63">
        <w:rPr>
          <w:rFonts w:ascii="Calibri" w:hAnsi="Calibri" w:cs="Arial"/>
          <w:sz w:val="20"/>
          <w:szCs w:val="20"/>
        </w:rPr>
        <w:t xml:space="preserve"> 1985, p.214. See also Lynn </w:t>
      </w:r>
      <w:proofErr w:type="spellStart"/>
      <w:r w:rsidRPr="00F76E63">
        <w:rPr>
          <w:rFonts w:ascii="Calibri" w:hAnsi="Calibri" w:cs="Arial"/>
          <w:sz w:val="20"/>
          <w:szCs w:val="20"/>
        </w:rPr>
        <w:t>Gamwell</w:t>
      </w:r>
      <w:proofErr w:type="spellEnd"/>
      <w:r w:rsidRPr="00842525">
        <w:rPr>
          <w:rFonts w:ascii="Calibri" w:hAnsi="Calibri" w:cs="Arial"/>
          <w:sz w:val="20"/>
          <w:szCs w:val="20"/>
        </w:rPr>
        <w:t>,</w:t>
      </w:r>
      <w:r w:rsidRPr="00F76E63">
        <w:rPr>
          <w:rFonts w:ascii="Calibri" w:hAnsi="Calibri" w:cs="Arial"/>
          <w:sz w:val="20"/>
          <w:szCs w:val="20"/>
        </w:rPr>
        <w:t xml:space="preserve"> ‘The Origins of Freud’s Antiquities Collection’, in</w:t>
      </w:r>
      <w:r>
        <w:rPr>
          <w:rFonts w:ascii="Calibri" w:hAnsi="Calibri" w:cs="Arial"/>
          <w:sz w:val="20"/>
          <w:szCs w:val="20"/>
        </w:rPr>
        <w:t xml:space="preserve"> </w:t>
      </w:r>
      <w:r w:rsidRPr="00DF7077">
        <w:rPr>
          <w:rFonts w:ascii="Calibri" w:hAnsi="Calibri" w:cs="Arial"/>
          <w:sz w:val="20"/>
          <w:szCs w:val="20"/>
        </w:rPr>
        <w:t xml:space="preserve">Lynn </w:t>
      </w:r>
      <w:proofErr w:type="spellStart"/>
      <w:r w:rsidRPr="00DF7077">
        <w:rPr>
          <w:rFonts w:ascii="Calibri" w:hAnsi="Calibri" w:cs="Arial"/>
          <w:sz w:val="20"/>
          <w:szCs w:val="20"/>
        </w:rPr>
        <w:t>Gamwell</w:t>
      </w:r>
      <w:proofErr w:type="spellEnd"/>
      <w:r w:rsidRPr="00DF7077">
        <w:rPr>
          <w:rFonts w:ascii="Calibri" w:hAnsi="Calibri" w:cs="Arial"/>
          <w:sz w:val="20"/>
          <w:szCs w:val="20"/>
        </w:rPr>
        <w:t xml:space="preserve"> and Richard Wells (</w:t>
      </w:r>
      <w:r>
        <w:rPr>
          <w:rFonts w:ascii="Calibri" w:hAnsi="Calibri" w:cs="Arial"/>
          <w:sz w:val="20"/>
          <w:szCs w:val="20"/>
        </w:rPr>
        <w:t>eds.),</w:t>
      </w:r>
      <w:r w:rsidRPr="00F76E63">
        <w:rPr>
          <w:rFonts w:ascii="Calibri" w:hAnsi="Calibri" w:cs="Arial"/>
          <w:sz w:val="20"/>
          <w:szCs w:val="20"/>
        </w:rPr>
        <w:t xml:space="preserve"> </w:t>
      </w:r>
      <w:r w:rsidRPr="00F76E63">
        <w:rPr>
          <w:rFonts w:ascii="Calibri" w:hAnsi="Calibri" w:cs="Arial"/>
          <w:i/>
          <w:sz w:val="20"/>
          <w:szCs w:val="20"/>
        </w:rPr>
        <w:t>Sigmund Freud and Art: His Personal Collection of Antiquities</w:t>
      </w:r>
      <w:proofErr w:type="gramStart"/>
      <w:r w:rsidRPr="00F76E63">
        <w:rPr>
          <w:rFonts w:ascii="Calibri" w:hAnsi="Calibri" w:cs="Arial"/>
          <w:sz w:val="20"/>
          <w:szCs w:val="20"/>
        </w:rPr>
        <w:t>,  New</w:t>
      </w:r>
      <w:proofErr w:type="gramEnd"/>
      <w:r w:rsidRPr="00F76E63">
        <w:rPr>
          <w:rFonts w:ascii="Calibri" w:hAnsi="Calibri" w:cs="Arial"/>
          <w:sz w:val="20"/>
          <w:szCs w:val="20"/>
        </w:rPr>
        <w:t xml:space="preserve"> York and London 1989, p.24; and Michael Molnar, ‘From Image to Evidence: “At the Historic Corner Window. </w:t>
      </w:r>
      <w:proofErr w:type="gramStart"/>
      <w:r w:rsidRPr="00F76E63">
        <w:rPr>
          <w:rFonts w:ascii="Calibri" w:hAnsi="Calibri" w:cs="Arial"/>
          <w:sz w:val="20"/>
          <w:szCs w:val="20"/>
        </w:rPr>
        <w:t xml:space="preserve">17.6.1897”’, </w:t>
      </w:r>
      <w:r w:rsidRPr="00F76E63">
        <w:rPr>
          <w:rFonts w:ascii="Calibri" w:hAnsi="Calibri" w:cs="Arial"/>
          <w:i/>
          <w:sz w:val="20"/>
          <w:szCs w:val="20"/>
        </w:rPr>
        <w:t>Visual Resources</w:t>
      </w:r>
      <w:r w:rsidRPr="00F76E63">
        <w:rPr>
          <w:rFonts w:ascii="Calibri" w:hAnsi="Calibri" w:cs="Arial"/>
          <w:sz w:val="20"/>
          <w:szCs w:val="20"/>
        </w:rPr>
        <w:t xml:space="preserve">, </w:t>
      </w:r>
      <w:r>
        <w:rPr>
          <w:rFonts w:ascii="Calibri" w:hAnsi="Calibri" w:cs="Arial"/>
          <w:sz w:val="20"/>
          <w:szCs w:val="20"/>
        </w:rPr>
        <w:t>vol.</w:t>
      </w:r>
      <w:r w:rsidRPr="00F76E63">
        <w:rPr>
          <w:rFonts w:ascii="Calibri" w:hAnsi="Calibri" w:cs="Arial"/>
          <w:sz w:val="20"/>
          <w:szCs w:val="20"/>
        </w:rPr>
        <w:t>23</w:t>
      </w:r>
      <w:r>
        <w:rPr>
          <w:rFonts w:ascii="Calibri" w:hAnsi="Calibri" w:cs="Arial"/>
          <w:sz w:val="20"/>
          <w:szCs w:val="20"/>
        </w:rPr>
        <w:t>, nos.</w:t>
      </w:r>
      <w:r w:rsidRPr="00F76E63">
        <w:rPr>
          <w:rFonts w:ascii="Calibri" w:hAnsi="Calibri" w:cs="Arial"/>
          <w:sz w:val="20"/>
          <w:szCs w:val="20"/>
        </w:rPr>
        <w:t>1</w:t>
      </w:r>
      <w:r>
        <w:rPr>
          <w:rFonts w:ascii="Calibri" w:hAnsi="Calibri" w:cs="Arial"/>
          <w:sz w:val="20"/>
          <w:szCs w:val="20"/>
        </w:rPr>
        <w:t>–</w:t>
      </w:r>
      <w:r w:rsidRPr="00F76E63">
        <w:rPr>
          <w:rFonts w:ascii="Calibri" w:hAnsi="Calibri" w:cs="Arial"/>
          <w:sz w:val="20"/>
          <w:szCs w:val="20"/>
        </w:rPr>
        <w:t>2</w:t>
      </w:r>
      <w:r>
        <w:rPr>
          <w:rFonts w:ascii="Calibri" w:hAnsi="Calibri" w:cs="Arial"/>
          <w:sz w:val="20"/>
          <w:szCs w:val="20"/>
        </w:rPr>
        <w:t>,</w:t>
      </w:r>
      <w:r w:rsidRPr="00F76E63">
        <w:rPr>
          <w:rFonts w:ascii="Calibri" w:hAnsi="Calibri" w:cs="Arial"/>
          <w:sz w:val="20"/>
          <w:szCs w:val="20"/>
        </w:rPr>
        <w:t xml:space="preserve"> 2007, pp.119</w:t>
      </w:r>
      <w:r>
        <w:rPr>
          <w:rFonts w:ascii="Calibri" w:hAnsi="Calibri" w:cs="Arial"/>
          <w:sz w:val="20"/>
          <w:szCs w:val="20"/>
        </w:rPr>
        <w:t>–</w:t>
      </w:r>
      <w:r w:rsidRPr="00F76E63">
        <w:rPr>
          <w:rFonts w:ascii="Calibri" w:hAnsi="Calibri" w:cs="Arial"/>
          <w:sz w:val="20"/>
          <w:szCs w:val="20"/>
        </w:rPr>
        <w:t>27.</w:t>
      </w:r>
      <w:proofErr w:type="gramEnd"/>
    </w:p>
  </w:endnote>
  <w:endnote w:id="5">
    <w:p w14:paraId="2437B83E" w14:textId="157DE57B" w:rsidR="00537497" w:rsidRPr="00F76E63" w:rsidRDefault="00537497" w:rsidP="000E6C00">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Molnar, ‘Half-Way Region’, </w:t>
      </w:r>
      <w:r w:rsidRPr="000E6C00">
        <w:rPr>
          <w:rFonts w:ascii="Calibri" w:hAnsi="Calibri" w:cs="Arial"/>
        </w:rPr>
        <w:t>in</w:t>
      </w:r>
      <w:r>
        <w:rPr>
          <w:rFonts w:ascii="Calibri" w:hAnsi="Calibri" w:cs="Arial"/>
        </w:rPr>
        <w:t xml:space="preserve"> Jon Wood and Penelope Curtis (eds.), </w:t>
      </w:r>
      <w:r w:rsidRPr="00F76E63">
        <w:rPr>
          <w:rFonts w:ascii="Calibri" w:hAnsi="Calibri" w:cs="Arial"/>
          <w:i/>
        </w:rPr>
        <w:t>Freud’s Sculpture</w:t>
      </w:r>
      <w:r w:rsidRPr="000E6C00">
        <w:rPr>
          <w:rFonts w:ascii="Calibri" w:hAnsi="Calibri" w:cs="Arial"/>
        </w:rPr>
        <w:t xml:space="preserve">, exhibition catalogue, </w:t>
      </w:r>
      <w:r>
        <w:rPr>
          <w:rFonts w:ascii="Calibri" w:hAnsi="Calibri" w:cs="Arial"/>
        </w:rPr>
        <w:t xml:space="preserve">Henry Moore Institute, </w:t>
      </w:r>
      <w:r w:rsidRPr="000E6C00">
        <w:rPr>
          <w:rFonts w:ascii="Calibri" w:hAnsi="Calibri" w:cs="Arial"/>
        </w:rPr>
        <w:t>Leeds 2006</w:t>
      </w:r>
      <w:r>
        <w:rPr>
          <w:rFonts w:ascii="Calibri" w:hAnsi="Calibri" w:cs="Arial"/>
        </w:rPr>
        <w:t xml:space="preserve">, </w:t>
      </w:r>
      <w:r w:rsidRPr="00F76E63">
        <w:rPr>
          <w:rFonts w:ascii="Calibri" w:hAnsi="Calibri" w:cs="Arial"/>
        </w:rPr>
        <w:t xml:space="preserve">pp.19 and 20; p.25, </w:t>
      </w:r>
      <w:r>
        <w:rPr>
          <w:rFonts w:ascii="Calibri" w:hAnsi="Calibri" w:cs="Arial"/>
        </w:rPr>
        <w:t xml:space="preserve">notes </w:t>
      </w:r>
      <w:r w:rsidRPr="00F76E63">
        <w:rPr>
          <w:rFonts w:ascii="Calibri" w:hAnsi="Calibri" w:cs="Arial"/>
        </w:rPr>
        <w:t>3, 4</w:t>
      </w:r>
      <w:r>
        <w:rPr>
          <w:rFonts w:ascii="Calibri" w:hAnsi="Calibri" w:cs="Arial"/>
        </w:rPr>
        <w:t xml:space="preserve"> and</w:t>
      </w:r>
      <w:r w:rsidRPr="00F76E63">
        <w:rPr>
          <w:rFonts w:ascii="Calibri" w:hAnsi="Calibri" w:cs="Arial"/>
        </w:rPr>
        <w:t xml:space="preserve"> 5.</w:t>
      </w:r>
    </w:p>
  </w:endnote>
  <w:endnote w:id="6">
    <w:p w14:paraId="08A3F074" w14:textId="4420FD7E" w:rsidR="00537497" w:rsidRPr="00F76E63" w:rsidRDefault="00537497" w:rsidP="003D32F7">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See also </w:t>
      </w:r>
      <w:proofErr w:type="spellStart"/>
      <w:r w:rsidRPr="00F76E63">
        <w:rPr>
          <w:rFonts w:ascii="Calibri" w:hAnsi="Calibri" w:cs="Arial"/>
        </w:rPr>
        <w:t>Gamwell</w:t>
      </w:r>
      <w:proofErr w:type="spellEnd"/>
      <w:r>
        <w:rPr>
          <w:rFonts w:ascii="Calibri" w:hAnsi="Calibri" w:cs="Arial"/>
        </w:rPr>
        <w:t xml:space="preserve"> 1989</w:t>
      </w:r>
      <w:r w:rsidRPr="00F76E63">
        <w:rPr>
          <w:rFonts w:ascii="Calibri" w:hAnsi="Calibri" w:cs="Arial"/>
        </w:rPr>
        <w:t>, p.23.</w:t>
      </w:r>
    </w:p>
  </w:endnote>
  <w:endnote w:id="7">
    <w:p w14:paraId="0F6318ED" w14:textId="3E5EF103" w:rsidR="00537497" w:rsidRPr="001472B7" w:rsidRDefault="00537497" w:rsidP="001472B7">
      <w:pPr>
        <w:pStyle w:val="EndnoteText"/>
      </w:pPr>
      <w:r>
        <w:rPr>
          <w:rStyle w:val="EndnoteReference"/>
        </w:rPr>
        <w:endnoteRef/>
      </w:r>
      <w:r>
        <w:rPr>
          <w:rFonts w:ascii="Arial" w:hAnsi="Arial" w:cs="Arial"/>
          <w:sz w:val="16"/>
          <w:szCs w:val="16"/>
        </w:rPr>
        <w:t xml:space="preserve">On Freud’s purchasing habits and his gifting of his sculptures, see, </w:t>
      </w:r>
      <w:proofErr w:type="spellStart"/>
      <w:r w:rsidRPr="00C30955">
        <w:rPr>
          <w:rFonts w:ascii="Arial" w:hAnsi="Arial" w:cs="Arial"/>
          <w:sz w:val="16"/>
          <w:szCs w:val="16"/>
        </w:rPr>
        <w:t>Gamwell</w:t>
      </w:r>
      <w:proofErr w:type="spellEnd"/>
      <w:r w:rsidRPr="00C30955">
        <w:rPr>
          <w:rFonts w:ascii="Arial" w:hAnsi="Arial" w:cs="Arial"/>
          <w:sz w:val="16"/>
          <w:szCs w:val="16"/>
        </w:rPr>
        <w:t>, ‘The Origins of Freu</w:t>
      </w:r>
      <w:r>
        <w:rPr>
          <w:rFonts w:ascii="Arial" w:hAnsi="Arial" w:cs="Arial"/>
          <w:sz w:val="16"/>
          <w:szCs w:val="16"/>
        </w:rPr>
        <w:t>d’s Antiquities Collection’, and</w:t>
      </w:r>
      <w:r w:rsidRPr="00C30955">
        <w:rPr>
          <w:rFonts w:ascii="Arial" w:hAnsi="Arial" w:cs="Arial"/>
          <w:sz w:val="16"/>
          <w:szCs w:val="16"/>
        </w:rPr>
        <w:t xml:space="preserve"> Peter </w:t>
      </w:r>
      <w:proofErr w:type="spellStart"/>
      <w:r w:rsidRPr="00C30955">
        <w:rPr>
          <w:rFonts w:ascii="Arial" w:hAnsi="Arial" w:cs="Arial"/>
          <w:sz w:val="16"/>
          <w:szCs w:val="16"/>
        </w:rPr>
        <w:t>Ucko</w:t>
      </w:r>
      <w:proofErr w:type="spellEnd"/>
      <w:r w:rsidRPr="00C30955">
        <w:rPr>
          <w:rFonts w:ascii="Arial" w:hAnsi="Arial" w:cs="Arial"/>
          <w:sz w:val="16"/>
          <w:szCs w:val="16"/>
        </w:rPr>
        <w:t>, ‘</w:t>
      </w:r>
      <w:proofErr w:type="spellStart"/>
      <w:r w:rsidRPr="00C30955">
        <w:rPr>
          <w:rFonts w:ascii="Arial" w:hAnsi="Arial" w:cs="Arial"/>
          <w:sz w:val="16"/>
          <w:szCs w:val="16"/>
        </w:rPr>
        <w:t>Unprovenanced</w:t>
      </w:r>
      <w:proofErr w:type="spellEnd"/>
      <w:r w:rsidRPr="00C30955">
        <w:rPr>
          <w:rFonts w:ascii="Arial" w:hAnsi="Arial" w:cs="Arial"/>
          <w:sz w:val="16"/>
          <w:szCs w:val="16"/>
        </w:rPr>
        <w:t xml:space="preserve"> Material Culture and Freud’s Collection of Antiquities</w:t>
      </w:r>
      <w:r>
        <w:rPr>
          <w:rFonts w:ascii="Arial" w:hAnsi="Arial" w:cs="Arial"/>
          <w:sz w:val="16"/>
          <w:szCs w:val="16"/>
        </w:rPr>
        <w:t>’</w:t>
      </w:r>
      <w:r w:rsidRPr="00C30955">
        <w:rPr>
          <w:rFonts w:ascii="Arial" w:hAnsi="Arial" w:cs="Arial"/>
          <w:sz w:val="16"/>
          <w:szCs w:val="16"/>
        </w:rPr>
        <w:t xml:space="preserve">, </w:t>
      </w:r>
      <w:r w:rsidRPr="00C30955">
        <w:rPr>
          <w:rFonts w:ascii="Arial" w:hAnsi="Arial" w:cs="Arial"/>
          <w:i/>
          <w:sz w:val="16"/>
          <w:szCs w:val="16"/>
        </w:rPr>
        <w:t>Journal of Material Culture</w:t>
      </w:r>
      <w:r>
        <w:rPr>
          <w:rFonts w:ascii="Arial" w:hAnsi="Arial" w:cs="Arial"/>
          <w:sz w:val="16"/>
          <w:szCs w:val="16"/>
        </w:rPr>
        <w:t>, 6 (2001), pp. 269-322</w:t>
      </w:r>
      <w:r w:rsidRPr="00C30955">
        <w:rPr>
          <w:rFonts w:ascii="Arial" w:hAnsi="Arial" w:cs="Arial"/>
          <w:sz w:val="16"/>
          <w:szCs w:val="16"/>
        </w:rPr>
        <w:t>.</w:t>
      </w:r>
    </w:p>
  </w:endnote>
  <w:endnote w:id="8">
    <w:p w14:paraId="144C4206" w14:textId="6DA4F153" w:rsidR="00537497" w:rsidRPr="00F76E63" w:rsidRDefault="00537497" w:rsidP="003D32F7">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H.D.</w:t>
      </w:r>
      <w:r>
        <w:rPr>
          <w:rFonts w:ascii="Calibri" w:hAnsi="Calibri" w:cs="Arial"/>
        </w:rPr>
        <w:t>,</w:t>
      </w:r>
      <w:r w:rsidRPr="00F76E63">
        <w:rPr>
          <w:rFonts w:ascii="Calibri" w:hAnsi="Calibri" w:cs="Arial"/>
        </w:rPr>
        <w:t xml:space="preserve"> ‘Advent’,</w:t>
      </w:r>
      <w:r>
        <w:rPr>
          <w:rFonts w:ascii="Calibri" w:hAnsi="Calibri" w:cs="Arial"/>
        </w:rPr>
        <w:t xml:space="preserve"> in </w:t>
      </w:r>
      <w:r w:rsidRPr="00BC160F">
        <w:rPr>
          <w:rFonts w:ascii="Calibri" w:hAnsi="Calibri" w:cs="Arial"/>
        </w:rPr>
        <w:t>H.D.</w:t>
      </w:r>
      <w:r>
        <w:rPr>
          <w:rFonts w:ascii="Calibri" w:hAnsi="Calibri" w:cs="Arial"/>
        </w:rPr>
        <w:t>,</w:t>
      </w:r>
      <w:r w:rsidRPr="00F76E63">
        <w:rPr>
          <w:rFonts w:ascii="Calibri" w:hAnsi="Calibri" w:cs="Arial"/>
        </w:rPr>
        <w:t xml:space="preserve"> </w:t>
      </w:r>
      <w:r w:rsidRPr="00F76E63">
        <w:rPr>
          <w:rFonts w:ascii="Calibri" w:hAnsi="Calibri" w:cs="Arial"/>
          <w:i/>
        </w:rPr>
        <w:t>Tribute to Freud</w:t>
      </w:r>
      <w:r>
        <w:rPr>
          <w:rFonts w:ascii="Calibri" w:hAnsi="Calibri" w:cs="Arial"/>
        </w:rPr>
        <w:t>,</w:t>
      </w:r>
      <w:r w:rsidRPr="00F76E63">
        <w:rPr>
          <w:rFonts w:ascii="Calibri" w:hAnsi="Calibri" w:cs="Arial"/>
        </w:rPr>
        <w:t xml:space="preserve"> Manchester</w:t>
      </w:r>
      <w:r>
        <w:rPr>
          <w:rFonts w:ascii="Calibri" w:hAnsi="Calibri" w:cs="Arial"/>
        </w:rPr>
        <w:t xml:space="preserve"> </w:t>
      </w:r>
      <w:r w:rsidRPr="00F76E63">
        <w:rPr>
          <w:rFonts w:ascii="Calibri" w:hAnsi="Calibri" w:cs="Arial"/>
        </w:rPr>
        <w:t xml:space="preserve">1985, </w:t>
      </w:r>
      <w:r>
        <w:rPr>
          <w:rFonts w:ascii="Calibri" w:hAnsi="Calibri" w:cs="Arial"/>
        </w:rPr>
        <w:t>p.</w:t>
      </w:r>
      <w:r w:rsidRPr="00F76E63">
        <w:rPr>
          <w:rFonts w:ascii="Calibri" w:hAnsi="Calibri" w:cs="Arial"/>
        </w:rPr>
        <w:t>116.</w:t>
      </w:r>
    </w:p>
  </w:endnote>
  <w:endnote w:id="9">
    <w:p w14:paraId="4C8D9647" w14:textId="1700B59F" w:rsidR="00537497" w:rsidRPr="00F76E63" w:rsidRDefault="00537497" w:rsidP="003D32F7">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w:t>
      </w:r>
      <w:proofErr w:type="gramStart"/>
      <w:r w:rsidRPr="00F76E63">
        <w:rPr>
          <w:rFonts w:ascii="Calibri" w:hAnsi="Calibri" w:cs="Arial"/>
        </w:rPr>
        <w:t xml:space="preserve">Jon Wood, </w:t>
      </w:r>
      <w:proofErr w:type="spellStart"/>
      <w:r w:rsidRPr="00F76E63">
        <w:rPr>
          <w:rFonts w:ascii="Calibri" w:hAnsi="Calibri" w:cs="Arial"/>
        </w:rPr>
        <w:t>‘Re</w:t>
      </w:r>
      <w:proofErr w:type="spellEnd"/>
      <w:r w:rsidRPr="00F76E63">
        <w:rPr>
          <w:rFonts w:ascii="Calibri" w:hAnsi="Calibri" w:cs="Arial"/>
        </w:rPr>
        <w:t>-</w:t>
      </w:r>
      <w:r>
        <w:rPr>
          <w:rFonts w:ascii="Calibri" w:hAnsi="Calibri" w:cs="Arial"/>
        </w:rPr>
        <w:t>S</w:t>
      </w:r>
      <w:r w:rsidRPr="00F76E63">
        <w:rPr>
          <w:rFonts w:ascii="Calibri" w:hAnsi="Calibri" w:cs="Arial"/>
        </w:rPr>
        <w:t xml:space="preserve">taging Freud’s Sculpture’, in </w:t>
      </w:r>
      <w:r>
        <w:rPr>
          <w:rFonts w:ascii="Calibri" w:hAnsi="Calibri" w:cs="Arial"/>
        </w:rPr>
        <w:t>Wood and Curtis 2006</w:t>
      </w:r>
      <w:r w:rsidRPr="00F76E63">
        <w:rPr>
          <w:rFonts w:ascii="Calibri" w:hAnsi="Calibri" w:cs="Arial"/>
        </w:rPr>
        <w:t>, p.15.</w:t>
      </w:r>
      <w:proofErr w:type="gramEnd"/>
    </w:p>
  </w:endnote>
  <w:endnote w:id="10">
    <w:p w14:paraId="7156B010" w14:textId="11A9849F" w:rsidR="00537497" w:rsidRPr="001472B7" w:rsidRDefault="00537497">
      <w:pPr>
        <w:pStyle w:val="EndnoteText"/>
      </w:pPr>
      <w:r>
        <w:rPr>
          <w:rStyle w:val="EndnoteReference"/>
        </w:rPr>
        <w:endnoteRef/>
      </w:r>
      <w:r>
        <w:t xml:space="preserve"> </w:t>
      </w:r>
      <w:r w:rsidRPr="00C30955">
        <w:rPr>
          <w:rFonts w:ascii="Arial" w:hAnsi="Arial" w:cs="Arial"/>
          <w:sz w:val="16"/>
          <w:szCs w:val="16"/>
        </w:rPr>
        <w:t xml:space="preserve">‘“Mille e </w:t>
      </w:r>
      <w:proofErr w:type="spellStart"/>
      <w:r w:rsidRPr="00C30955">
        <w:rPr>
          <w:rFonts w:ascii="Arial" w:hAnsi="Arial" w:cs="Arial"/>
          <w:sz w:val="16"/>
          <w:szCs w:val="16"/>
        </w:rPr>
        <w:t>tre</w:t>
      </w:r>
      <w:proofErr w:type="spellEnd"/>
      <w:r w:rsidRPr="00C30955">
        <w:rPr>
          <w:rFonts w:ascii="Arial" w:hAnsi="Arial" w:cs="Arial"/>
          <w:sz w:val="16"/>
          <w:szCs w:val="16"/>
        </w:rPr>
        <w:t xml:space="preserve">”: Freud and Collecting’, in </w:t>
      </w:r>
      <w:r w:rsidRPr="00C30955">
        <w:rPr>
          <w:rFonts w:ascii="Arial" w:hAnsi="Arial" w:cs="Arial"/>
          <w:i/>
          <w:sz w:val="16"/>
          <w:szCs w:val="16"/>
        </w:rPr>
        <w:t>The Cultures of Collecting</w:t>
      </w:r>
      <w:r w:rsidRPr="00C30955">
        <w:rPr>
          <w:rFonts w:ascii="Arial" w:hAnsi="Arial" w:cs="Arial"/>
          <w:sz w:val="16"/>
          <w:szCs w:val="16"/>
        </w:rPr>
        <w:t xml:space="preserve">, ed. John </w:t>
      </w:r>
      <w:proofErr w:type="spellStart"/>
      <w:r w:rsidRPr="00C30955">
        <w:rPr>
          <w:rFonts w:ascii="Arial" w:hAnsi="Arial" w:cs="Arial"/>
          <w:sz w:val="16"/>
          <w:szCs w:val="16"/>
        </w:rPr>
        <w:t>Elsner</w:t>
      </w:r>
      <w:proofErr w:type="spellEnd"/>
      <w:r w:rsidRPr="00C30955">
        <w:rPr>
          <w:rFonts w:ascii="Arial" w:hAnsi="Arial" w:cs="Arial"/>
          <w:sz w:val="16"/>
          <w:szCs w:val="16"/>
        </w:rPr>
        <w:t xml:space="preserve"> and Roger Cardinal (London: </w:t>
      </w:r>
      <w:proofErr w:type="spellStart"/>
      <w:r w:rsidRPr="00C30955">
        <w:rPr>
          <w:rFonts w:ascii="Arial" w:hAnsi="Arial" w:cs="Arial"/>
          <w:sz w:val="16"/>
          <w:szCs w:val="16"/>
        </w:rPr>
        <w:t>Reaktion</w:t>
      </w:r>
      <w:proofErr w:type="spellEnd"/>
      <w:r w:rsidRPr="00C30955">
        <w:rPr>
          <w:rFonts w:ascii="Arial" w:hAnsi="Arial" w:cs="Arial"/>
          <w:sz w:val="16"/>
          <w:szCs w:val="16"/>
        </w:rPr>
        <w:t>, 1994), pp. 224-51 (p. 246).</w:t>
      </w:r>
    </w:p>
  </w:endnote>
  <w:endnote w:id="11">
    <w:p w14:paraId="6ECB012D" w14:textId="47E89BEB" w:rsidR="00537497" w:rsidRPr="00F76E63" w:rsidRDefault="00537497" w:rsidP="003D32F7">
      <w:pPr>
        <w:rPr>
          <w:rFonts w:ascii="Calibri" w:hAnsi="Calibri" w:cs="Arial"/>
          <w:sz w:val="20"/>
          <w:szCs w:val="20"/>
        </w:rPr>
      </w:pPr>
      <w:r w:rsidRPr="00F76E63">
        <w:rPr>
          <w:rStyle w:val="EndnoteReference"/>
          <w:rFonts w:ascii="Calibri" w:hAnsi="Calibri" w:cs="Arial"/>
          <w:sz w:val="20"/>
          <w:szCs w:val="20"/>
        </w:rPr>
        <w:endnoteRef/>
      </w:r>
      <w:r w:rsidRPr="00F76E63">
        <w:rPr>
          <w:rFonts w:ascii="Calibri" w:hAnsi="Calibri" w:cs="Arial"/>
          <w:sz w:val="20"/>
          <w:szCs w:val="20"/>
        </w:rPr>
        <w:t xml:space="preserve"> On the controversies surrounding these excavations and the formation of archaeology as a ‘science’, see Lorelei H. Corcoran, ‘Exploring the Archaeological Metaphor: The Egypt of Freud’s Imagination’, </w:t>
      </w:r>
      <w:r w:rsidRPr="00F76E63">
        <w:rPr>
          <w:rFonts w:ascii="Calibri" w:hAnsi="Calibri" w:cs="Arial"/>
          <w:i/>
          <w:sz w:val="20"/>
          <w:szCs w:val="20"/>
        </w:rPr>
        <w:t>Annual of Psychoanalysis</w:t>
      </w:r>
      <w:r w:rsidRPr="00F76E63">
        <w:rPr>
          <w:rFonts w:ascii="Calibri" w:hAnsi="Calibri" w:cs="Arial"/>
          <w:sz w:val="20"/>
          <w:szCs w:val="20"/>
        </w:rPr>
        <w:t>,</w:t>
      </w:r>
      <w:r>
        <w:rPr>
          <w:rFonts w:ascii="Calibri" w:hAnsi="Calibri" w:cs="Arial"/>
          <w:sz w:val="20"/>
          <w:szCs w:val="20"/>
        </w:rPr>
        <w:t xml:space="preserve"> vol.19, </w:t>
      </w:r>
      <w:r w:rsidRPr="00F76E63">
        <w:rPr>
          <w:rFonts w:ascii="Calibri" w:hAnsi="Calibri" w:cs="Arial"/>
          <w:sz w:val="20"/>
          <w:szCs w:val="20"/>
        </w:rPr>
        <w:t>1991, pp.19</w:t>
      </w:r>
      <w:r>
        <w:rPr>
          <w:rFonts w:ascii="Calibri" w:hAnsi="Calibri" w:cs="Arial"/>
          <w:sz w:val="20"/>
          <w:szCs w:val="20"/>
        </w:rPr>
        <w:t>–</w:t>
      </w:r>
      <w:r w:rsidRPr="00F76E63">
        <w:rPr>
          <w:rFonts w:ascii="Calibri" w:hAnsi="Calibri" w:cs="Arial"/>
          <w:sz w:val="20"/>
          <w:szCs w:val="20"/>
        </w:rPr>
        <w:t>32.</w:t>
      </w:r>
    </w:p>
  </w:endnote>
  <w:endnote w:id="12">
    <w:p w14:paraId="7CF8FDF3" w14:textId="1912EBE7" w:rsidR="00537497" w:rsidRPr="00F76E63" w:rsidRDefault="00537497" w:rsidP="003D32F7">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Donald </w:t>
      </w:r>
      <w:proofErr w:type="spellStart"/>
      <w:r w:rsidRPr="00F76E63">
        <w:rPr>
          <w:rFonts w:ascii="Calibri" w:hAnsi="Calibri" w:cs="Arial"/>
        </w:rPr>
        <w:t>Kuspit</w:t>
      </w:r>
      <w:proofErr w:type="spellEnd"/>
      <w:r w:rsidRPr="00F76E63">
        <w:rPr>
          <w:rFonts w:ascii="Calibri" w:hAnsi="Calibri" w:cs="Arial"/>
        </w:rPr>
        <w:t xml:space="preserve">, ‘A Mighty Metaphor: The Analogy of Archaeology and Psychoanalysis’, in </w:t>
      </w:r>
      <w:proofErr w:type="spellStart"/>
      <w:r w:rsidRPr="00F76E63">
        <w:rPr>
          <w:rFonts w:ascii="Calibri" w:hAnsi="Calibri" w:cs="Arial"/>
        </w:rPr>
        <w:t>Gamwell</w:t>
      </w:r>
      <w:proofErr w:type="spellEnd"/>
      <w:r w:rsidRPr="00F76E63">
        <w:rPr>
          <w:rFonts w:ascii="Calibri" w:hAnsi="Calibri" w:cs="Arial"/>
        </w:rPr>
        <w:t xml:space="preserve"> and Wells 1989, p.133.</w:t>
      </w:r>
    </w:p>
  </w:endnote>
  <w:endnote w:id="13">
    <w:p w14:paraId="773354FA" w14:textId="69D45D9C" w:rsidR="00537497" w:rsidRPr="00F76E63" w:rsidRDefault="00537497" w:rsidP="003D32F7">
      <w:pPr>
        <w:rPr>
          <w:rFonts w:ascii="Calibri" w:hAnsi="Calibri" w:cs="Arial"/>
          <w:sz w:val="20"/>
          <w:szCs w:val="20"/>
        </w:rPr>
      </w:pPr>
      <w:r w:rsidRPr="00F76E63">
        <w:rPr>
          <w:rStyle w:val="EndnoteReference"/>
          <w:rFonts w:ascii="Calibri" w:hAnsi="Calibri" w:cs="Arial"/>
          <w:sz w:val="20"/>
          <w:szCs w:val="20"/>
        </w:rPr>
        <w:endnoteRef/>
      </w:r>
      <w:r w:rsidRPr="00F76E63">
        <w:rPr>
          <w:rFonts w:ascii="Calibri" w:hAnsi="Calibri" w:cs="Arial"/>
          <w:sz w:val="20"/>
          <w:szCs w:val="20"/>
        </w:rPr>
        <w:t xml:space="preserve"> On Freud’s life, work and collection and the development of archaeology, see </w:t>
      </w:r>
      <w:proofErr w:type="spellStart"/>
      <w:r w:rsidRPr="00F76E63">
        <w:rPr>
          <w:rFonts w:ascii="Calibri" w:hAnsi="Calibri" w:cs="Arial"/>
          <w:sz w:val="20"/>
          <w:szCs w:val="20"/>
        </w:rPr>
        <w:t>Gamwell</w:t>
      </w:r>
      <w:proofErr w:type="spellEnd"/>
      <w:r w:rsidRPr="00F76E63">
        <w:rPr>
          <w:rFonts w:ascii="Calibri" w:hAnsi="Calibri" w:cs="Arial"/>
          <w:sz w:val="20"/>
          <w:szCs w:val="20"/>
        </w:rPr>
        <w:t>, ‘The Origins of Freud’s Antiquities Collection’</w:t>
      </w:r>
      <w:r>
        <w:rPr>
          <w:rFonts w:ascii="Calibri" w:hAnsi="Calibri" w:cs="Arial"/>
          <w:sz w:val="20"/>
          <w:szCs w:val="20"/>
        </w:rPr>
        <w:t>,</w:t>
      </w:r>
      <w:r w:rsidRPr="00F76E63">
        <w:rPr>
          <w:rFonts w:ascii="Calibri" w:hAnsi="Calibri" w:cs="Arial"/>
          <w:sz w:val="20"/>
          <w:szCs w:val="20"/>
        </w:rPr>
        <w:t xml:space="preserve"> </w:t>
      </w:r>
      <w:r>
        <w:rPr>
          <w:rFonts w:ascii="Calibri" w:hAnsi="Calibri" w:cs="Arial"/>
          <w:sz w:val="20"/>
          <w:szCs w:val="20"/>
        </w:rPr>
        <w:t xml:space="preserve">pp. 21-32; </w:t>
      </w:r>
      <w:r w:rsidRPr="00F76E63">
        <w:rPr>
          <w:rFonts w:ascii="Calibri" w:hAnsi="Calibri" w:cs="Arial"/>
          <w:sz w:val="20"/>
          <w:szCs w:val="20"/>
        </w:rPr>
        <w:t>and Richard H. Armstrong, ‘Conclusion: The Myth of Ur’,</w:t>
      </w:r>
      <w:r>
        <w:rPr>
          <w:rFonts w:ascii="Calibri" w:hAnsi="Calibri" w:cs="Arial"/>
          <w:sz w:val="20"/>
          <w:szCs w:val="20"/>
        </w:rPr>
        <w:t xml:space="preserve"> in Richard H. Armstrong,</w:t>
      </w:r>
      <w:r w:rsidRPr="00F76E63">
        <w:rPr>
          <w:rFonts w:ascii="Calibri" w:hAnsi="Calibri" w:cs="Arial"/>
          <w:sz w:val="20"/>
          <w:szCs w:val="20"/>
        </w:rPr>
        <w:t xml:space="preserve"> </w:t>
      </w:r>
      <w:r w:rsidRPr="00F76E63">
        <w:rPr>
          <w:rFonts w:ascii="Calibri" w:hAnsi="Calibri" w:cs="Arial"/>
          <w:i/>
          <w:sz w:val="20"/>
          <w:szCs w:val="20"/>
        </w:rPr>
        <w:t>A Compulsion for Antiquity: Freud and the Ancient World</w:t>
      </w:r>
      <w:r>
        <w:rPr>
          <w:rFonts w:ascii="Calibri" w:hAnsi="Calibri" w:cs="Arial"/>
          <w:sz w:val="20"/>
          <w:szCs w:val="20"/>
        </w:rPr>
        <w:t xml:space="preserve">, </w:t>
      </w:r>
      <w:r w:rsidRPr="00F76E63">
        <w:rPr>
          <w:rFonts w:ascii="Calibri" w:hAnsi="Calibri" w:cs="Arial"/>
          <w:sz w:val="20"/>
          <w:szCs w:val="20"/>
        </w:rPr>
        <w:t>Ithaca</w:t>
      </w:r>
      <w:r>
        <w:rPr>
          <w:rFonts w:ascii="Calibri" w:hAnsi="Calibri" w:cs="Arial"/>
          <w:sz w:val="20"/>
          <w:szCs w:val="20"/>
        </w:rPr>
        <w:t>, New York,</w:t>
      </w:r>
      <w:r w:rsidRPr="00F76E63">
        <w:rPr>
          <w:rFonts w:ascii="Calibri" w:hAnsi="Calibri" w:cs="Arial"/>
          <w:sz w:val="20"/>
          <w:szCs w:val="20"/>
        </w:rPr>
        <w:t xml:space="preserve"> and London</w:t>
      </w:r>
      <w:r>
        <w:rPr>
          <w:rFonts w:ascii="Calibri" w:hAnsi="Calibri" w:cs="Arial"/>
          <w:sz w:val="20"/>
          <w:szCs w:val="20"/>
        </w:rPr>
        <w:t xml:space="preserve"> </w:t>
      </w:r>
      <w:r w:rsidRPr="00F76E63">
        <w:rPr>
          <w:rFonts w:ascii="Calibri" w:hAnsi="Calibri" w:cs="Arial"/>
          <w:sz w:val="20"/>
          <w:szCs w:val="20"/>
        </w:rPr>
        <w:t xml:space="preserve">2005, </w:t>
      </w:r>
      <w:r w:rsidRPr="00F76E63">
        <w:rPr>
          <w:rFonts w:ascii="Calibri" w:hAnsi="Calibri" w:cs="Arial"/>
          <w:sz w:val="20"/>
          <w:szCs w:val="20"/>
          <w:highlight w:val="green"/>
        </w:rPr>
        <w:t>pp.219–52</w:t>
      </w:r>
      <w:r>
        <w:rPr>
          <w:rFonts w:ascii="Calibri" w:hAnsi="Calibri" w:cs="Arial"/>
          <w:sz w:val="20"/>
          <w:szCs w:val="20"/>
        </w:rPr>
        <w:t xml:space="preserve">. </w:t>
      </w:r>
      <w:r w:rsidRPr="00F76E63">
        <w:rPr>
          <w:rFonts w:ascii="Calibri" w:hAnsi="Calibri" w:cs="Arial"/>
          <w:sz w:val="20"/>
          <w:szCs w:val="20"/>
        </w:rPr>
        <w:t>See also Griselda Pollock, ‘The Image in Psychoanalysis’, in</w:t>
      </w:r>
      <w:r>
        <w:rPr>
          <w:rFonts w:ascii="Calibri" w:hAnsi="Calibri" w:cs="Arial"/>
          <w:sz w:val="20"/>
          <w:szCs w:val="20"/>
        </w:rPr>
        <w:t xml:space="preserve"> </w:t>
      </w:r>
      <w:r w:rsidRPr="00DF7077">
        <w:rPr>
          <w:rFonts w:ascii="Calibri" w:hAnsi="Calibri" w:cs="Arial"/>
          <w:sz w:val="20"/>
          <w:szCs w:val="20"/>
        </w:rPr>
        <w:t>Griselda Pollock</w:t>
      </w:r>
      <w:r>
        <w:rPr>
          <w:rFonts w:ascii="Calibri" w:hAnsi="Calibri" w:cs="Arial"/>
          <w:sz w:val="20"/>
          <w:szCs w:val="20"/>
        </w:rPr>
        <w:t xml:space="preserve"> (ed.),</w:t>
      </w:r>
      <w:r w:rsidRPr="00F76E63">
        <w:rPr>
          <w:rFonts w:ascii="Calibri" w:hAnsi="Calibri" w:cs="Arial"/>
          <w:sz w:val="20"/>
          <w:szCs w:val="20"/>
        </w:rPr>
        <w:t xml:space="preserve"> </w:t>
      </w:r>
      <w:r w:rsidRPr="00F76E63">
        <w:rPr>
          <w:rFonts w:ascii="Calibri" w:hAnsi="Calibri" w:cs="Arial"/>
          <w:i/>
          <w:sz w:val="20"/>
          <w:szCs w:val="20"/>
        </w:rPr>
        <w:t>Psychoanalysis and the Image</w:t>
      </w:r>
      <w:r>
        <w:rPr>
          <w:rFonts w:ascii="Calibri" w:hAnsi="Calibri" w:cs="Arial"/>
          <w:sz w:val="20"/>
          <w:szCs w:val="20"/>
        </w:rPr>
        <w:t>,</w:t>
      </w:r>
      <w:r w:rsidRPr="00F76E63">
        <w:rPr>
          <w:rFonts w:ascii="Calibri" w:hAnsi="Calibri" w:cs="Arial"/>
          <w:sz w:val="20"/>
          <w:szCs w:val="20"/>
        </w:rPr>
        <w:t xml:space="preserve"> Oxford</w:t>
      </w:r>
      <w:r>
        <w:rPr>
          <w:rFonts w:ascii="Calibri" w:hAnsi="Calibri" w:cs="Arial"/>
          <w:sz w:val="20"/>
          <w:szCs w:val="20"/>
        </w:rPr>
        <w:t xml:space="preserve"> </w:t>
      </w:r>
      <w:r w:rsidRPr="00F76E63">
        <w:rPr>
          <w:rFonts w:ascii="Calibri" w:hAnsi="Calibri" w:cs="Arial"/>
          <w:sz w:val="20"/>
          <w:szCs w:val="20"/>
        </w:rPr>
        <w:t>2006, pp.1</w:t>
      </w:r>
      <w:r>
        <w:rPr>
          <w:rFonts w:ascii="Calibri" w:hAnsi="Calibri" w:cs="Arial"/>
          <w:sz w:val="20"/>
          <w:szCs w:val="20"/>
        </w:rPr>
        <w:t>–</w:t>
      </w:r>
      <w:r w:rsidRPr="00F76E63">
        <w:rPr>
          <w:rFonts w:ascii="Calibri" w:hAnsi="Calibri" w:cs="Arial"/>
          <w:sz w:val="20"/>
          <w:szCs w:val="20"/>
        </w:rPr>
        <w:t>29.</w:t>
      </w:r>
    </w:p>
  </w:endnote>
  <w:endnote w:id="14">
    <w:p w14:paraId="074FE4D9" w14:textId="08B2E9FE" w:rsidR="00537497" w:rsidRPr="00F76E63" w:rsidRDefault="00537497" w:rsidP="003D32F7">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w:t>
      </w:r>
      <w:r>
        <w:rPr>
          <w:rFonts w:ascii="Calibri" w:hAnsi="Calibri" w:cs="Arial"/>
        </w:rPr>
        <w:t>Q</w:t>
      </w:r>
      <w:r w:rsidRPr="00F76E63">
        <w:rPr>
          <w:rFonts w:ascii="Calibri" w:hAnsi="Calibri" w:cs="Arial"/>
        </w:rPr>
        <w:t>uoted in Peter Gay, ‘Introduction’</w:t>
      </w:r>
      <w:r>
        <w:rPr>
          <w:rFonts w:ascii="Calibri" w:hAnsi="Calibri" w:cs="Arial"/>
        </w:rPr>
        <w:t>,</w:t>
      </w:r>
      <w:r w:rsidRPr="00F76E63">
        <w:rPr>
          <w:rFonts w:ascii="Calibri" w:hAnsi="Calibri" w:cs="Arial"/>
        </w:rPr>
        <w:t xml:space="preserve"> in </w:t>
      </w:r>
      <w:proofErr w:type="spellStart"/>
      <w:r w:rsidRPr="00DF7077">
        <w:rPr>
          <w:rFonts w:ascii="Calibri" w:hAnsi="Calibri" w:cs="Arial"/>
        </w:rPr>
        <w:t>Gamwell</w:t>
      </w:r>
      <w:proofErr w:type="spellEnd"/>
      <w:r w:rsidRPr="00DF7077">
        <w:rPr>
          <w:rFonts w:ascii="Calibri" w:hAnsi="Calibri" w:cs="Arial"/>
        </w:rPr>
        <w:t xml:space="preserve"> and Wells 1989</w:t>
      </w:r>
      <w:r w:rsidRPr="00F76E63">
        <w:rPr>
          <w:rFonts w:ascii="Calibri" w:hAnsi="Calibri" w:cs="Arial"/>
        </w:rPr>
        <w:t>, p.16.</w:t>
      </w:r>
    </w:p>
  </w:endnote>
  <w:endnote w:id="15">
    <w:p w14:paraId="1F0B0D36" w14:textId="22DCEF62" w:rsidR="00537497" w:rsidRPr="00F76E63" w:rsidRDefault="00537497" w:rsidP="003D32F7">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On Freud’s library see Wendy Botting and J. Keith Davies, ‘Freud’s Library and </w:t>
      </w:r>
      <w:r>
        <w:rPr>
          <w:rFonts w:ascii="Calibri" w:hAnsi="Calibri" w:cs="Arial"/>
        </w:rPr>
        <w:t>a</w:t>
      </w:r>
      <w:r w:rsidRPr="00F76E63">
        <w:rPr>
          <w:rFonts w:ascii="Calibri" w:hAnsi="Calibri" w:cs="Arial"/>
        </w:rPr>
        <w:t xml:space="preserve">n Appendix of Texts Related to Antiquities’, in </w:t>
      </w:r>
      <w:proofErr w:type="spellStart"/>
      <w:r w:rsidRPr="00DF7077">
        <w:rPr>
          <w:rFonts w:ascii="Calibri" w:hAnsi="Calibri" w:cs="Arial"/>
        </w:rPr>
        <w:t>Gamwell</w:t>
      </w:r>
      <w:proofErr w:type="spellEnd"/>
      <w:r w:rsidRPr="00DF7077">
        <w:rPr>
          <w:rFonts w:ascii="Calibri" w:hAnsi="Calibri" w:cs="Arial"/>
        </w:rPr>
        <w:t xml:space="preserve"> and Wells 1989</w:t>
      </w:r>
      <w:r>
        <w:rPr>
          <w:rFonts w:ascii="Calibri" w:hAnsi="Calibri" w:cs="Arial"/>
        </w:rPr>
        <w:t xml:space="preserve">, </w:t>
      </w:r>
      <w:r w:rsidRPr="00F76E63">
        <w:rPr>
          <w:rFonts w:ascii="Calibri" w:hAnsi="Calibri" w:cs="Arial"/>
        </w:rPr>
        <w:t>pp.184</w:t>
      </w:r>
      <w:r>
        <w:rPr>
          <w:rFonts w:ascii="Calibri" w:hAnsi="Calibri" w:cs="Arial"/>
        </w:rPr>
        <w:t>–</w:t>
      </w:r>
      <w:r w:rsidRPr="00F76E63">
        <w:rPr>
          <w:rFonts w:ascii="Calibri" w:hAnsi="Calibri" w:cs="Arial"/>
        </w:rPr>
        <w:t xml:space="preserve">7. </w:t>
      </w:r>
    </w:p>
  </w:endnote>
  <w:endnote w:id="16">
    <w:p w14:paraId="060682D3" w14:textId="49A176D4" w:rsidR="00537497" w:rsidRPr="00F76E63" w:rsidRDefault="00537497" w:rsidP="003D32F7">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John Forrester, ‘“Mille e </w:t>
      </w:r>
      <w:proofErr w:type="spellStart"/>
      <w:r>
        <w:rPr>
          <w:rFonts w:ascii="Calibri" w:hAnsi="Calibri" w:cs="Arial"/>
        </w:rPr>
        <w:t>T</w:t>
      </w:r>
      <w:r w:rsidRPr="00F76E63">
        <w:rPr>
          <w:rFonts w:ascii="Calibri" w:hAnsi="Calibri" w:cs="Arial"/>
        </w:rPr>
        <w:t>re</w:t>
      </w:r>
      <w:proofErr w:type="spellEnd"/>
      <w:r w:rsidRPr="00F76E63">
        <w:rPr>
          <w:rFonts w:ascii="Calibri" w:hAnsi="Calibri" w:cs="Arial"/>
        </w:rPr>
        <w:t>”: Freud and Collecting’, in</w:t>
      </w:r>
      <w:r>
        <w:rPr>
          <w:rFonts w:ascii="Calibri" w:hAnsi="Calibri" w:cs="Arial"/>
        </w:rPr>
        <w:t xml:space="preserve"> </w:t>
      </w:r>
      <w:r w:rsidRPr="00DF7077">
        <w:rPr>
          <w:rFonts w:ascii="Calibri" w:hAnsi="Calibri" w:cs="Arial"/>
        </w:rPr>
        <w:t xml:space="preserve">John </w:t>
      </w:r>
      <w:proofErr w:type="spellStart"/>
      <w:r w:rsidRPr="00DF7077">
        <w:rPr>
          <w:rFonts w:ascii="Calibri" w:hAnsi="Calibri" w:cs="Arial"/>
        </w:rPr>
        <w:t>Elsner</w:t>
      </w:r>
      <w:proofErr w:type="spellEnd"/>
      <w:r w:rsidRPr="00DF7077">
        <w:rPr>
          <w:rFonts w:ascii="Calibri" w:hAnsi="Calibri" w:cs="Arial"/>
        </w:rPr>
        <w:t xml:space="preserve"> and Roger Cardinal</w:t>
      </w:r>
      <w:r>
        <w:rPr>
          <w:rFonts w:ascii="Calibri" w:hAnsi="Calibri" w:cs="Arial"/>
        </w:rPr>
        <w:t xml:space="preserve"> (eds.),</w:t>
      </w:r>
      <w:r w:rsidRPr="00F76E63">
        <w:rPr>
          <w:rFonts w:ascii="Calibri" w:hAnsi="Calibri" w:cs="Arial"/>
        </w:rPr>
        <w:t xml:space="preserve"> </w:t>
      </w:r>
      <w:r w:rsidRPr="00F76E63">
        <w:rPr>
          <w:rFonts w:ascii="Calibri" w:hAnsi="Calibri" w:cs="Arial"/>
          <w:i/>
        </w:rPr>
        <w:t>The Cultures of Collecting</w:t>
      </w:r>
      <w:r w:rsidRPr="00F76E63">
        <w:rPr>
          <w:rFonts w:ascii="Calibri" w:hAnsi="Calibri" w:cs="Arial"/>
        </w:rPr>
        <w:t xml:space="preserve">, London 1994, p.226. </w:t>
      </w:r>
    </w:p>
  </w:endnote>
  <w:endnote w:id="17">
    <w:p w14:paraId="42D58097" w14:textId="42C7F9BC" w:rsidR="00537497" w:rsidRPr="00F76E63" w:rsidRDefault="00537497" w:rsidP="003D32F7">
      <w:pPr>
        <w:rPr>
          <w:rFonts w:ascii="Calibri" w:hAnsi="Calibri" w:cs="Arial"/>
          <w:sz w:val="20"/>
          <w:szCs w:val="20"/>
        </w:rPr>
      </w:pPr>
      <w:r w:rsidRPr="00F76E63">
        <w:rPr>
          <w:rStyle w:val="EndnoteReference"/>
          <w:rFonts w:ascii="Calibri" w:hAnsi="Calibri" w:cs="Arial"/>
          <w:sz w:val="20"/>
          <w:szCs w:val="20"/>
        </w:rPr>
        <w:endnoteRef/>
      </w:r>
      <w:r w:rsidRPr="00F76E63">
        <w:rPr>
          <w:rFonts w:ascii="Calibri" w:hAnsi="Calibri" w:cs="Arial"/>
          <w:sz w:val="20"/>
          <w:szCs w:val="20"/>
        </w:rPr>
        <w:t xml:space="preserve"> For a discussion of Freud’s understanding of the superiority of psychoanalysis to archaeology, see Malcolm Bowie, ‘Freud’s Dream of Knowledge’,</w:t>
      </w:r>
      <w:r>
        <w:rPr>
          <w:rFonts w:ascii="Calibri" w:hAnsi="Calibri" w:cs="Arial"/>
          <w:sz w:val="20"/>
          <w:szCs w:val="20"/>
        </w:rPr>
        <w:t xml:space="preserve"> in</w:t>
      </w:r>
      <w:r w:rsidRPr="00F76E63">
        <w:rPr>
          <w:rFonts w:ascii="Calibri" w:hAnsi="Calibri" w:cs="Arial"/>
          <w:sz w:val="20"/>
          <w:szCs w:val="20"/>
        </w:rPr>
        <w:t xml:space="preserve"> </w:t>
      </w:r>
      <w:r w:rsidRPr="00BC160F">
        <w:rPr>
          <w:rFonts w:ascii="Calibri" w:hAnsi="Calibri" w:cs="Arial"/>
          <w:sz w:val="20"/>
          <w:szCs w:val="20"/>
        </w:rPr>
        <w:t>Malcolm Bowie</w:t>
      </w:r>
      <w:r>
        <w:rPr>
          <w:rFonts w:ascii="Calibri" w:hAnsi="Calibri" w:cs="Arial"/>
          <w:sz w:val="20"/>
          <w:szCs w:val="20"/>
        </w:rPr>
        <w:t>,</w:t>
      </w:r>
      <w:r w:rsidRPr="00504E82">
        <w:rPr>
          <w:rFonts w:ascii="Calibri" w:hAnsi="Calibri" w:cs="Arial"/>
          <w:i/>
          <w:sz w:val="20"/>
          <w:szCs w:val="20"/>
        </w:rPr>
        <w:t xml:space="preserve"> </w:t>
      </w:r>
      <w:r w:rsidRPr="00F76E63">
        <w:rPr>
          <w:rFonts w:ascii="Calibri" w:hAnsi="Calibri" w:cs="Arial"/>
          <w:i/>
          <w:sz w:val="20"/>
          <w:szCs w:val="20"/>
        </w:rPr>
        <w:t xml:space="preserve">Freud, Proust and </w:t>
      </w:r>
      <w:proofErr w:type="spellStart"/>
      <w:r w:rsidRPr="00F76E63">
        <w:rPr>
          <w:rFonts w:ascii="Calibri" w:hAnsi="Calibri" w:cs="Arial"/>
          <w:i/>
          <w:sz w:val="20"/>
          <w:szCs w:val="20"/>
        </w:rPr>
        <w:t>Lacan</w:t>
      </w:r>
      <w:proofErr w:type="spellEnd"/>
      <w:r w:rsidRPr="00F76E63">
        <w:rPr>
          <w:rFonts w:ascii="Calibri" w:hAnsi="Calibri" w:cs="Arial"/>
          <w:i/>
          <w:sz w:val="20"/>
          <w:szCs w:val="20"/>
        </w:rPr>
        <w:t>: Theory as Fiction</w:t>
      </w:r>
      <w:r>
        <w:rPr>
          <w:rFonts w:ascii="Calibri" w:hAnsi="Calibri" w:cs="Arial"/>
          <w:sz w:val="20"/>
          <w:szCs w:val="20"/>
        </w:rPr>
        <w:t xml:space="preserve">, </w:t>
      </w:r>
      <w:r w:rsidRPr="00F76E63">
        <w:rPr>
          <w:rFonts w:ascii="Calibri" w:hAnsi="Calibri" w:cs="Arial"/>
          <w:sz w:val="20"/>
          <w:szCs w:val="20"/>
        </w:rPr>
        <w:t>Cambridge</w:t>
      </w:r>
      <w:r>
        <w:rPr>
          <w:rFonts w:ascii="Calibri" w:hAnsi="Calibri" w:cs="Arial"/>
          <w:sz w:val="20"/>
          <w:szCs w:val="20"/>
        </w:rPr>
        <w:t xml:space="preserve"> </w:t>
      </w:r>
      <w:r w:rsidRPr="00F76E63">
        <w:rPr>
          <w:rFonts w:ascii="Calibri" w:hAnsi="Calibri" w:cs="Arial"/>
          <w:sz w:val="20"/>
          <w:szCs w:val="20"/>
        </w:rPr>
        <w:t>1987, pp.13</w:t>
      </w:r>
      <w:r>
        <w:rPr>
          <w:rFonts w:ascii="Calibri" w:hAnsi="Calibri" w:cs="Arial"/>
          <w:sz w:val="20"/>
          <w:szCs w:val="20"/>
        </w:rPr>
        <w:t>–</w:t>
      </w:r>
      <w:r w:rsidRPr="00F76E63">
        <w:rPr>
          <w:rFonts w:ascii="Calibri" w:hAnsi="Calibri" w:cs="Arial"/>
          <w:sz w:val="20"/>
          <w:szCs w:val="20"/>
        </w:rPr>
        <w:t>44.</w:t>
      </w:r>
    </w:p>
  </w:endnote>
  <w:endnote w:id="18">
    <w:p w14:paraId="13B2F394" w14:textId="1F74CF9F" w:rsidR="00537497" w:rsidRPr="00F76E63" w:rsidRDefault="00537497" w:rsidP="003D32F7">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Freud, ‘Constructions in Analysis’ (1937),</w:t>
      </w:r>
      <w:r>
        <w:rPr>
          <w:rFonts w:ascii="Calibri" w:hAnsi="Calibri" w:cs="Arial"/>
        </w:rPr>
        <w:t xml:space="preserve"> in</w:t>
      </w:r>
      <w:r w:rsidRPr="00F76E63">
        <w:rPr>
          <w:rFonts w:ascii="Calibri" w:hAnsi="Calibri" w:cs="Arial"/>
        </w:rPr>
        <w:t xml:space="preserve"> </w:t>
      </w:r>
      <w:r w:rsidRPr="00F76E63">
        <w:rPr>
          <w:rFonts w:ascii="Calibri" w:hAnsi="Calibri" w:cs="Arial"/>
          <w:i/>
        </w:rPr>
        <w:t>The Standard Edition of the Complete Psychological Works</w:t>
      </w:r>
      <w:r>
        <w:rPr>
          <w:rFonts w:ascii="Calibri" w:hAnsi="Calibri" w:cs="Arial"/>
          <w:i/>
        </w:rPr>
        <w:t xml:space="preserve"> of Sigmund Freud</w:t>
      </w:r>
      <w:r w:rsidRPr="00F76E63">
        <w:rPr>
          <w:rFonts w:ascii="Calibri" w:hAnsi="Calibri" w:cs="Arial"/>
        </w:rPr>
        <w:t>, trans.</w:t>
      </w:r>
      <w:r>
        <w:rPr>
          <w:rFonts w:ascii="Calibri" w:hAnsi="Calibri" w:cs="Arial"/>
        </w:rPr>
        <w:t xml:space="preserve"> by</w:t>
      </w:r>
      <w:r w:rsidRPr="00F76E63">
        <w:rPr>
          <w:rFonts w:ascii="Calibri" w:hAnsi="Calibri" w:cs="Arial"/>
        </w:rPr>
        <w:t xml:space="preserve"> James Strachey, in collaboration with Anna Freud, </w:t>
      </w:r>
      <w:proofErr w:type="spellStart"/>
      <w:r w:rsidRPr="00F76E63">
        <w:rPr>
          <w:rFonts w:ascii="Calibri" w:hAnsi="Calibri" w:cs="Arial"/>
        </w:rPr>
        <w:t>Alix</w:t>
      </w:r>
      <w:proofErr w:type="spellEnd"/>
      <w:r w:rsidRPr="00F76E63">
        <w:rPr>
          <w:rFonts w:ascii="Calibri" w:hAnsi="Calibri" w:cs="Arial"/>
        </w:rPr>
        <w:t xml:space="preserve"> Strachey and Alan Tyson</w:t>
      </w:r>
      <w:r>
        <w:rPr>
          <w:rFonts w:ascii="Calibri" w:hAnsi="Calibri" w:cs="Arial"/>
        </w:rPr>
        <w:t>, vol.23,</w:t>
      </w:r>
      <w:r w:rsidRPr="00F76E63">
        <w:rPr>
          <w:rFonts w:ascii="Calibri" w:hAnsi="Calibri" w:cs="Arial"/>
        </w:rPr>
        <w:t xml:space="preserve"> London</w:t>
      </w:r>
      <w:r>
        <w:rPr>
          <w:rFonts w:ascii="Calibri" w:hAnsi="Calibri" w:cs="Arial"/>
        </w:rPr>
        <w:t xml:space="preserve"> </w:t>
      </w:r>
      <w:r w:rsidRPr="00F76E63">
        <w:rPr>
          <w:rFonts w:ascii="Calibri" w:hAnsi="Calibri" w:cs="Arial"/>
        </w:rPr>
        <w:t>2001, pp.235</w:t>
      </w:r>
      <w:r>
        <w:rPr>
          <w:rFonts w:ascii="Calibri" w:hAnsi="Calibri" w:cs="Arial"/>
        </w:rPr>
        <w:t>–</w:t>
      </w:r>
      <w:r w:rsidRPr="00F76E63">
        <w:rPr>
          <w:rFonts w:ascii="Calibri" w:hAnsi="Calibri" w:cs="Arial"/>
        </w:rPr>
        <w:t>70</w:t>
      </w:r>
      <w:r>
        <w:rPr>
          <w:rFonts w:ascii="Calibri" w:hAnsi="Calibri" w:cs="Arial"/>
        </w:rPr>
        <w:t xml:space="preserve">; </w:t>
      </w:r>
      <w:r w:rsidRPr="00F76E63">
        <w:rPr>
          <w:rFonts w:ascii="Calibri" w:hAnsi="Calibri" w:cs="Arial"/>
        </w:rPr>
        <w:t>p.259. On the recursive analogy used by Freud</w:t>
      </w:r>
      <w:r>
        <w:rPr>
          <w:rFonts w:ascii="Calibri" w:hAnsi="Calibri" w:cs="Arial"/>
        </w:rPr>
        <w:t>,</w:t>
      </w:r>
      <w:r w:rsidRPr="00F76E63">
        <w:rPr>
          <w:rFonts w:ascii="Calibri" w:hAnsi="Calibri" w:cs="Arial"/>
        </w:rPr>
        <w:t xml:space="preserve"> see Armstrong</w:t>
      </w:r>
      <w:r>
        <w:rPr>
          <w:rFonts w:ascii="Calibri" w:hAnsi="Calibri" w:cs="Arial"/>
        </w:rPr>
        <w:t xml:space="preserve"> 2005.</w:t>
      </w:r>
    </w:p>
  </w:endnote>
  <w:endnote w:id="19">
    <w:p w14:paraId="53373C9F" w14:textId="07227AA6" w:rsidR="00537497" w:rsidRPr="00F76E63" w:rsidRDefault="00537497" w:rsidP="003D32F7">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w:t>
      </w:r>
      <w:proofErr w:type="gramStart"/>
      <w:r w:rsidRPr="00F76E63">
        <w:rPr>
          <w:rFonts w:ascii="Calibri" w:hAnsi="Calibri" w:cs="Arial"/>
        </w:rPr>
        <w:t>Masson</w:t>
      </w:r>
      <w:r>
        <w:rPr>
          <w:rFonts w:ascii="Calibri" w:hAnsi="Calibri" w:cs="Arial"/>
        </w:rPr>
        <w:t xml:space="preserve"> 1985,</w:t>
      </w:r>
      <w:r w:rsidRPr="00F76E63">
        <w:rPr>
          <w:rFonts w:ascii="Calibri" w:hAnsi="Calibri" w:cs="Arial"/>
        </w:rPr>
        <w:t xml:space="preserve"> </w:t>
      </w:r>
      <w:r>
        <w:rPr>
          <w:rFonts w:ascii="Calibri" w:hAnsi="Calibri" w:cs="Arial"/>
        </w:rPr>
        <w:t>pp.</w:t>
      </w:r>
      <w:r w:rsidRPr="00F76E63">
        <w:rPr>
          <w:rFonts w:ascii="Calibri" w:hAnsi="Calibri" w:cs="Arial"/>
        </w:rPr>
        <w:t>207</w:t>
      </w:r>
      <w:r>
        <w:rPr>
          <w:rFonts w:ascii="Calibri" w:hAnsi="Calibri" w:cs="Arial"/>
        </w:rPr>
        <w:t>–</w:t>
      </w:r>
      <w:r w:rsidRPr="00F76E63">
        <w:rPr>
          <w:rFonts w:ascii="Calibri" w:hAnsi="Calibri" w:cs="Arial"/>
        </w:rPr>
        <w:t>15.</w:t>
      </w:r>
      <w:proofErr w:type="gramEnd"/>
      <w:r w:rsidRPr="00F76E63">
        <w:rPr>
          <w:rFonts w:ascii="Calibri" w:hAnsi="Calibri" w:cs="Arial"/>
        </w:rPr>
        <w:t xml:space="preserve"> </w:t>
      </w:r>
    </w:p>
  </w:endnote>
  <w:endnote w:id="20">
    <w:p w14:paraId="091D8106" w14:textId="46B8A73E" w:rsidR="00537497" w:rsidRPr="00F76E63" w:rsidRDefault="00537497" w:rsidP="003D32F7">
      <w:pPr>
        <w:rPr>
          <w:rFonts w:ascii="Calibri" w:hAnsi="Calibri" w:cs="Arial"/>
          <w:sz w:val="20"/>
          <w:szCs w:val="20"/>
        </w:rPr>
      </w:pPr>
      <w:r w:rsidRPr="00F76E63">
        <w:rPr>
          <w:rStyle w:val="EndnoteReference"/>
          <w:rFonts w:ascii="Calibri" w:hAnsi="Calibri" w:cs="Arial"/>
          <w:sz w:val="20"/>
          <w:szCs w:val="20"/>
        </w:rPr>
        <w:endnoteRef/>
      </w:r>
      <w:r w:rsidRPr="00F76E63">
        <w:rPr>
          <w:rFonts w:ascii="Calibri" w:hAnsi="Calibri" w:cs="Arial"/>
          <w:sz w:val="20"/>
          <w:szCs w:val="20"/>
        </w:rPr>
        <w:t xml:space="preserve"> </w:t>
      </w:r>
      <w:r>
        <w:rPr>
          <w:rFonts w:ascii="Calibri" w:hAnsi="Calibri" w:cs="Arial"/>
          <w:sz w:val="20"/>
          <w:szCs w:val="20"/>
        </w:rPr>
        <w:t>Ibid</w:t>
      </w:r>
      <w:r w:rsidRPr="00F76E63">
        <w:rPr>
          <w:rFonts w:ascii="Calibri" w:hAnsi="Calibri" w:cs="Arial"/>
          <w:sz w:val="20"/>
          <w:szCs w:val="20"/>
        </w:rPr>
        <w:t xml:space="preserve">. </w:t>
      </w:r>
      <w:r>
        <w:rPr>
          <w:rFonts w:ascii="Calibri" w:hAnsi="Calibri" w:cs="Arial"/>
          <w:sz w:val="20"/>
          <w:szCs w:val="20"/>
        </w:rPr>
        <w:t>For</w:t>
      </w:r>
      <w:r w:rsidRPr="00F76E63">
        <w:rPr>
          <w:rFonts w:ascii="Calibri" w:hAnsi="Calibri" w:cs="Arial"/>
          <w:sz w:val="20"/>
          <w:szCs w:val="20"/>
        </w:rPr>
        <w:t xml:space="preserve"> opposing views to this reading of the </w:t>
      </w:r>
      <w:r>
        <w:rPr>
          <w:rFonts w:ascii="Calibri" w:hAnsi="Calibri" w:cs="Arial"/>
          <w:sz w:val="20"/>
          <w:szCs w:val="20"/>
        </w:rPr>
        <w:t xml:space="preserve">mind, </w:t>
      </w:r>
      <w:r w:rsidRPr="00F76E63">
        <w:rPr>
          <w:rFonts w:ascii="Calibri" w:hAnsi="Calibri" w:cs="Arial"/>
          <w:sz w:val="20"/>
          <w:szCs w:val="20"/>
        </w:rPr>
        <w:t xml:space="preserve">see Bowie </w:t>
      </w:r>
      <w:r>
        <w:rPr>
          <w:rFonts w:ascii="Calibri" w:hAnsi="Calibri" w:cs="Arial"/>
          <w:sz w:val="20"/>
          <w:szCs w:val="20"/>
        </w:rPr>
        <w:t xml:space="preserve">1987, </w:t>
      </w:r>
      <w:r w:rsidRPr="00DF7077">
        <w:rPr>
          <w:rFonts w:ascii="Calibri" w:hAnsi="Calibri" w:cs="Arial"/>
          <w:sz w:val="20"/>
          <w:szCs w:val="20"/>
        </w:rPr>
        <w:t>pp.13</w:t>
      </w:r>
      <w:r>
        <w:rPr>
          <w:rFonts w:ascii="Calibri" w:hAnsi="Calibri" w:cs="Arial"/>
          <w:sz w:val="20"/>
          <w:szCs w:val="20"/>
        </w:rPr>
        <w:t>–</w:t>
      </w:r>
      <w:r w:rsidRPr="00DF7077">
        <w:rPr>
          <w:rFonts w:ascii="Calibri" w:hAnsi="Calibri" w:cs="Arial"/>
          <w:sz w:val="20"/>
          <w:szCs w:val="20"/>
        </w:rPr>
        <w:t>44</w:t>
      </w:r>
      <w:r w:rsidRPr="00F76E63">
        <w:rPr>
          <w:rFonts w:ascii="Calibri" w:hAnsi="Calibri" w:cs="Arial"/>
          <w:sz w:val="20"/>
          <w:szCs w:val="20"/>
        </w:rPr>
        <w:t xml:space="preserve">; </w:t>
      </w:r>
      <w:proofErr w:type="spellStart"/>
      <w:r w:rsidRPr="00F76E63">
        <w:rPr>
          <w:rFonts w:ascii="Calibri" w:hAnsi="Calibri" w:cs="Arial"/>
          <w:sz w:val="20"/>
          <w:szCs w:val="20"/>
        </w:rPr>
        <w:t>Kuspit</w:t>
      </w:r>
      <w:proofErr w:type="spellEnd"/>
      <w:r>
        <w:rPr>
          <w:rFonts w:ascii="Calibri" w:hAnsi="Calibri" w:cs="Arial"/>
          <w:sz w:val="20"/>
          <w:szCs w:val="20"/>
        </w:rPr>
        <w:t xml:space="preserve"> in </w:t>
      </w:r>
      <w:proofErr w:type="spellStart"/>
      <w:r>
        <w:rPr>
          <w:rFonts w:ascii="Calibri" w:hAnsi="Calibri" w:cs="Arial"/>
          <w:sz w:val="20"/>
          <w:szCs w:val="20"/>
        </w:rPr>
        <w:t>Gamwell</w:t>
      </w:r>
      <w:proofErr w:type="spellEnd"/>
      <w:r>
        <w:rPr>
          <w:rFonts w:ascii="Calibri" w:hAnsi="Calibri" w:cs="Arial"/>
          <w:sz w:val="20"/>
          <w:szCs w:val="20"/>
        </w:rPr>
        <w:t xml:space="preserve"> and Wells 1989, pp.133–52</w:t>
      </w:r>
      <w:r w:rsidRPr="00F76E63">
        <w:rPr>
          <w:rFonts w:ascii="Calibri" w:hAnsi="Calibri" w:cs="Arial"/>
          <w:sz w:val="20"/>
          <w:szCs w:val="20"/>
        </w:rPr>
        <w:t xml:space="preserve">; and Donald Spence, </w:t>
      </w:r>
      <w:r w:rsidRPr="00F76E63">
        <w:rPr>
          <w:rFonts w:ascii="Calibri" w:hAnsi="Calibri" w:cs="Arial"/>
          <w:i/>
          <w:sz w:val="20"/>
          <w:szCs w:val="20"/>
        </w:rPr>
        <w:t>The Freudian Metaphor: Towards A Paradigm Change in Psychoanalysis</w:t>
      </w:r>
      <w:r>
        <w:rPr>
          <w:rFonts w:ascii="Calibri" w:hAnsi="Calibri" w:cs="Arial"/>
          <w:sz w:val="20"/>
          <w:szCs w:val="20"/>
        </w:rPr>
        <w:t xml:space="preserve">, </w:t>
      </w:r>
      <w:r w:rsidRPr="00F76E63">
        <w:rPr>
          <w:rFonts w:ascii="Calibri" w:hAnsi="Calibri" w:cs="Arial"/>
          <w:sz w:val="20"/>
          <w:szCs w:val="20"/>
        </w:rPr>
        <w:t>New York</w:t>
      </w:r>
      <w:r>
        <w:rPr>
          <w:rFonts w:ascii="Calibri" w:hAnsi="Calibri" w:cs="Arial"/>
          <w:sz w:val="20"/>
          <w:szCs w:val="20"/>
        </w:rPr>
        <w:t xml:space="preserve"> </w:t>
      </w:r>
      <w:r w:rsidRPr="00F76E63">
        <w:rPr>
          <w:rFonts w:ascii="Calibri" w:hAnsi="Calibri" w:cs="Arial"/>
          <w:sz w:val="20"/>
          <w:szCs w:val="20"/>
        </w:rPr>
        <w:t>1987.</w:t>
      </w:r>
    </w:p>
  </w:endnote>
  <w:endnote w:id="21">
    <w:p w14:paraId="4BEB6DD0" w14:textId="5BF7461A" w:rsidR="00537497" w:rsidRPr="00F76E63" w:rsidRDefault="00537497" w:rsidP="003D32F7">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w:t>
      </w:r>
      <w:r>
        <w:rPr>
          <w:rFonts w:ascii="Calibri" w:hAnsi="Calibri" w:cs="Arial"/>
        </w:rPr>
        <w:t xml:space="preserve">Whitney </w:t>
      </w:r>
      <w:r w:rsidRPr="00F76E63">
        <w:rPr>
          <w:rFonts w:ascii="Calibri" w:hAnsi="Calibri" w:cs="Arial"/>
        </w:rPr>
        <w:t xml:space="preserve">Davis, </w:t>
      </w:r>
      <w:r w:rsidRPr="00F76E63">
        <w:rPr>
          <w:rFonts w:ascii="Calibri" w:hAnsi="Calibri" w:cs="Arial"/>
          <w:i/>
        </w:rPr>
        <w:t>Replications: Archaeology, Art History, Psychoanalysis</w:t>
      </w:r>
      <w:r w:rsidRPr="00F76E63">
        <w:rPr>
          <w:rFonts w:ascii="Calibri" w:hAnsi="Calibri" w:cs="Arial"/>
        </w:rPr>
        <w:t xml:space="preserve">, </w:t>
      </w:r>
      <w:r w:rsidRPr="00CC3181">
        <w:rPr>
          <w:rFonts w:ascii="Calibri" w:hAnsi="Calibri" w:cs="Arial"/>
        </w:rPr>
        <w:t>Pennsylvania</w:t>
      </w:r>
      <w:r>
        <w:rPr>
          <w:rFonts w:ascii="Calibri" w:hAnsi="Calibri" w:cs="Arial"/>
        </w:rPr>
        <w:t xml:space="preserve"> 1996, </w:t>
      </w:r>
      <w:proofErr w:type="gramStart"/>
      <w:r w:rsidRPr="00F76E63">
        <w:rPr>
          <w:rFonts w:ascii="Calibri" w:hAnsi="Calibri" w:cs="Arial"/>
        </w:rPr>
        <w:t>p.30</w:t>
      </w:r>
      <w:proofErr w:type="gramEnd"/>
      <w:r w:rsidRPr="00F76E63">
        <w:rPr>
          <w:rFonts w:ascii="Calibri" w:hAnsi="Calibri" w:cs="Arial"/>
        </w:rPr>
        <w:t xml:space="preserve">. See also Danny </w:t>
      </w:r>
      <w:proofErr w:type="spellStart"/>
      <w:r w:rsidRPr="00F76E63">
        <w:rPr>
          <w:rFonts w:ascii="Calibri" w:hAnsi="Calibri" w:cs="Arial"/>
        </w:rPr>
        <w:t>Nobus</w:t>
      </w:r>
      <w:proofErr w:type="spellEnd"/>
      <w:r w:rsidRPr="00F76E63">
        <w:rPr>
          <w:rFonts w:ascii="Calibri" w:hAnsi="Calibri" w:cs="Arial"/>
        </w:rPr>
        <w:t xml:space="preserve"> and Malcolm Quinn, ‘Epistemological Regression and the Problem of Applied Psychoanalysis’, </w:t>
      </w:r>
      <w:r>
        <w:rPr>
          <w:rFonts w:ascii="Calibri" w:hAnsi="Calibri" w:cs="Arial"/>
        </w:rPr>
        <w:t xml:space="preserve">in </w:t>
      </w:r>
      <w:r w:rsidRPr="00BC160F">
        <w:rPr>
          <w:rFonts w:ascii="Calibri" w:hAnsi="Calibri" w:cs="Arial"/>
        </w:rPr>
        <w:t xml:space="preserve">Danny </w:t>
      </w:r>
      <w:proofErr w:type="spellStart"/>
      <w:r w:rsidRPr="00BC160F">
        <w:rPr>
          <w:rFonts w:ascii="Calibri" w:hAnsi="Calibri" w:cs="Arial"/>
        </w:rPr>
        <w:t>Nobus</w:t>
      </w:r>
      <w:proofErr w:type="spellEnd"/>
      <w:r w:rsidRPr="00BC160F">
        <w:rPr>
          <w:rFonts w:ascii="Calibri" w:hAnsi="Calibri" w:cs="Arial"/>
        </w:rPr>
        <w:t xml:space="preserve"> and Malcolm Quinn</w:t>
      </w:r>
      <w:r>
        <w:rPr>
          <w:rFonts w:ascii="Calibri" w:hAnsi="Calibri" w:cs="Arial"/>
        </w:rPr>
        <w:t>,</w:t>
      </w:r>
      <w:r w:rsidRPr="00DA3B57">
        <w:rPr>
          <w:rFonts w:ascii="Calibri" w:hAnsi="Calibri" w:cs="Arial"/>
          <w:i/>
        </w:rPr>
        <w:t xml:space="preserve"> </w:t>
      </w:r>
      <w:r w:rsidRPr="00F76E63">
        <w:rPr>
          <w:rFonts w:ascii="Calibri" w:hAnsi="Calibri" w:cs="Arial"/>
          <w:i/>
        </w:rPr>
        <w:t>Knowing Nothing, Staying Stupid: Elements for a Psychoanalytic Epistemology</w:t>
      </w:r>
      <w:r>
        <w:rPr>
          <w:rFonts w:ascii="Calibri" w:hAnsi="Calibri" w:cs="Arial"/>
        </w:rPr>
        <w:t xml:space="preserve">, </w:t>
      </w:r>
      <w:r w:rsidRPr="00F76E63">
        <w:rPr>
          <w:rFonts w:ascii="Calibri" w:hAnsi="Calibri" w:cs="Arial"/>
        </w:rPr>
        <w:t>London 2005, pp.186</w:t>
      </w:r>
      <w:r>
        <w:rPr>
          <w:rFonts w:ascii="Calibri" w:hAnsi="Calibri" w:cs="Arial"/>
        </w:rPr>
        <w:t>–</w:t>
      </w:r>
      <w:r w:rsidRPr="00F76E63">
        <w:rPr>
          <w:rFonts w:ascii="Calibri" w:hAnsi="Calibri" w:cs="Arial"/>
        </w:rPr>
        <w:t>200.</w:t>
      </w:r>
    </w:p>
  </w:endnote>
  <w:endnote w:id="22">
    <w:p w14:paraId="21E0ABF7" w14:textId="7E6E9841" w:rsidR="00537497" w:rsidRPr="00F76E63" w:rsidRDefault="00537497" w:rsidP="003D32F7">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Adam Phillips, </w:t>
      </w:r>
      <w:r w:rsidRPr="00F76E63">
        <w:rPr>
          <w:rFonts w:ascii="Calibri" w:hAnsi="Calibri" w:cs="Arial"/>
          <w:i/>
        </w:rPr>
        <w:t>Terror and Experts</w:t>
      </w:r>
      <w:r>
        <w:rPr>
          <w:rFonts w:ascii="Calibri" w:hAnsi="Calibri" w:cs="Arial"/>
        </w:rPr>
        <w:t xml:space="preserve">, </w:t>
      </w:r>
      <w:r w:rsidRPr="00F76E63">
        <w:rPr>
          <w:rFonts w:ascii="Calibri" w:hAnsi="Calibri" w:cs="Arial"/>
        </w:rPr>
        <w:t>London 1995, p.12.</w:t>
      </w:r>
    </w:p>
  </w:endnote>
  <w:endnote w:id="23">
    <w:p w14:paraId="4331EFAF" w14:textId="511F71A7" w:rsidR="00537497" w:rsidRPr="00F76E63" w:rsidRDefault="00537497" w:rsidP="003D32F7">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On the politics of the appropriation of non-Western art and culture in modernity, see James Clifford, ‘On Collecting Art and Culture’,</w:t>
      </w:r>
      <w:r>
        <w:rPr>
          <w:rFonts w:ascii="Calibri" w:hAnsi="Calibri" w:cs="Arial"/>
        </w:rPr>
        <w:t xml:space="preserve"> in</w:t>
      </w:r>
      <w:r w:rsidRPr="00F76E63">
        <w:rPr>
          <w:rFonts w:ascii="Calibri" w:hAnsi="Calibri" w:cs="Arial"/>
        </w:rPr>
        <w:t xml:space="preserve"> </w:t>
      </w:r>
      <w:r w:rsidRPr="00BC160F">
        <w:rPr>
          <w:rFonts w:ascii="Calibri" w:hAnsi="Calibri" w:cs="Arial"/>
        </w:rPr>
        <w:t>James Clifford</w:t>
      </w:r>
      <w:r>
        <w:rPr>
          <w:rFonts w:ascii="Calibri" w:hAnsi="Calibri" w:cs="Arial"/>
        </w:rPr>
        <w:t>,</w:t>
      </w:r>
      <w:r w:rsidRPr="00DA3B57">
        <w:rPr>
          <w:rFonts w:ascii="Calibri" w:hAnsi="Calibri" w:cs="Arial"/>
          <w:i/>
        </w:rPr>
        <w:t xml:space="preserve"> </w:t>
      </w:r>
      <w:r w:rsidRPr="00F76E63">
        <w:rPr>
          <w:rFonts w:ascii="Calibri" w:hAnsi="Calibri" w:cs="Arial"/>
          <w:i/>
        </w:rPr>
        <w:t>The Predicament of Culture: Twentieth Century Ethnography, Literature, and Art</w:t>
      </w:r>
      <w:r>
        <w:rPr>
          <w:rFonts w:ascii="Calibri" w:hAnsi="Calibri" w:cs="Arial"/>
        </w:rPr>
        <w:t>,</w:t>
      </w:r>
      <w:r w:rsidRPr="00F76E63">
        <w:rPr>
          <w:rFonts w:ascii="Calibri" w:hAnsi="Calibri" w:cs="Arial"/>
        </w:rPr>
        <w:t xml:space="preserve"> Cambridge, M</w:t>
      </w:r>
      <w:r>
        <w:rPr>
          <w:rFonts w:ascii="Calibri" w:hAnsi="Calibri" w:cs="Arial"/>
        </w:rPr>
        <w:t xml:space="preserve">assachusetts </w:t>
      </w:r>
      <w:r w:rsidRPr="00F76E63">
        <w:rPr>
          <w:rFonts w:ascii="Calibri" w:hAnsi="Calibri" w:cs="Arial"/>
        </w:rPr>
        <w:t>1988, pp.215</w:t>
      </w:r>
      <w:r>
        <w:rPr>
          <w:rFonts w:ascii="Calibri" w:hAnsi="Calibri" w:cs="Arial"/>
        </w:rPr>
        <w:t>–</w:t>
      </w:r>
      <w:r w:rsidRPr="00F76E63">
        <w:rPr>
          <w:rFonts w:ascii="Calibri" w:hAnsi="Calibri" w:cs="Arial"/>
        </w:rPr>
        <w:t xml:space="preserve">52. </w:t>
      </w:r>
    </w:p>
  </w:endnote>
  <w:endnote w:id="24">
    <w:p w14:paraId="6DC4D4F4" w14:textId="5146904A" w:rsidR="00537497" w:rsidRPr="00F76E63" w:rsidRDefault="00537497" w:rsidP="003D32F7">
      <w:pPr>
        <w:rPr>
          <w:rFonts w:ascii="Calibri" w:hAnsi="Calibri" w:cs="Arial"/>
          <w:sz w:val="20"/>
          <w:szCs w:val="20"/>
        </w:rPr>
      </w:pPr>
      <w:r w:rsidRPr="00F76E63">
        <w:rPr>
          <w:rStyle w:val="EndnoteReference"/>
          <w:rFonts w:ascii="Calibri" w:hAnsi="Calibri" w:cs="Arial"/>
          <w:sz w:val="20"/>
          <w:szCs w:val="20"/>
        </w:rPr>
        <w:endnoteRef/>
      </w:r>
      <w:r w:rsidRPr="00F76E63">
        <w:rPr>
          <w:rFonts w:ascii="Calibri" w:hAnsi="Calibri" w:cs="Arial"/>
          <w:sz w:val="20"/>
          <w:szCs w:val="20"/>
        </w:rPr>
        <w:t xml:space="preserve"> Hiller quoted in </w:t>
      </w:r>
      <w:r w:rsidRPr="00F76E63">
        <w:rPr>
          <w:rFonts w:ascii="Calibri" w:hAnsi="Calibri"/>
          <w:sz w:val="20"/>
          <w:szCs w:val="20"/>
        </w:rPr>
        <w:t>Denise Robinson, ‘“…scarce stains the dust…</w:t>
      </w:r>
      <w:proofErr w:type="gramStart"/>
      <w:r w:rsidRPr="00F76E63">
        <w:rPr>
          <w:rFonts w:ascii="Calibri" w:hAnsi="Calibri"/>
          <w:sz w:val="20"/>
          <w:szCs w:val="20"/>
        </w:rPr>
        <w:t>”:</w:t>
      </w:r>
      <w:proofErr w:type="gramEnd"/>
      <w:r w:rsidRPr="00F76E63">
        <w:rPr>
          <w:rFonts w:ascii="Calibri" w:hAnsi="Calibri"/>
          <w:sz w:val="20"/>
          <w:szCs w:val="20"/>
        </w:rPr>
        <w:t xml:space="preserve"> Freud’s Museum – the Work of Susan Hiller’, in James Lingwood</w:t>
      </w:r>
      <w:r>
        <w:rPr>
          <w:rFonts w:ascii="Calibri" w:hAnsi="Calibri"/>
          <w:sz w:val="20"/>
          <w:szCs w:val="20"/>
        </w:rPr>
        <w:t xml:space="preserve"> (</w:t>
      </w:r>
      <w:r w:rsidRPr="00F76E63">
        <w:rPr>
          <w:rFonts w:ascii="Calibri" w:hAnsi="Calibri"/>
          <w:sz w:val="20"/>
          <w:szCs w:val="20"/>
        </w:rPr>
        <w:t>ed.</w:t>
      </w:r>
      <w:r>
        <w:rPr>
          <w:rFonts w:ascii="Calibri" w:hAnsi="Calibri"/>
          <w:sz w:val="20"/>
          <w:szCs w:val="20"/>
        </w:rPr>
        <w:t>)</w:t>
      </w:r>
      <w:r w:rsidRPr="00F76E63">
        <w:rPr>
          <w:rFonts w:ascii="Calibri" w:hAnsi="Calibri"/>
          <w:sz w:val="20"/>
          <w:szCs w:val="20"/>
        </w:rPr>
        <w:t xml:space="preserve">, </w:t>
      </w:r>
      <w:r w:rsidRPr="00F76E63">
        <w:rPr>
          <w:rFonts w:ascii="Calibri" w:hAnsi="Calibri"/>
          <w:i/>
          <w:sz w:val="20"/>
          <w:szCs w:val="20"/>
        </w:rPr>
        <w:t>Susan Hill</w:t>
      </w:r>
      <w:r w:rsidRPr="008C66B4">
        <w:rPr>
          <w:rFonts w:ascii="Calibri" w:hAnsi="Calibri"/>
          <w:i/>
          <w:sz w:val="20"/>
          <w:szCs w:val="20"/>
        </w:rPr>
        <w:t>er: Recall, Selected Works 1969–</w:t>
      </w:r>
      <w:r w:rsidRPr="00F76E63">
        <w:rPr>
          <w:rFonts w:ascii="Calibri" w:hAnsi="Calibri"/>
          <w:i/>
          <w:sz w:val="20"/>
          <w:szCs w:val="20"/>
        </w:rPr>
        <w:t>2004</w:t>
      </w:r>
      <w:r w:rsidRPr="00F76E63">
        <w:rPr>
          <w:rFonts w:ascii="Calibri" w:hAnsi="Calibri"/>
          <w:sz w:val="20"/>
          <w:szCs w:val="20"/>
        </w:rPr>
        <w:t>,</w:t>
      </w:r>
      <w:r>
        <w:rPr>
          <w:rFonts w:ascii="Calibri" w:hAnsi="Calibri"/>
          <w:sz w:val="20"/>
          <w:szCs w:val="20"/>
        </w:rPr>
        <w:t xml:space="preserve"> exhibition catalogue,</w:t>
      </w:r>
      <w:r w:rsidRPr="00F76E63">
        <w:rPr>
          <w:rFonts w:ascii="Calibri" w:hAnsi="Calibri"/>
          <w:sz w:val="20"/>
          <w:szCs w:val="20"/>
        </w:rPr>
        <w:t xml:space="preserve"> </w:t>
      </w:r>
      <w:r w:rsidRPr="00EC63A1">
        <w:rPr>
          <w:rFonts w:ascii="Calibri" w:hAnsi="Calibri"/>
          <w:sz w:val="20"/>
          <w:szCs w:val="20"/>
        </w:rPr>
        <w:t>Baltic Centre for Contemporary Art</w:t>
      </w:r>
      <w:r>
        <w:rPr>
          <w:rFonts w:ascii="Calibri" w:hAnsi="Calibri"/>
          <w:sz w:val="20"/>
          <w:szCs w:val="20"/>
        </w:rPr>
        <w:t xml:space="preserve">, </w:t>
      </w:r>
      <w:r w:rsidRPr="00F76E63">
        <w:rPr>
          <w:rFonts w:ascii="Calibri" w:hAnsi="Calibri"/>
          <w:sz w:val="20"/>
          <w:szCs w:val="20"/>
        </w:rPr>
        <w:t>Gateshead 2005</w:t>
      </w:r>
      <w:r w:rsidRPr="00F76E63">
        <w:rPr>
          <w:rFonts w:ascii="Calibri" w:hAnsi="Calibri" w:cs="Arial"/>
          <w:sz w:val="20"/>
          <w:szCs w:val="20"/>
        </w:rPr>
        <w:t>, p.103.</w:t>
      </w:r>
    </w:p>
  </w:endnote>
  <w:endnote w:id="25">
    <w:p w14:paraId="332A8050" w14:textId="466699F5" w:rsidR="00537497" w:rsidRPr="00F76E63" w:rsidRDefault="00537497" w:rsidP="003D32F7">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Jack J. Spector, ‘</w:t>
      </w:r>
      <w:proofErr w:type="spellStart"/>
      <w:r w:rsidRPr="00F76E63">
        <w:rPr>
          <w:rFonts w:ascii="Calibri" w:hAnsi="Calibri" w:cs="Arial"/>
        </w:rPr>
        <w:t>Dr.</w:t>
      </w:r>
      <w:proofErr w:type="spellEnd"/>
      <w:r w:rsidRPr="00F76E63">
        <w:rPr>
          <w:rFonts w:ascii="Calibri" w:hAnsi="Calibri" w:cs="Arial"/>
        </w:rPr>
        <w:t xml:space="preserve"> Sigmund Freud, Art Collector’, </w:t>
      </w:r>
      <w:proofErr w:type="spellStart"/>
      <w:r w:rsidRPr="00F76E63">
        <w:rPr>
          <w:rFonts w:ascii="Calibri" w:hAnsi="Calibri" w:cs="Arial"/>
          <w:i/>
        </w:rPr>
        <w:t>ARTnews</w:t>
      </w:r>
      <w:proofErr w:type="spellEnd"/>
      <w:r>
        <w:rPr>
          <w:rFonts w:ascii="Calibri" w:hAnsi="Calibri" w:cs="Arial"/>
        </w:rPr>
        <w:t>,</w:t>
      </w:r>
      <w:r w:rsidRPr="00F76E63">
        <w:rPr>
          <w:rFonts w:ascii="Calibri" w:hAnsi="Calibri" w:cs="Arial"/>
        </w:rPr>
        <w:t xml:space="preserve"> April 1975, p.21. </w:t>
      </w:r>
    </w:p>
  </w:endnote>
  <w:endnote w:id="26">
    <w:p w14:paraId="008957A8" w14:textId="545D41AE" w:rsidR="00537497" w:rsidRPr="00F76E63" w:rsidRDefault="00537497" w:rsidP="003D32F7">
      <w:pPr>
        <w:pStyle w:val="EndnoteText"/>
        <w:rPr>
          <w:rFonts w:ascii="Calibri" w:hAnsi="Calibri" w:cs="Arial"/>
        </w:rPr>
      </w:pPr>
      <w:r w:rsidRPr="00F76E63">
        <w:rPr>
          <w:rStyle w:val="EndnoteReference"/>
          <w:rFonts w:ascii="Calibri" w:hAnsi="Calibri" w:cs="Arial"/>
        </w:rPr>
        <w:endnoteRef/>
      </w:r>
      <w:r w:rsidRPr="00F76E63">
        <w:rPr>
          <w:rFonts w:ascii="Calibri" w:hAnsi="Calibri" w:cs="Arial"/>
        </w:rPr>
        <w:t xml:space="preserve"> Jean </w:t>
      </w:r>
      <w:proofErr w:type="spellStart"/>
      <w:r w:rsidRPr="00F76E63">
        <w:rPr>
          <w:rFonts w:ascii="Calibri" w:hAnsi="Calibri" w:cs="Arial"/>
        </w:rPr>
        <w:t>Baudrillard</w:t>
      </w:r>
      <w:proofErr w:type="spellEnd"/>
      <w:r w:rsidRPr="00F76E63">
        <w:rPr>
          <w:rFonts w:ascii="Calibri" w:hAnsi="Calibri" w:cs="Arial"/>
        </w:rPr>
        <w:t>, ‘The System of Collecting’, in</w:t>
      </w:r>
      <w:r>
        <w:rPr>
          <w:rFonts w:ascii="Calibri" w:hAnsi="Calibri" w:cs="Arial"/>
        </w:rPr>
        <w:t xml:space="preserve"> </w:t>
      </w:r>
      <w:proofErr w:type="spellStart"/>
      <w:r w:rsidRPr="00DF7077">
        <w:rPr>
          <w:rFonts w:ascii="Calibri" w:hAnsi="Calibri" w:cs="Arial"/>
        </w:rPr>
        <w:t>Elsner</w:t>
      </w:r>
      <w:proofErr w:type="spellEnd"/>
      <w:r w:rsidRPr="00DF7077">
        <w:rPr>
          <w:rFonts w:ascii="Calibri" w:hAnsi="Calibri" w:cs="Arial"/>
        </w:rPr>
        <w:t xml:space="preserve"> and Cardinal</w:t>
      </w:r>
      <w:r>
        <w:rPr>
          <w:rFonts w:ascii="Calibri" w:hAnsi="Calibri" w:cs="Arial"/>
        </w:rPr>
        <w:t xml:space="preserve"> </w:t>
      </w:r>
      <w:r w:rsidRPr="00F76E63">
        <w:rPr>
          <w:rFonts w:ascii="Calibri" w:hAnsi="Calibri" w:cs="Arial"/>
        </w:rPr>
        <w:t xml:space="preserve">1994, p.12. See also Walter Benjamin, ‘Unpacking </w:t>
      </w:r>
      <w:r w:rsidRPr="008C66B4">
        <w:rPr>
          <w:rFonts w:ascii="Arial" w:hAnsi="Arial" w:cs="Arial"/>
          <w:sz w:val="16"/>
          <w:szCs w:val="16"/>
        </w:rPr>
        <w:t>My</w:t>
      </w:r>
      <w:r w:rsidRPr="00F76E63">
        <w:rPr>
          <w:rFonts w:ascii="Calibri" w:hAnsi="Calibri" w:cs="Arial"/>
        </w:rPr>
        <w:t xml:space="preserve"> Library: A Talk about Book Collecting’ (1931), </w:t>
      </w:r>
      <w:r>
        <w:rPr>
          <w:rFonts w:ascii="Calibri" w:hAnsi="Calibri" w:cs="Arial"/>
        </w:rPr>
        <w:t xml:space="preserve">in </w:t>
      </w:r>
      <w:r w:rsidRPr="00BC160F">
        <w:rPr>
          <w:rFonts w:ascii="Calibri" w:hAnsi="Calibri" w:cs="Arial"/>
        </w:rPr>
        <w:t>Walter Benjamin</w:t>
      </w:r>
      <w:r>
        <w:rPr>
          <w:rFonts w:ascii="Calibri" w:hAnsi="Calibri" w:cs="Arial"/>
        </w:rPr>
        <w:t xml:space="preserve">, </w:t>
      </w:r>
      <w:r w:rsidRPr="00F76E63">
        <w:rPr>
          <w:rFonts w:ascii="Calibri" w:hAnsi="Calibri" w:cs="Arial"/>
          <w:i/>
        </w:rPr>
        <w:t>Illuminations: Essays and Reflections</w:t>
      </w:r>
      <w:r>
        <w:rPr>
          <w:rFonts w:ascii="Calibri" w:hAnsi="Calibri" w:cs="Arial"/>
        </w:rPr>
        <w:t xml:space="preserve">, </w:t>
      </w:r>
      <w:r w:rsidRPr="00F76E63">
        <w:rPr>
          <w:rFonts w:ascii="Calibri" w:hAnsi="Calibri" w:cs="Arial"/>
        </w:rPr>
        <w:t>New York</w:t>
      </w:r>
      <w:r>
        <w:rPr>
          <w:rFonts w:ascii="Calibri" w:hAnsi="Calibri" w:cs="Arial"/>
        </w:rPr>
        <w:t xml:space="preserve"> </w:t>
      </w:r>
      <w:r w:rsidRPr="00F76E63">
        <w:rPr>
          <w:rFonts w:ascii="Calibri" w:hAnsi="Calibri" w:cs="Arial"/>
        </w:rPr>
        <w:t>1968, pp.59</w:t>
      </w:r>
      <w:r>
        <w:rPr>
          <w:rFonts w:ascii="Calibri" w:hAnsi="Calibri" w:cs="Arial"/>
        </w:rPr>
        <w:t>–</w:t>
      </w:r>
      <w:r w:rsidRPr="00F76E63">
        <w:rPr>
          <w:rFonts w:ascii="Calibri" w:hAnsi="Calibri" w:cs="Arial"/>
        </w:rPr>
        <w:t>68.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宋体">
    <w:charset w:val="50"/>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445182"/>
      <w:docPartObj>
        <w:docPartGallery w:val="Page Numbers (Bottom of Page)"/>
        <w:docPartUnique/>
      </w:docPartObj>
    </w:sdtPr>
    <w:sdtEndPr>
      <w:rPr>
        <w:noProof/>
      </w:rPr>
    </w:sdtEndPr>
    <w:sdtContent>
      <w:p w14:paraId="5A93D827" w14:textId="77777777" w:rsidR="00537497" w:rsidRDefault="00537497">
        <w:pPr>
          <w:pStyle w:val="Footer"/>
          <w:jc w:val="center"/>
        </w:pPr>
        <w:r>
          <w:fldChar w:fldCharType="begin"/>
        </w:r>
        <w:r>
          <w:instrText xml:space="preserve"> PAGE   \* MERGEFORMAT </w:instrText>
        </w:r>
        <w:r>
          <w:fldChar w:fldCharType="separate"/>
        </w:r>
        <w:r w:rsidR="00F76E63">
          <w:rPr>
            <w:noProof/>
          </w:rPr>
          <w:t>2</w:t>
        </w:r>
        <w:r>
          <w:rPr>
            <w:noProof/>
          </w:rPr>
          <w:fldChar w:fldCharType="end"/>
        </w:r>
      </w:p>
    </w:sdtContent>
  </w:sdt>
  <w:p w14:paraId="74D82FEC" w14:textId="77777777" w:rsidR="00537497" w:rsidRDefault="005374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6D8DA" w14:textId="77777777" w:rsidR="00537497" w:rsidRDefault="00537497" w:rsidP="00BC62D6">
      <w:r>
        <w:separator/>
      </w:r>
    </w:p>
  </w:footnote>
  <w:footnote w:type="continuationSeparator" w:id="0">
    <w:p w14:paraId="2F15881F" w14:textId="77777777" w:rsidR="00537497" w:rsidRDefault="00537497" w:rsidP="00BC62D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E615C"/>
    <w:multiLevelType w:val="hybridMultilevel"/>
    <w:tmpl w:val="853E4096"/>
    <w:lvl w:ilvl="0" w:tplc="52063E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lia White">
    <w15:presenceInfo w15:providerId="AD" w15:userId="S-1-5-21-57989841-1580818891-1801674531-256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2E"/>
    <w:rsid w:val="0000193A"/>
    <w:rsid w:val="00002466"/>
    <w:rsid w:val="00004EEB"/>
    <w:rsid w:val="00011F42"/>
    <w:rsid w:val="000120D3"/>
    <w:rsid w:val="000127D4"/>
    <w:rsid w:val="0001280B"/>
    <w:rsid w:val="00013341"/>
    <w:rsid w:val="00015C75"/>
    <w:rsid w:val="0002205C"/>
    <w:rsid w:val="000223F5"/>
    <w:rsid w:val="00023130"/>
    <w:rsid w:val="0002722A"/>
    <w:rsid w:val="00027D9E"/>
    <w:rsid w:val="0003128F"/>
    <w:rsid w:val="00031DEE"/>
    <w:rsid w:val="00033039"/>
    <w:rsid w:val="000346CC"/>
    <w:rsid w:val="0003479A"/>
    <w:rsid w:val="00034DC6"/>
    <w:rsid w:val="000350D2"/>
    <w:rsid w:val="000351AA"/>
    <w:rsid w:val="000352A1"/>
    <w:rsid w:val="000355F9"/>
    <w:rsid w:val="0004340D"/>
    <w:rsid w:val="000453F0"/>
    <w:rsid w:val="000454FE"/>
    <w:rsid w:val="00046207"/>
    <w:rsid w:val="0005559B"/>
    <w:rsid w:val="00055933"/>
    <w:rsid w:val="00056AEB"/>
    <w:rsid w:val="000603EC"/>
    <w:rsid w:val="0006105D"/>
    <w:rsid w:val="00062F30"/>
    <w:rsid w:val="00064617"/>
    <w:rsid w:val="00067A86"/>
    <w:rsid w:val="00070A69"/>
    <w:rsid w:val="00076A3B"/>
    <w:rsid w:val="00077A50"/>
    <w:rsid w:val="00081226"/>
    <w:rsid w:val="000854B3"/>
    <w:rsid w:val="00086924"/>
    <w:rsid w:val="000907E7"/>
    <w:rsid w:val="00092390"/>
    <w:rsid w:val="00095C1E"/>
    <w:rsid w:val="000A12F7"/>
    <w:rsid w:val="000A1AFE"/>
    <w:rsid w:val="000A47E6"/>
    <w:rsid w:val="000B1EFC"/>
    <w:rsid w:val="000B2378"/>
    <w:rsid w:val="000B5DF4"/>
    <w:rsid w:val="000C02E5"/>
    <w:rsid w:val="000C5037"/>
    <w:rsid w:val="000C5F8E"/>
    <w:rsid w:val="000C6734"/>
    <w:rsid w:val="000C6A62"/>
    <w:rsid w:val="000C73B5"/>
    <w:rsid w:val="000D0CDB"/>
    <w:rsid w:val="000D3BD1"/>
    <w:rsid w:val="000D4716"/>
    <w:rsid w:val="000D7843"/>
    <w:rsid w:val="000E01C2"/>
    <w:rsid w:val="000E292C"/>
    <w:rsid w:val="000E382C"/>
    <w:rsid w:val="000E426D"/>
    <w:rsid w:val="000E4B95"/>
    <w:rsid w:val="000E6C00"/>
    <w:rsid w:val="000F1566"/>
    <w:rsid w:val="000F1C86"/>
    <w:rsid w:val="000F2F8A"/>
    <w:rsid w:val="000F4329"/>
    <w:rsid w:val="000F46BB"/>
    <w:rsid w:val="000F511C"/>
    <w:rsid w:val="000F52A0"/>
    <w:rsid w:val="000F7AA2"/>
    <w:rsid w:val="001015A0"/>
    <w:rsid w:val="001018B9"/>
    <w:rsid w:val="00102BE3"/>
    <w:rsid w:val="001047CD"/>
    <w:rsid w:val="00112575"/>
    <w:rsid w:val="001155AD"/>
    <w:rsid w:val="0011576A"/>
    <w:rsid w:val="001178BC"/>
    <w:rsid w:val="00117D4E"/>
    <w:rsid w:val="00125672"/>
    <w:rsid w:val="0013577A"/>
    <w:rsid w:val="00135B6C"/>
    <w:rsid w:val="0014289D"/>
    <w:rsid w:val="00142912"/>
    <w:rsid w:val="00142D94"/>
    <w:rsid w:val="00143283"/>
    <w:rsid w:val="0014579C"/>
    <w:rsid w:val="0014692D"/>
    <w:rsid w:val="001472B7"/>
    <w:rsid w:val="001477A8"/>
    <w:rsid w:val="0015262C"/>
    <w:rsid w:val="00153011"/>
    <w:rsid w:val="00153F1E"/>
    <w:rsid w:val="00156203"/>
    <w:rsid w:val="0015706C"/>
    <w:rsid w:val="00157184"/>
    <w:rsid w:val="00157C02"/>
    <w:rsid w:val="001603B2"/>
    <w:rsid w:val="00160C96"/>
    <w:rsid w:val="001611F1"/>
    <w:rsid w:val="00161CB7"/>
    <w:rsid w:val="00166675"/>
    <w:rsid w:val="00166EA2"/>
    <w:rsid w:val="00167143"/>
    <w:rsid w:val="00171A94"/>
    <w:rsid w:val="00171EF5"/>
    <w:rsid w:val="00173F60"/>
    <w:rsid w:val="0017424B"/>
    <w:rsid w:val="00174541"/>
    <w:rsid w:val="00182CD2"/>
    <w:rsid w:val="001847A0"/>
    <w:rsid w:val="00185BC7"/>
    <w:rsid w:val="00186C32"/>
    <w:rsid w:val="00187B68"/>
    <w:rsid w:val="0019014B"/>
    <w:rsid w:val="00190CE5"/>
    <w:rsid w:val="00191CF3"/>
    <w:rsid w:val="00195B16"/>
    <w:rsid w:val="001A0F90"/>
    <w:rsid w:val="001A1B46"/>
    <w:rsid w:val="001A2DAA"/>
    <w:rsid w:val="001A2E0F"/>
    <w:rsid w:val="001A57E5"/>
    <w:rsid w:val="001A611A"/>
    <w:rsid w:val="001A7164"/>
    <w:rsid w:val="001B119A"/>
    <w:rsid w:val="001B28CA"/>
    <w:rsid w:val="001B58F4"/>
    <w:rsid w:val="001B6301"/>
    <w:rsid w:val="001B783D"/>
    <w:rsid w:val="001C0C2B"/>
    <w:rsid w:val="001C3828"/>
    <w:rsid w:val="001C40B4"/>
    <w:rsid w:val="001C4EE5"/>
    <w:rsid w:val="001C6730"/>
    <w:rsid w:val="001D22C2"/>
    <w:rsid w:val="001D2574"/>
    <w:rsid w:val="001D317A"/>
    <w:rsid w:val="001D4550"/>
    <w:rsid w:val="001D7047"/>
    <w:rsid w:val="001D7379"/>
    <w:rsid w:val="001E0125"/>
    <w:rsid w:val="001E0E9D"/>
    <w:rsid w:val="001E11F9"/>
    <w:rsid w:val="001E1339"/>
    <w:rsid w:val="001E1686"/>
    <w:rsid w:val="001E232A"/>
    <w:rsid w:val="001E7125"/>
    <w:rsid w:val="001F0A7A"/>
    <w:rsid w:val="001F28A0"/>
    <w:rsid w:val="001F54C7"/>
    <w:rsid w:val="001F7060"/>
    <w:rsid w:val="00201A45"/>
    <w:rsid w:val="00205700"/>
    <w:rsid w:val="00206C7C"/>
    <w:rsid w:val="0020741E"/>
    <w:rsid w:val="002103DF"/>
    <w:rsid w:val="002126F3"/>
    <w:rsid w:val="002149FF"/>
    <w:rsid w:val="00217356"/>
    <w:rsid w:val="00217594"/>
    <w:rsid w:val="00220B06"/>
    <w:rsid w:val="002214FA"/>
    <w:rsid w:val="00222283"/>
    <w:rsid w:val="0022353C"/>
    <w:rsid w:val="002257B1"/>
    <w:rsid w:val="00226178"/>
    <w:rsid w:val="0023145D"/>
    <w:rsid w:val="00231EBB"/>
    <w:rsid w:val="00233545"/>
    <w:rsid w:val="00234617"/>
    <w:rsid w:val="002349A8"/>
    <w:rsid w:val="00234B53"/>
    <w:rsid w:val="002433FA"/>
    <w:rsid w:val="00250533"/>
    <w:rsid w:val="00253052"/>
    <w:rsid w:val="00254A6A"/>
    <w:rsid w:val="002571A2"/>
    <w:rsid w:val="00261242"/>
    <w:rsid w:val="00261C4F"/>
    <w:rsid w:val="00265D9A"/>
    <w:rsid w:val="00267E2E"/>
    <w:rsid w:val="00271DA0"/>
    <w:rsid w:val="00272BAD"/>
    <w:rsid w:val="002774B9"/>
    <w:rsid w:val="00277FB8"/>
    <w:rsid w:val="002836BF"/>
    <w:rsid w:val="00283E19"/>
    <w:rsid w:val="00286FFB"/>
    <w:rsid w:val="00293826"/>
    <w:rsid w:val="0029679C"/>
    <w:rsid w:val="002A1BDE"/>
    <w:rsid w:val="002A2B23"/>
    <w:rsid w:val="002A36C6"/>
    <w:rsid w:val="002A388B"/>
    <w:rsid w:val="002A3E65"/>
    <w:rsid w:val="002A513A"/>
    <w:rsid w:val="002A597D"/>
    <w:rsid w:val="002A5A78"/>
    <w:rsid w:val="002A68FD"/>
    <w:rsid w:val="002A6902"/>
    <w:rsid w:val="002A6E39"/>
    <w:rsid w:val="002B05CF"/>
    <w:rsid w:val="002B0AAB"/>
    <w:rsid w:val="002B79F8"/>
    <w:rsid w:val="002C0AC1"/>
    <w:rsid w:val="002C0D9E"/>
    <w:rsid w:val="002C2EE8"/>
    <w:rsid w:val="002C3663"/>
    <w:rsid w:val="002C3C32"/>
    <w:rsid w:val="002C3FC3"/>
    <w:rsid w:val="002C4380"/>
    <w:rsid w:val="002C4F34"/>
    <w:rsid w:val="002C6400"/>
    <w:rsid w:val="002D09D7"/>
    <w:rsid w:val="002D574E"/>
    <w:rsid w:val="002D6E4C"/>
    <w:rsid w:val="002E04A7"/>
    <w:rsid w:val="002E0B52"/>
    <w:rsid w:val="002E17FC"/>
    <w:rsid w:val="002E1A70"/>
    <w:rsid w:val="002E3585"/>
    <w:rsid w:val="002E5572"/>
    <w:rsid w:val="002F39A3"/>
    <w:rsid w:val="002F57B7"/>
    <w:rsid w:val="002F6658"/>
    <w:rsid w:val="00300552"/>
    <w:rsid w:val="00306B9F"/>
    <w:rsid w:val="0031192D"/>
    <w:rsid w:val="0031270D"/>
    <w:rsid w:val="003132D8"/>
    <w:rsid w:val="00313AD9"/>
    <w:rsid w:val="003160B5"/>
    <w:rsid w:val="00321738"/>
    <w:rsid w:val="00322751"/>
    <w:rsid w:val="0032400B"/>
    <w:rsid w:val="00324E41"/>
    <w:rsid w:val="00330D0C"/>
    <w:rsid w:val="00333A6A"/>
    <w:rsid w:val="00334113"/>
    <w:rsid w:val="00334533"/>
    <w:rsid w:val="00335931"/>
    <w:rsid w:val="00335DEC"/>
    <w:rsid w:val="0033608A"/>
    <w:rsid w:val="00336A12"/>
    <w:rsid w:val="00345B3E"/>
    <w:rsid w:val="00346C27"/>
    <w:rsid w:val="00346C84"/>
    <w:rsid w:val="003472FA"/>
    <w:rsid w:val="00351220"/>
    <w:rsid w:val="00351A6B"/>
    <w:rsid w:val="00352FB8"/>
    <w:rsid w:val="00354697"/>
    <w:rsid w:val="00355423"/>
    <w:rsid w:val="00356A41"/>
    <w:rsid w:val="00360E8E"/>
    <w:rsid w:val="003636B4"/>
    <w:rsid w:val="00365BDE"/>
    <w:rsid w:val="0037095E"/>
    <w:rsid w:val="00371BC2"/>
    <w:rsid w:val="0037386F"/>
    <w:rsid w:val="00373FAD"/>
    <w:rsid w:val="00374260"/>
    <w:rsid w:val="00376C58"/>
    <w:rsid w:val="00376FAA"/>
    <w:rsid w:val="00377E1C"/>
    <w:rsid w:val="003809D4"/>
    <w:rsid w:val="00381754"/>
    <w:rsid w:val="00383042"/>
    <w:rsid w:val="00384623"/>
    <w:rsid w:val="003948A7"/>
    <w:rsid w:val="00395D3B"/>
    <w:rsid w:val="003973AE"/>
    <w:rsid w:val="00397BEF"/>
    <w:rsid w:val="003A0AD2"/>
    <w:rsid w:val="003A25BA"/>
    <w:rsid w:val="003A310A"/>
    <w:rsid w:val="003A4CD6"/>
    <w:rsid w:val="003A6FD3"/>
    <w:rsid w:val="003A79DE"/>
    <w:rsid w:val="003A7B2D"/>
    <w:rsid w:val="003A7E93"/>
    <w:rsid w:val="003B0B37"/>
    <w:rsid w:val="003B1865"/>
    <w:rsid w:val="003B18F5"/>
    <w:rsid w:val="003B462B"/>
    <w:rsid w:val="003B4BBD"/>
    <w:rsid w:val="003B5B54"/>
    <w:rsid w:val="003B7B68"/>
    <w:rsid w:val="003C15A8"/>
    <w:rsid w:val="003C1952"/>
    <w:rsid w:val="003C1D41"/>
    <w:rsid w:val="003C3048"/>
    <w:rsid w:val="003C33BB"/>
    <w:rsid w:val="003C3BA5"/>
    <w:rsid w:val="003C42A0"/>
    <w:rsid w:val="003C59A5"/>
    <w:rsid w:val="003C5FD8"/>
    <w:rsid w:val="003C77DF"/>
    <w:rsid w:val="003D2412"/>
    <w:rsid w:val="003D263C"/>
    <w:rsid w:val="003D32F7"/>
    <w:rsid w:val="003D3492"/>
    <w:rsid w:val="003D77D2"/>
    <w:rsid w:val="003E18F2"/>
    <w:rsid w:val="003F0867"/>
    <w:rsid w:val="003F44DA"/>
    <w:rsid w:val="003F4E34"/>
    <w:rsid w:val="003F5C6E"/>
    <w:rsid w:val="003F710E"/>
    <w:rsid w:val="00400561"/>
    <w:rsid w:val="00400819"/>
    <w:rsid w:val="004012F5"/>
    <w:rsid w:val="004041C0"/>
    <w:rsid w:val="0040466B"/>
    <w:rsid w:val="004060D8"/>
    <w:rsid w:val="0040740C"/>
    <w:rsid w:val="00407CF6"/>
    <w:rsid w:val="00411565"/>
    <w:rsid w:val="004166D2"/>
    <w:rsid w:val="00416A8C"/>
    <w:rsid w:val="004170F9"/>
    <w:rsid w:val="00417B9F"/>
    <w:rsid w:val="00420A02"/>
    <w:rsid w:val="00422540"/>
    <w:rsid w:val="00422E75"/>
    <w:rsid w:val="004253F9"/>
    <w:rsid w:val="004305E2"/>
    <w:rsid w:val="00431D0A"/>
    <w:rsid w:val="00435FD7"/>
    <w:rsid w:val="004414FE"/>
    <w:rsid w:val="00443741"/>
    <w:rsid w:val="00446B28"/>
    <w:rsid w:val="004477A0"/>
    <w:rsid w:val="00450F9D"/>
    <w:rsid w:val="00452F11"/>
    <w:rsid w:val="00453367"/>
    <w:rsid w:val="0045457E"/>
    <w:rsid w:val="00457259"/>
    <w:rsid w:val="00467EF5"/>
    <w:rsid w:val="00471738"/>
    <w:rsid w:val="0047200F"/>
    <w:rsid w:val="004726A2"/>
    <w:rsid w:val="00473F06"/>
    <w:rsid w:val="00477DB7"/>
    <w:rsid w:val="00481BEA"/>
    <w:rsid w:val="0048219D"/>
    <w:rsid w:val="004828A4"/>
    <w:rsid w:val="0048556E"/>
    <w:rsid w:val="004862D7"/>
    <w:rsid w:val="00486E81"/>
    <w:rsid w:val="00487024"/>
    <w:rsid w:val="0049171C"/>
    <w:rsid w:val="00493E40"/>
    <w:rsid w:val="00493F60"/>
    <w:rsid w:val="0049603D"/>
    <w:rsid w:val="004A631F"/>
    <w:rsid w:val="004B27B9"/>
    <w:rsid w:val="004B4230"/>
    <w:rsid w:val="004C1E6C"/>
    <w:rsid w:val="004C4DE7"/>
    <w:rsid w:val="004C6D32"/>
    <w:rsid w:val="004C7040"/>
    <w:rsid w:val="004D0BE9"/>
    <w:rsid w:val="004D2CE4"/>
    <w:rsid w:val="004D31B0"/>
    <w:rsid w:val="004D5B66"/>
    <w:rsid w:val="004D7C23"/>
    <w:rsid w:val="004E0327"/>
    <w:rsid w:val="004E1729"/>
    <w:rsid w:val="004E33CA"/>
    <w:rsid w:val="004E3B76"/>
    <w:rsid w:val="004E3E4F"/>
    <w:rsid w:val="004E6E23"/>
    <w:rsid w:val="004E75D1"/>
    <w:rsid w:val="004F16DF"/>
    <w:rsid w:val="00504E82"/>
    <w:rsid w:val="005063C7"/>
    <w:rsid w:val="00507D59"/>
    <w:rsid w:val="0051004C"/>
    <w:rsid w:val="0051032F"/>
    <w:rsid w:val="00512219"/>
    <w:rsid w:val="005145CC"/>
    <w:rsid w:val="00514A74"/>
    <w:rsid w:val="005151E9"/>
    <w:rsid w:val="00515544"/>
    <w:rsid w:val="00516264"/>
    <w:rsid w:val="00516D74"/>
    <w:rsid w:val="005200B8"/>
    <w:rsid w:val="00521366"/>
    <w:rsid w:val="005221E6"/>
    <w:rsid w:val="005258A4"/>
    <w:rsid w:val="00530300"/>
    <w:rsid w:val="005306E0"/>
    <w:rsid w:val="005309C5"/>
    <w:rsid w:val="005323BA"/>
    <w:rsid w:val="00532472"/>
    <w:rsid w:val="00532AD0"/>
    <w:rsid w:val="0053379B"/>
    <w:rsid w:val="0053420B"/>
    <w:rsid w:val="00537318"/>
    <w:rsid w:val="00537497"/>
    <w:rsid w:val="005374B3"/>
    <w:rsid w:val="00537BFA"/>
    <w:rsid w:val="005408F0"/>
    <w:rsid w:val="00540D7F"/>
    <w:rsid w:val="005438EA"/>
    <w:rsid w:val="00545E1A"/>
    <w:rsid w:val="00546411"/>
    <w:rsid w:val="00547A11"/>
    <w:rsid w:val="00550240"/>
    <w:rsid w:val="00552B5D"/>
    <w:rsid w:val="00557BFD"/>
    <w:rsid w:val="00560164"/>
    <w:rsid w:val="00560592"/>
    <w:rsid w:val="005654F3"/>
    <w:rsid w:val="005677D2"/>
    <w:rsid w:val="005679D0"/>
    <w:rsid w:val="005706A2"/>
    <w:rsid w:val="00571E0F"/>
    <w:rsid w:val="00573103"/>
    <w:rsid w:val="00573C06"/>
    <w:rsid w:val="00574C01"/>
    <w:rsid w:val="00575CBE"/>
    <w:rsid w:val="005762E9"/>
    <w:rsid w:val="005776A8"/>
    <w:rsid w:val="00577A78"/>
    <w:rsid w:val="00587505"/>
    <w:rsid w:val="0059131F"/>
    <w:rsid w:val="00592F96"/>
    <w:rsid w:val="00594C0D"/>
    <w:rsid w:val="0059646F"/>
    <w:rsid w:val="005A0D63"/>
    <w:rsid w:val="005A294F"/>
    <w:rsid w:val="005A3DEA"/>
    <w:rsid w:val="005A70E8"/>
    <w:rsid w:val="005A7EE5"/>
    <w:rsid w:val="005B1252"/>
    <w:rsid w:val="005B33CD"/>
    <w:rsid w:val="005B36E5"/>
    <w:rsid w:val="005B45F0"/>
    <w:rsid w:val="005C015D"/>
    <w:rsid w:val="005C04B9"/>
    <w:rsid w:val="005C21BB"/>
    <w:rsid w:val="005D6BC5"/>
    <w:rsid w:val="005D7DC1"/>
    <w:rsid w:val="005E3B9E"/>
    <w:rsid w:val="005E3BB2"/>
    <w:rsid w:val="005E447B"/>
    <w:rsid w:val="005E501D"/>
    <w:rsid w:val="005E65C1"/>
    <w:rsid w:val="005E6B10"/>
    <w:rsid w:val="005E6E88"/>
    <w:rsid w:val="005E7CF5"/>
    <w:rsid w:val="005F16E1"/>
    <w:rsid w:val="005F68CC"/>
    <w:rsid w:val="006008F9"/>
    <w:rsid w:val="006019C8"/>
    <w:rsid w:val="00607655"/>
    <w:rsid w:val="00610A90"/>
    <w:rsid w:val="00610EED"/>
    <w:rsid w:val="00611B3B"/>
    <w:rsid w:val="00611F34"/>
    <w:rsid w:val="0061409C"/>
    <w:rsid w:val="00617102"/>
    <w:rsid w:val="00617ADD"/>
    <w:rsid w:val="0062259C"/>
    <w:rsid w:val="006241FE"/>
    <w:rsid w:val="00627EFA"/>
    <w:rsid w:val="00633430"/>
    <w:rsid w:val="00633A09"/>
    <w:rsid w:val="00633B68"/>
    <w:rsid w:val="00635C47"/>
    <w:rsid w:val="00636196"/>
    <w:rsid w:val="00636A06"/>
    <w:rsid w:val="0064164A"/>
    <w:rsid w:val="006425FA"/>
    <w:rsid w:val="0064282C"/>
    <w:rsid w:val="0064296B"/>
    <w:rsid w:val="00647791"/>
    <w:rsid w:val="00650957"/>
    <w:rsid w:val="00650D6C"/>
    <w:rsid w:val="006513DE"/>
    <w:rsid w:val="0065440B"/>
    <w:rsid w:val="00656500"/>
    <w:rsid w:val="006568F4"/>
    <w:rsid w:val="00656AEE"/>
    <w:rsid w:val="00660203"/>
    <w:rsid w:val="00660434"/>
    <w:rsid w:val="0066105D"/>
    <w:rsid w:val="00664457"/>
    <w:rsid w:val="00666473"/>
    <w:rsid w:val="00670F1B"/>
    <w:rsid w:val="00671715"/>
    <w:rsid w:val="00676836"/>
    <w:rsid w:val="00677548"/>
    <w:rsid w:val="00677ECE"/>
    <w:rsid w:val="006815A3"/>
    <w:rsid w:val="006855EC"/>
    <w:rsid w:val="00690241"/>
    <w:rsid w:val="00692A86"/>
    <w:rsid w:val="00695885"/>
    <w:rsid w:val="00696D22"/>
    <w:rsid w:val="006A277C"/>
    <w:rsid w:val="006A579B"/>
    <w:rsid w:val="006A5FA5"/>
    <w:rsid w:val="006A71C5"/>
    <w:rsid w:val="006B0214"/>
    <w:rsid w:val="006B091A"/>
    <w:rsid w:val="006B2847"/>
    <w:rsid w:val="006B477F"/>
    <w:rsid w:val="006B59EE"/>
    <w:rsid w:val="006B609E"/>
    <w:rsid w:val="006B6CF4"/>
    <w:rsid w:val="006B79AD"/>
    <w:rsid w:val="006C27A3"/>
    <w:rsid w:val="006C6439"/>
    <w:rsid w:val="006C702A"/>
    <w:rsid w:val="006D2C01"/>
    <w:rsid w:val="006D32AD"/>
    <w:rsid w:val="006D351C"/>
    <w:rsid w:val="006D36F1"/>
    <w:rsid w:val="006E43AE"/>
    <w:rsid w:val="006E4C81"/>
    <w:rsid w:val="006F0F8B"/>
    <w:rsid w:val="006F2D68"/>
    <w:rsid w:val="006F6EFE"/>
    <w:rsid w:val="00701F7C"/>
    <w:rsid w:val="007024C5"/>
    <w:rsid w:val="007030FB"/>
    <w:rsid w:val="00703353"/>
    <w:rsid w:val="007069C9"/>
    <w:rsid w:val="00713E9E"/>
    <w:rsid w:val="0071551E"/>
    <w:rsid w:val="007174F7"/>
    <w:rsid w:val="00717D29"/>
    <w:rsid w:val="00720EA5"/>
    <w:rsid w:val="007244F9"/>
    <w:rsid w:val="00725CC5"/>
    <w:rsid w:val="007302BC"/>
    <w:rsid w:val="007330A0"/>
    <w:rsid w:val="00733713"/>
    <w:rsid w:val="00734214"/>
    <w:rsid w:val="007355A2"/>
    <w:rsid w:val="00735F6A"/>
    <w:rsid w:val="00736A34"/>
    <w:rsid w:val="00737217"/>
    <w:rsid w:val="00740948"/>
    <w:rsid w:val="007430F0"/>
    <w:rsid w:val="00745032"/>
    <w:rsid w:val="00745AC9"/>
    <w:rsid w:val="00746691"/>
    <w:rsid w:val="00747222"/>
    <w:rsid w:val="0075522C"/>
    <w:rsid w:val="00756557"/>
    <w:rsid w:val="0075751F"/>
    <w:rsid w:val="00757FBC"/>
    <w:rsid w:val="0076048A"/>
    <w:rsid w:val="00760D17"/>
    <w:rsid w:val="00762379"/>
    <w:rsid w:val="007672E8"/>
    <w:rsid w:val="00767AA3"/>
    <w:rsid w:val="0078478C"/>
    <w:rsid w:val="0078497E"/>
    <w:rsid w:val="007872A9"/>
    <w:rsid w:val="00787E62"/>
    <w:rsid w:val="00793930"/>
    <w:rsid w:val="00796450"/>
    <w:rsid w:val="007A0BE1"/>
    <w:rsid w:val="007A26C3"/>
    <w:rsid w:val="007B7B15"/>
    <w:rsid w:val="007C17C5"/>
    <w:rsid w:val="007C1C7E"/>
    <w:rsid w:val="007C2842"/>
    <w:rsid w:val="007C35A1"/>
    <w:rsid w:val="007C44BF"/>
    <w:rsid w:val="007C61AA"/>
    <w:rsid w:val="007C6442"/>
    <w:rsid w:val="007C6742"/>
    <w:rsid w:val="007C7A2B"/>
    <w:rsid w:val="007D1C5D"/>
    <w:rsid w:val="007D58CF"/>
    <w:rsid w:val="007D5B82"/>
    <w:rsid w:val="007D627B"/>
    <w:rsid w:val="007E0AEF"/>
    <w:rsid w:val="007E0E9B"/>
    <w:rsid w:val="007E2D72"/>
    <w:rsid w:val="007E2F00"/>
    <w:rsid w:val="007E3B43"/>
    <w:rsid w:val="007E3CFF"/>
    <w:rsid w:val="007E4BC3"/>
    <w:rsid w:val="007E6130"/>
    <w:rsid w:val="007F2620"/>
    <w:rsid w:val="007F4238"/>
    <w:rsid w:val="007F4AE4"/>
    <w:rsid w:val="007F5555"/>
    <w:rsid w:val="0080101A"/>
    <w:rsid w:val="00803C24"/>
    <w:rsid w:val="00805446"/>
    <w:rsid w:val="008073EB"/>
    <w:rsid w:val="008113FA"/>
    <w:rsid w:val="008119A1"/>
    <w:rsid w:val="00812AE4"/>
    <w:rsid w:val="00813F9A"/>
    <w:rsid w:val="00816DAF"/>
    <w:rsid w:val="0081795C"/>
    <w:rsid w:val="00820EE0"/>
    <w:rsid w:val="00821210"/>
    <w:rsid w:val="008239CD"/>
    <w:rsid w:val="0082702F"/>
    <w:rsid w:val="00827348"/>
    <w:rsid w:val="00834CB8"/>
    <w:rsid w:val="00835076"/>
    <w:rsid w:val="0083622F"/>
    <w:rsid w:val="00842525"/>
    <w:rsid w:val="008427E8"/>
    <w:rsid w:val="008448C6"/>
    <w:rsid w:val="00846580"/>
    <w:rsid w:val="0084717D"/>
    <w:rsid w:val="008501ED"/>
    <w:rsid w:val="00850748"/>
    <w:rsid w:val="00850E71"/>
    <w:rsid w:val="00851B0C"/>
    <w:rsid w:val="00851DEB"/>
    <w:rsid w:val="008522F9"/>
    <w:rsid w:val="00852810"/>
    <w:rsid w:val="00852875"/>
    <w:rsid w:val="00853589"/>
    <w:rsid w:val="008556B2"/>
    <w:rsid w:val="00857C0C"/>
    <w:rsid w:val="008628DE"/>
    <w:rsid w:val="008638E8"/>
    <w:rsid w:val="00864855"/>
    <w:rsid w:val="00864EA7"/>
    <w:rsid w:val="008668F8"/>
    <w:rsid w:val="008670AD"/>
    <w:rsid w:val="00873368"/>
    <w:rsid w:val="0088123C"/>
    <w:rsid w:val="00881683"/>
    <w:rsid w:val="0088188D"/>
    <w:rsid w:val="00883543"/>
    <w:rsid w:val="00883733"/>
    <w:rsid w:val="00883817"/>
    <w:rsid w:val="008916B4"/>
    <w:rsid w:val="00891E72"/>
    <w:rsid w:val="008936DF"/>
    <w:rsid w:val="0089418A"/>
    <w:rsid w:val="00896CAE"/>
    <w:rsid w:val="008A0663"/>
    <w:rsid w:val="008A1B64"/>
    <w:rsid w:val="008A23AC"/>
    <w:rsid w:val="008A345D"/>
    <w:rsid w:val="008A57C0"/>
    <w:rsid w:val="008A5F85"/>
    <w:rsid w:val="008A7EC1"/>
    <w:rsid w:val="008B10AA"/>
    <w:rsid w:val="008B24B3"/>
    <w:rsid w:val="008B32BA"/>
    <w:rsid w:val="008B723B"/>
    <w:rsid w:val="008C048D"/>
    <w:rsid w:val="008C3183"/>
    <w:rsid w:val="008C404C"/>
    <w:rsid w:val="008C50C9"/>
    <w:rsid w:val="008C63D1"/>
    <w:rsid w:val="008C66B4"/>
    <w:rsid w:val="008C6B16"/>
    <w:rsid w:val="008C7279"/>
    <w:rsid w:val="008D0C2D"/>
    <w:rsid w:val="008D32B4"/>
    <w:rsid w:val="008D4100"/>
    <w:rsid w:val="008D45D5"/>
    <w:rsid w:val="008D61CB"/>
    <w:rsid w:val="008E2196"/>
    <w:rsid w:val="008E26A1"/>
    <w:rsid w:val="008E64F1"/>
    <w:rsid w:val="008F407F"/>
    <w:rsid w:val="008F734B"/>
    <w:rsid w:val="008F7DFD"/>
    <w:rsid w:val="009001F4"/>
    <w:rsid w:val="00902F4D"/>
    <w:rsid w:val="009037F9"/>
    <w:rsid w:val="00903A2C"/>
    <w:rsid w:val="009046F6"/>
    <w:rsid w:val="009047ED"/>
    <w:rsid w:val="00905038"/>
    <w:rsid w:val="00906F57"/>
    <w:rsid w:val="00907E13"/>
    <w:rsid w:val="00910AA5"/>
    <w:rsid w:val="0091116C"/>
    <w:rsid w:val="009114AA"/>
    <w:rsid w:val="00914611"/>
    <w:rsid w:val="0091575A"/>
    <w:rsid w:val="00917C2B"/>
    <w:rsid w:val="00921F5E"/>
    <w:rsid w:val="00924ACF"/>
    <w:rsid w:val="00924CA5"/>
    <w:rsid w:val="009251F2"/>
    <w:rsid w:val="00925EDC"/>
    <w:rsid w:val="009306E4"/>
    <w:rsid w:val="00931224"/>
    <w:rsid w:val="00931AFC"/>
    <w:rsid w:val="00931D84"/>
    <w:rsid w:val="00933A83"/>
    <w:rsid w:val="00934316"/>
    <w:rsid w:val="0093465A"/>
    <w:rsid w:val="0094616B"/>
    <w:rsid w:val="0094642E"/>
    <w:rsid w:val="00956005"/>
    <w:rsid w:val="0095663F"/>
    <w:rsid w:val="00956957"/>
    <w:rsid w:val="00962478"/>
    <w:rsid w:val="00964ECC"/>
    <w:rsid w:val="009655A6"/>
    <w:rsid w:val="00967639"/>
    <w:rsid w:val="00972495"/>
    <w:rsid w:val="00974022"/>
    <w:rsid w:val="00974E29"/>
    <w:rsid w:val="0097625A"/>
    <w:rsid w:val="00976BB4"/>
    <w:rsid w:val="00976DD6"/>
    <w:rsid w:val="00982340"/>
    <w:rsid w:val="00982E52"/>
    <w:rsid w:val="00983256"/>
    <w:rsid w:val="009845FD"/>
    <w:rsid w:val="009855EC"/>
    <w:rsid w:val="00986846"/>
    <w:rsid w:val="00987D86"/>
    <w:rsid w:val="00987FFA"/>
    <w:rsid w:val="0099209F"/>
    <w:rsid w:val="00995DF9"/>
    <w:rsid w:val="0099650A"/>
    <w:rsid w:val="00996B8F"/>
    <w:rsid w:val="009A2B0D"/>
    <w:rsid w:val="009A44AB"/>
    <w:rsid w:val="009A5410"/>
    <w:rsid w:val="009B7196"/>
    <w:rsid w:val="009B7C8A"/>
    <w:rsid w:val="009C0641"/>
    <w:rsid w:val="009C3E93"/>
    <w:rsid w:val="009C4258"/>
    <w:rsid w:val="009C65F2"/>
    <w:rsid w:val="009C75CA"/>
    <w:rsid w:val="009C7FA4"/>
    <w:rsid w:val="009D05BB"/>
    <w:rsid w:val="009D50DC"/>
    <w:rsid w:val="009D570E"/>
    <w:rsid w:val="009D5833"/>
    <w:rsid w:val="009D664E"/>
    <w:rsid w:val="009D71CE"/>
    <w:rsid w:val="009E0356"/>
    <w:rsid w:val="009E0D2A"/>
    <w:rsid w:val="009E1FF4"/>
    <w:rsid w:val="009E42C1"/>
    <w:rsid w:val="009E46F0"/>
    <w:rsid w:val="009F20F4"/>
    <w:rsid w:val="009F289C"/>
    <w:rsid w:val="009F4276"/>
    <w:rsid w:val="00A03DF4"/>
    <w:rsid w:val="00A105C1"/>
    <w:rsid w:val="00A11B94"/>
    <w:rsid w:val="00A1224A"/>
    <w:rsid w:val="00A13B1C"/>
    <w:rsid w:val="00A145D4"/>
    <w:rsid w:val="00A20400"/>
    <w:rsid w:val="00A23C00"/>
    <w:rsid w:val="00A26606"/>
    <w:rsid w:val="00A33234"/>
    <w:rsid w:val="00A408B8"/>
    <w:rsid w:val="00A41CB0"/>
    <w:rsid w:val="00A43AD7"/>
    <w:rsid w:val="00A44290"/>
    <w:rsid w:val="00A4764D"/>
    <w:rsid w:val="00A47B51"/>
    <w:rsid w:val="00A509F8"/>
    <w:rsid w:val="00A528B2"/>
    <w:rsid w:val="00A53FE8"/>
    <w:rsid w:val="00A5405F"/>
    <w:rsid w:val="00A64931"/>
    <w:rsid w:val="00A6566F"/>
    <w:rsid w:val="00A65E53"/>
    <w:rsid w:val="00A671F9"/>
    <w:rsid w:val="00A70F01"/>
    <w:rsid w:val="00A72ED0"/>
    <w:rsid w:val="00A754A5"/>
    <w:rsid w:val="00A84F49"/>
    <w:rsid w:val="00A87919"/>
    <w:rsid w:val="00A91161"/>
    <w:rsid w:val="00A92D00"/>
    <w:rsid w:val="00A93969"/>
    <w:rsid w:val="00A94AAE"/>
    <w:rsid w:val="00A96017"/>
    <w:rsid w:val="00A9758F"/>
    <w:rsid w:val="00A97D0A"/>
    <w:rsid w:val="00AA3681"/>
    <w:rsid w:val="00AA5B89"/>
    <w:rsid w:val="00AA5FE1"/>
    <w:rsid w:val="00AB2E02"/>
    <w:rsid w:val="00AB3A22"/>
    <w:rsid w:val="00AB437A"/>
    <w:rsid w:val="00AC1AFE"/>
    <w:rsid w:val="00AC2B9C"/>
    <w:rsid w:val="00AC3366"/>
    <w:rsid w:val="00AC6681"/>
    <w:rsid w:val="00AC6B62"/>
    <w:rsid w:val="00AD0D27"/>
    <w:rsid w:val="00AD6EEF"/>
    <w:rsid w:val="00AE0A3A"/>
    <w:rsid w:val="00AE0CF7"/>
    <w:rsid w:val="00AE1E9F"/>
    <w:rsid w:val="00AE351F"/>
    <w:rsid w:val="00AE3E5C"/>
    <w:rsid w:val="00AE46FF"/>
    <w:rsid w:val="00AE6DF0"/>
    <w:rsid w:val="00AE74C2"/>
    <w:rsid w:val="00AE7E2B"/>
    <w:rsid w:val="00AF5F67"/>
    <w:rsid w:val="00B00291"/>
    <w:rsid w:val="00B02A9E"/>
    <w:rsid w:val="00B02FF5"/>
    <w:rsid w:val="00B04BB7"/>
    <w:rsid w:val="00B04C0A"/>
    <w:rsid w:val="00B065CD"/>
    <w:rsid w:val="00B06B56"/>
    <w:rsid w:val="00B06DA1"/>
    <w:rsid w:val="00B10185"/>
    <w:rsid w:val="00B115D7"/>
    <w:rsid w:val="00B1183A"/>
    <w:rsid w:val="00B132DB"/>
    <w:rsid w:val="00B16725"/>
    <w:rsid w:val="00B17915"/>
    <w:rsid w:val="00B22679"/>
    <w:rsid w:val="00B23814"/>
    <w:rsid w:val="00B242A6"/>
    <w:rsid w:val="00B248FA"/>
    <w:rsid w:val="00B27610"/>
    <w:rsid w:val="00B31436"/>
    <w:rsid w:val="00B335AF"/>
    <w:rsid w:val="00B34815"/>
    <w:rsid w:val="00B34D75"/>
    <w:rsid w:val="00B34DE8"/>
    <w:rsid w:val="00B352BF"/>
    <w:rsid w:val="00B37C40"/>
    <w:rsid w:val="00B46016"/>
    <w:rsid w:val="00B50201"/>
    <w:rsid w:val="00B51B9D"/>
    <w:rsid w:val="00B52C7B"/>
    <w:rsid w:val="00B539BC"/>
    <w:rsid w:val="00B56C35"/>
    <w:rsid w:val="00B57B4A"/>
    <w:rsid w:val="00B62873"/>
    <w:rsid w:val="00B628CA"/>
    <w:rsid w:val="00B63C28"/>
    <w:rsid w:val="00B648DB"/>
    <w:rsid w:val="00B6519A"/>
    <w:rsid w:val="00B715C5"/>
    <w:rsid w:val="00B71B0E"/>
    <w:rsid w:val="00B75365"/>
    <w:rsid w:val="00B75AE3"/>
    <w:rsid w:val="00B77E4B"/>
    <w:rsid w:val="00B824A6"/>
    <w:rsid w:val="00B827C9"/>
    <w:rsid w:val="00B82B02"/>
    <w:rsid w:val="00B86274"/>
    <w:rsid w:val="00B87E93"/>
    <w:rsid w:val="00B91058"/>
    <w:rsid w:val="00B91641"/>
    <w:rsid w:val="00B94170"/>
    <w:rsid w:val="00BA2E31"/>
    <w:rsid w:val="00BB0E21"/>
    <w:rsid w:val="00BB15DF"/>
    <w:rsid w:val="00BB2FA0"/>
    <w:rsid w:val="00BB55B7"/>
    <w:rsid w:val="00BB6E23"/>
    <w:rsid w:val="00BC0320"/>
    <w:rsid w:val="00BC05AA"/>
    <w:rsid w:val="00BC5A56"/>
    <w:rsid w:val="00BC62D6"/>
    <w:rsid w:val="00BC7937"/>
    <w:rsid w:val="00BC7FED"/>
    <w:rsid w:val="00BD17B2"/>
    <w:rsid w:val="00BD28E7"/>
    <w:rsid w:val="00BD4C28"/>
    <w:rsid w:val="00BD6EF4"/>
    <w:rsid w:val="00BD792C"/>
    <w:rsid w:val="00BE0223"/>
    <w:rsid w:val="00BE12A4"/>
    <w:rsid w:val="00BE19F7"/>
    <w:rsid w:val="00BE1CA8"/>
    <w:rsid w:val="00BE30A9"/>
    <w:rsid w:val="00BE455D"/>
    <w:rsid w:val="00BE5C6B"/>
    <w:rsid w:val="00BE7A74"/>
    <w:rsid w:val="00BF0AB7"/>
    <w:rsid w:val="00BF4DCC"/>
    <w:rsid w:val="00BF54AA"/>
    <w:rsid w:val="00BF5B1F"/>
    <w:rsid w:val="00C015B3"/>
    <w:rsid w:val="00C026CB"/>
    <w:rsid w:val="00C10369"/>
    <w:rsid w:val="00C122CF"/>
    <w:rsid w:val="00C12C36"/>
    <w:rsid w:val="00C155D2"/>
    <w:rsid w:val="00C15DDE"/>
    <w:rsid w:val="00C23A1D"/>
    <w:rsid w:val="00C3043D"/>
    <w:rsid w:val="00C34E4C"/>
    <w:rsid w:val="00C36054"/>
    <w:rsid w:val="00C37460"/>
    <w:rsid w:val="00C4134D"/>
    <w:rsid w:val="00C41D2C"/>
    <w:rsid w:val="00C424EE"/>
    <w:rsid w:val="00C4277E"/>
    <w:rsid w:val="00C42B00"/>
    <w:rsid w:val="00C444ED"/>
    <w:rsid w:val="00C45F68"/>
    <w:rsid w:val="00C47E71"/>
    <w:rsid w:val="00C51402"/>
    <w:rsid w:val="00C537EF"/>
    <w:rsid w:val="00C55259"/>
    <w:rsid w:val="00C553EB"/>
    <w:rsid w:val="00C56166"/>
    <w:rsid w:val="00C56FAE"/>
    <w:rsid w:val="00C573CA"/>
    <w:rsid w:val="00C578C0"/>
    <w:rsid w:val="00C60261"/>
    <w:rsid w:val="00C62147"/>
    <w:rsid w:val="00C623A1"/>
    <w:rsid w:val="00C6425B"/>
    <w:rsid w:val="00C65060"/>
    <w:rsid w:val="00C653AD"/>
    <w:rsid w:val="00C72A72"/>
    <w:rsid w:val="00C744FF"/>
    <w:rsid w:val="00C75992"/>
    <w:rsid w:val="00C77990"/>
    <w:rsid w:val="00C77C68"/>
    <w:rsid w:val="00C817A7"/>
    <w:rsid w:val="00C820B9"/>
    <w:rsid w:val="00C8250E"/>
    <w:rsid w:val="00C84795"/>
    <w:rsid w:val="00C854A4"/>
    <w:rsid w:val="00C907C5"/>
    <w:rsid w:val="00C92A6D"/>
    <w:rsid w:val="00C94318"/>
    <w:rsid w:val="00C9538A"/>
    <w:rsid w:val="00C9591F"/>
    <w:rsid w:val="00C95D7E"/>
    <w:rsid w:val="00C95F1D"/>
    <w:rsid w:val="00C96BCD"/>
    <w:rsid w:val="00C97599"/>
    <w:rsid w:val="00CA0795"/>
    <w:rsid w:val="00CA2B00"/>
    <w:rsid w:val="00CA325D"/>
    <w:rsid w:val="00CA529C"/>
    <w:rsid w:val="00CA796D"/>
    <w:rsid w:val="00CB0500"/>
    <w:rsid w:val="00CB3328"/>
    <w:rsid w:val="00CB605F"/>
    <w:rsid w:val="00CB78CA"/>
    <w:rsid w:val="00CC0831"/>
    <w:rsid w:val="00CC1E7A"/>
    <w:rsid w:val="00CC2873"/>
    <w:rsid w:val="00CC2D15"/>
    <w:rsid w:val="00CC3181"/>
    <w:rsid w:val="00CC39D5"/>
    <w:rsid w:val="00CC775D"/>
    <w:rsid w:val="00CD4279"/>
    <w:rsid w:val="00CD5661"/>
    <w:rsid w:val="00CD5D80"/>
    <w:rsid w:val="00CD670D"/>
    <w:rsid w:val="00CD6D95"/>
    <w:rsid w:val="00CD7F36"/>
    <w:rsid w:val="00CE130C"/>
    <w:rsid w:val="00CE1528"/>
    <w:rsid w:val="00CE4065"/>
    <w:rsid w:val="00CE78B7"/>
    <w:rsid w:val="00CF168A"/>
    <w:rsid w:val="00CF3B66"/>
    <w:rsid w:val="00CF4224"/>
    <w:rsid w:val="00CF7304"/>
    <w:rsid w:val="00CF766F"/>
    <w:rsid w:val="00CF7AB9"/>
    <w:rsid w:val="00D00366"/>
    <w:rsid w:val="00D00B50"/>
    <w:rsid w:val="00D0190D"/>
    <w:rsid w:val="00D04E62"/>
    <w:rsid w:val="00D051BC"/>
    <w:rsid w:val="00D07DFC"/>
    <w:rsid w:val="00D11A0B"/>
    <w:rsid w:val="00D125B4"/>
    <w:rsid w:val="00D13BED"/>
    <w:rsid w:val="00D1574D"/>
    <w:rsid w:val="00D20BDE"/>
    <w:rsid w:val="00D212FE"/>
    <w:rsid w:val="00D21A47"/>
    <w:rsid w:val="00D225D6"/>
    <w:rsid w:val="00D23584"/>
    <w:rsid w:val="00D26A03"/>
    <w:rsid w:val="00D3633E"/>
    <w:rsid w:val="00D36465"/>
    <w:rsid w:val="00D410D0"/>
    <w:rsid w:val="00D41734"/>
    <w:rsid w:val="00D42273"/>
    <w:rsid w:val="00D43593"/>
    <w:rsid w:val="00D448FD"/>
    <w:rsid w:val="00D44C22"/>
    <w:rsid w:val="00D453A5"/>
    <w:rsid w:val="00D47153"/>
    <w:rsid w:val="00D47848"/>
    <w:rsid w:val="00D50D42"/>
    <w:rsid w:val="00D53BA7"/>
    <w:rsid w:val="00D54249"/>
    <w:rsid w:val="00D55CBF"/>
    <w:rsid w:val="00D57E1A"/>
    <w:rsid w:val="00D70771"/>
    <w:rsid w:val="00D7122D"/>
    <w:rsid w:val="00D71CB1"/>
    <w:rsid w:val="00D72919"/>
    <w:rsid w:val="00D73126"/>
    <w:rsid w:val="00D74A48"/>
    <w:rsid w:val="00D74C3A"/>
    <w:rsid w:val="00D75438"/>
    <w:rsid w:val="00D80223"/>
    <w:rsid w:val="00D80517"/>
    <w:rsid w:val="00D80E48"/>
    <w:rsid w:val="00D8197B"/>
    <w:rsid w:val="00D838F7"/>
    <w:rsid w:val="00D84553"/>
    <w:rsid w:val="00D84BAB"/>
    <w:rsid w:val="00D90C31"/>
    <w:rsid w:val="00D911E3"/>
    <w:rsid w:val="00D913A0"/>
    <w:rsid w:val="00DA047A"/>
    <w:rsid w:val="00DA07FD"/>
    <w:rsid w:val="00DA10F4"/>
    <w:rsid w:val="00DA1EF3"/>
    <w:rsid w:val="00DA2DB1"/>
    <w:rsid w:val="00DA37C6"/>
    <w:rsid w:val="00DA3B57"/>
    <w:rsid w:val="00DA4DD6"/>
    <w:rsid w:val="00DA6350"/>
    <w:rsid w:val="00DB2CB5"/>
    <w:rsid w:val="00DB33AE"/>
    <w:rsid w:val="00DB4AEE"/>
    <w:rsid w:val="00DB7653"/>
    <w:rsid w:val="00DC1DB4"/>
    <w:rsid w:val="00DC250D"/>
    <w:rsid w:val="00DC31CC"/>
    <w:rsid w:val="00DC40CD"/>
    <w:rsid w:val="00DC4699"/>
    <w:rsid w:val="00DC4A66"/>
    <w:rsid w:val="00DC55B4"/>
    <w:rsid w:val="00DC6085"/>
    <w:rsid w:val="00DC6503"/>
    <w:rsid w:val="00DD17A9"/>
    <w:rsid w:val="00DD26D3"/>
    <w:rsid w:val="00DD2ED9"/>
    <w:rsid w:val="00DD58CB"/>
    <w:rsid w:val="00DE2897"/>
    <w:rsid w:val="00DE2A5C"/>
    <w:rsid w:val="00DE2BCE"/>
    <w:rsid w:val="00DE32DF"/>
    <w:rsid w:val="00DE5C6A"/>
    <w:rsid w:val="00DE5F21"/>
    <w:rsid w:val="00DE6F13"/>
    <w:rsid w:val="00DE7735"/>
    <w:rsid w:val="00DF1538"/>
    <w:rsid w:val="00DF1C8C"/>
    <w:rsid w:val="00DF3171"/>
    <w:rsid w:val="00DF4204"/>
    <w:rsid w:val="00DF4CB8"/>
    <w:rsid w:val="00DF4F81"/>
    <w:rsid w:val="00DF59C6"/>
    <w:rsid w:val="00E03C13"/>
    <w:rsid w:val="00E041AD"/>
    <w:rsid w:val="00E050F6"/>
    <w:rsid w:val="00E064C2"/>
    <w:rsid w:val="00E07906"/>
    <w:rsid w:val="00E1488F"/>
    <w:rsid w:val="00E17180"/>
    <w:rsid w:val="00E232CD"/>
    <w:rsid w:val="00E2614F"/>
    <w:rsid w:val="00E271EA"/>
    <w:rsid w:val="00E273A8"/>
    <w:rsid w:val="00E31DF1"/>
    <w:rsid w:val="00E32880"/>
    <w:rsid w:val="00E3317F"/>
    <w:rsid w:val="00E3548F"/>
    <w:rsid w:val="00E35710"/>
    <w:rsid w:val="00E414A7"/>
    <w:rsid w:val="00E420EB"/>
    <w:rsid w:val="00E424E7"/>
    <w:rsid w:val="00E426A0"/>
    <w:rsid w:val="00E437C9"/>
    <w:rsid w:val="00E45007"/>
    <w:rsid w:val="00E4638F"/>
    <w:rsid w:val="00E46D9C"/>
    <w:rsid w:val="00E472D2"/>
    <w:rsid w:val="00E50FBD"/>
    <w:rsid w:val="00E537FB"/>
    <w:rsid w:val="00E62435"/>
    <w:rsid w:val="00E7348C"/>
    <w:rsid w:val="00E74D0D"/>
    <w:rsid w:val="00E74E32"/>
    <w:rsid w:val="00E7795D"/>
    <w:rsid w:val="00E77989"/>
    <w:rsid w:val="00E83D7A"/>
    <w:rsid w:val="00E852BB"/>
    <w:rsid w:val="00E85D85"/>
    <w:rsid w:val="00E873E6"/>
    <w:rsid w:val="00E90BC8"/>
    <w:rsid w:val="00EA1E14"/>
    <w:rsid w:val="00EA382E"/>
    <w:rsid w:val="00EA44AC"/>
    <w:rsid w:val="00EA552F"/>
    <w:rsid w:val="00EB288E"/>
    <w:rsid w:val="00EB307D"/>
    <w:rsid w:val="00EB5263"/>
    <w:rsid w:val="00EB533C"/>
    <w:rsid w:val="00EB613E"/>
    <w:rsid w:val="00EC1952"/>
    <w:rsid w:val="00EC1B60"/>
    <w:rsid w:val="00EC3F0E"/>
    <w:rsid w:val="00EC61F1"/>
    <w:rsid w:val="00EC63A1"/>
    <w:rsid w:val="00EC769F"/>
    <w:rsid w:val="00ED7B7E"/>
    <w:rsid w:val="00EE069C"/>
    <w:rsid w:val="00EE1B18"/>
    <w:rsid w:val="00EE208C"/>
    <w:rsid w:val="00EE4EC3"/>
    <w:rsid w:val="00EE5206"/>
    <w:rsid w:val="00EE55FA"/>
    <w:rsid w:val="00EE686D"/>
    <w:rsid w:val="00EF1EE3"/>
    <w:rsid w:val="00EF41FA"/>
    <w:rsid w:val="00EF5169"/>
    <w:rsid w:val="00EF5552"/>
    <w:rsid w:val="00EF568D"/>
    <w:rsid w:val="00EF67E4"/>
    <w:rsid w:val="00EF7A95"/>
    <w:rsid w:val="00F00DED"/>
    <w:rsid w:val="00F06656"/>
    <w:rsid w:val="00F06C5E"/>
    <w:rsid w:val="00F10446"/>
    <w:rsid w:val="00F160EE"/>
    <w:rsid w:val="00F21F3F"/>
    <w:rsid w:val="00F22237"/>
    <w:rsid w:val="00F2246D"/>
    <w:rsid w:val="00F25CF7"/>
    <w:rsid w:val="00F265F7"/>
    <w:rsid w:val="00F269E7"/>
    <w:rsid w:val="00F26A54"/>
    <w:rsid w:val="00F27173"/>
    <w:rsid w:val="00F30D44"/>
    <w:rsid w:val="00F31011"/>
    <w:rsid w:val="00F33CE5"/>
    <w:rsid w:val="00F379C6"/>
    <w:rsid w:val="00F37A47"/>
    <w:rsid w:val="00F41CA1"/>
    <w:rsid w:val="00F45DF5"/>
    <w:rsid w:val="00F47640"/>
    <w:rsid w:val="00F52D60"/>
    <w:rsid w:val="00F53831"/>
    <w:rsid w:val="00F566F9"/>
    <w:rsid w:val="00F620A5"/>
    <w:rsid w:val="00F67539"/>
    <w:rsid w:val="00F678B0"/>
    <w:rsid w:val="00F72159"/>
    <w:rsid w:val="00F72BB2"/>
    <w:rsid w:val="00F76E63"/>
    <w:rsid w:val="00F80FC1"/>
    <w:rsid w:val="00F81537"/>
    <w:rsid w:val="00F848DC"/>
    <w:rsid w:val="00F863DE"/>
    <w:rsid w:val="00F8678E"/>
    <w:rsid w:val="00F87110"/>
    <w:rsid w:val="00F879BF"/>
    <w:rsid w:val="00F879E5"/>
    <w:rsid w:val="00F87D71"/>
    <w:rsid w:val="00F929F0"/>
    <w:rsid w:val="00F937E7"/>
    <w:rsid w:val="00F940ED"/>
    <w:rsid w:val="00F977FA"/>
    <w:rsid w:val="00FA1DF7"/>
    <w:rsid w:val="00FA25E7"/>
    <w:rsid w:val="00FA516F"/>
    <w:rsid w:val="00FA56B6"/>
    <w:rsid w:val="00FB003E"/>
    <w:rsid w:val="00FB2285"/>
    <w:rsid w:val="00FB40D6"/>
    <w:rsid w:val="00FB4762"/>
    <w:rsid w:val="00FB66EF"/>
    <w:rsid w:val="00FB671F"/>
    <w:rsid w:val="00FB6D4C"/>
    <w:rsid w:val="00FB6F91"/>
    <w:rsid w:val="00FC0443"/>
    <w:rsid w:val="00FC1C4E"/>
    <w:rsid w:val="00FC2841"/>
    <w:rsid w:val="00FC5CA4"/>
    <w:rsid w:val="00FC74E0"/>
    <w:rsid w:val="00FD0AB7"/>
    <w:rsid w:val="00FD1E3E"/>
    <w:rsid w:val="00FD21DF"/>
    <w:rsid w:val="00FD2A1B"/>
    <w:rsid w:val="00FD2D26"/>
    <w:rsid w:val="00FD55F0"/>
    <w:rsid w:val="00FD6D9D"/>
    <w:rsid w:val="00FE01C9"/>
    <w:rsid w:val="00FE3D4A"/>
    <w:rsid w:val="00FE3FBE"/>
    <w:rsid w:val="00FE457A"/>
    <w:rsid w:val="00FE4948"/>
    <w:rsid w:val="00FE7BBD"/>
    <w:rsid w:val="00FF1646"/>
    <w:rsid w:val="00FF7A67"/>
    <w:rsid w:val="00FF7B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E6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717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C62D6"/>
    <w:rPr>
      <w:sz w:val="20"/>
      <w:szCs w:val="20"/>
    </w:rPr>
  </w:style>
  <w:style w:type="character" w:customStyle="1" w:styleId="EndnoteTextChar">
    <w:name w:val="Endnote Text Char"/>
    <w:basedOn w:val="DefaultParagraphFont"/>
    <w:link w:val="EndnoteText"/>
    <w:uiPriority w:val="99"/>
    <w:rsid w:val="00BC62D6"/>
    <w:rPr>
      <w:sz w:val="20"/>
      <w:szCs w:val="20"/>
    </w:rPr>
  </w:style>
  <w:style w:type="character" w:styleId="EndnoteReference">
    <w:name w:val="endnote reference"/>
    <w:basedOn w:val="DefaultParagraphFont"/>
    <w:uiPriority w:val="99"/>
    <w:unhideWhenUsed/>
    <w:rsid w:val="00BC62D6"/>
    <w:rPr>
      <w:vertAlign w:val="superscript"/>
    </w:rPr>
  </w:style>
  <w:style w:type="paragraph" w:styleId="Header">
    <w:name w:val="header"/>
    <w:basedOn w:val="Normal"/>
    <w:link w:val="HeaderChar"/>
    <w:uiPriority w:val="99"/>
    <w:unhideWhenUsed/>
    <w:rsid w:val="00B62873"/>
    <w:pPr>
      <w:tabs>
        <w:tab w:val="center" w:pos="4513"/>
        <w:tab w:val="right" w:pos="9026"/>
      </w:tabs>
    </w:pPr>
  </w:style>
  <w:style w:type="character" w:customStyle="1" w:styleId="HeaderChar">
    <w:name w:val="Header Char"/>
    <w:basedOn w:val="DefaultParagraphFont"/>
    <w:link w:val="Header"/>
    <w:uiPriority w:val="99"/>
    <w:rsid w:val="00B62873"/>
  </w:style>
  <w:style w:type="paragraph" w:styleId="Footer">
    <w:name w:val="footer"/>
    <w:basedOn w:val="Normal"/>
    <w:link w:val="FooterChar"/>
    <w:uiPriority w:val="99"/>
    <w:unhideWhenUsed/>
    <w:rsid w:val="00B62873"/>
    <w:pPr>
      <w:tabs>
        <w:tab w:val="center" w:pos="4513"/>
        <w:tab w:val="right" w:pos="9026"/>
      </w:tabs>
    </w:pPr>
  </w:style>
  <w:style w:type="character" w:customStyle="1" w:styleId="FooterChar">
    <w:name w:val="Footer Char"/>
    <w:basedOn w:val="DefaultParagraphFont"/>
    <w:link w:val="Footer"/>
    <w:uiPriority w:val="99"/>
    <w:rsid w:val="00B62873"/>
  </w:style>
  <w:style w:type="character" w:styleId="Hyperlink">
    <w:name w:val="Hyperlink"/>
    <w:basedOn w:val="DefaultParagraphFont"/>
    <w:uiPriority w:val="99"/>
    <w:unhideWhenUsed/>
    <w:rsid w:val="007174F7"/>
    <w:rPr>
      <w:color w:val="0563C1" w:themeColor="hyperlink"/>
      <w:u w:val="single"/>
    </w:rPr>
  </w:style>
  <w:style w:type="paragraph" w:styleId="FootnoteText">
    <w:name w:val="footnote text"/>
    <w:basedOn w:val="Normal"/>
    <w:link w:val="FootnoteTextChar"/>
    <w:uiPriority w:val="99"/>
    <w:unhideWhenUsed/>
    <w:rsid w:val="00F379C6"/>
    <w:rPr>
      <w:sz w:val="20"/>
      <w:szCs w:val="20"/>
    </w:rPr>
  </w:style>
  <w:style w:type="character" w:customStyle="1" w:styleId="FootnoteTextChar">
    <w:name w:val="Footnote Text Char"/>
    <w:basedOn w:val="DefaultParagraphFont"/>
    <w:link w:val="FootnoteText"/>
    <w:uiPriority w:val="99"/>
    <w:rsid w:val="00F379C6"/>
    <w:rPr>
      <w:sz w:val="20"/>
      <w:szCs w:val="20"/>
    </w:rPr>
  </w:style>
  <w:style w:type="character" w:styleId="FootnoteReference">
    <w:name w:val="footnote reference"/>
    <w:basedOn w:val="DefaultParagraphFont"/>
    <w:unhideWhenUsed/>
    <w:rsid w:val="00F379C6"/>
    <w:rPr>
      <w:vertAlign w:val="superscript"/>
    </w:rPr>
  </w:style>
  <w:style w:type="character" w:customStyle="1" w:styleId="Heading1Char">
    <w:name w:val="Heading 1 Char"/>
    <w:basedOn w:val="DefaultParagraphFont"/>
    <w:link w:val="Heading1"/>
    <w:uiPriority w:val="9"/>
    <w:rsid w:val="0084717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3593"/>
    <w:pPr>
      <w:ind w:left="720"/>
      <w:contextualSpacing/>
    </w:pPr>
  </w:style>
  <w:style w:type="paragraph" w:styleId="BalloonText">
    <w:name w:val="Balloon Text"/>
    <w:basedOn w:val="Normal"/>
    <w:link w:val="BalloonTextChar"/>
    <w:uiPriority w:val="99"/>
    <w:semiHidden/>
    <w:unhideWhenUsed/>
    <w:rsid w:val="00D43593"/>
    <w:rPr>
      <w:rFonts w:ascii="Tahoma" w:hAnsi="Tahoma" w:cs="Tahoma"/>
      <w:sz w:val="16"/>
      <w:szCs w:val="16"/>
    </w:rPr>
  </w:style>
  <w:style w:type="character" w:customStyle="1" w:styleId="BalloonTextChar">
    <w:name w:val="Balloon Text Char"/>
    <w:basedOn w:val="DefaultParagraphFont"/>
    <w:link w:val="BalloonText"/>
    <w:uiPriority w:val="99"/>
    <w:semiHidden/>
    <w:rsid w:val="00D43593"/>
    <w:rPr>
      <w:rFonts w:ascii="Tahoma" w:hAnsi="Tahoma" w:cs="Tahoma"/>
      <w:sz w:val="16"/>
      <w:szCs w:val="16"/>
    </w:rPr>
  </w:style>
  <w:style w:type="character" w:styleId="CommentReference">
    <w:name w:val="annotation reference"/>
    <w:basedOn w:val="DefaultParagraphFont"/>
    <w:uiPriority w:val="99"/>
    <w:semiHidden/>
    <w:unhideWhenUsed/>
    <w:rsid w:val="00062F30"/>
    <w:rPr>
      <w:sz w:val="16"/>
      <w:szCs w:val="16"/>
    </w:rPr>
  </w:style>
  <w:style w:type="paragraph" w:styleId="CommentText">
    <w:name w:val="annotation text"/>
    <w:basedOn w:val="Normal"/>
    <w:link w:val="CommentTextChar"/>
    <w:unhideWhenUsed/>
    <w:rsid w:val="00062F30"/>
    <w:rPr>
      <w:sz w:val="20"/>
      <w:szCs w:val="20"/>
    </w:rPr>
  </w:style>
  <w:style w:type="character" w:customStyle="1" w:styleId="CommentTextChar">
    <w:name w:val="Comment Text Char"/>
    <w:basedOn w:val="DefaultParagraphFont"/>
    <w:link w:val="CommentText"/>
    <w:rsid w:val="00062F30"/>
    <w:rPr>
      <w:sz w:val="20"/>
      <w:szCs w:val="20"/>
    </w:rPr>
  </w:style>
  <w:style w:type="paragraph" w:styleId="CommentSubject">
    <w:name w:val="annotation subject"/>
    <w:basedOn w:val="CommentText"/>
    <w:next w:val="CommentText"/>
    <w:link w:val="CommentSubjectChar"/>
    <w:uiPriority w:val="99"/>
    <w:semiHidden/>
    <w:unhideWhenUsed/>
    <w:rsid w:val="00062F30"/>
    <w:rPr>
      <w:b/>
      <w:bCs/>
    </w:rPr>
  </w:style>
  <w:style w:type="character" w:customStyle="1" w:styleId="CommentSubjectChar">
    <w:name w:val="Comment Subject Char"/>
    <w:basedOn w:val="CommentTextChar"/>
    <w:link w:val="CommentSubject"/>
    <w:uiPriority w:val="99"/>
    <w:semiHidden/>
    <w:rsid w:val="00062F30"/>
    <w:rPr>
      <w:b/>
      <w:bCs/>
      <w:sz w:val="20"/>
      <w:szCs w:val="20"/>
    </w:rPr>
  </w:style>
  <w:style w:type="character" w:customStyle="1" w:styleId="mini">
    <w:name w:val="mini"/>
    <w:rsid w:val="00974022"/>
  </w:style>
  <w:style w:type="paragraph" w:styleId="Revision">
    <w:name w:val="Revision"/>
    <w:hidden/>
    <w:uiPriority w:val="99"/>
    <w:semiHidden/>
    <w:rsid w:val="009A5410"/>
  </w:style>
  <w:style w:type="character" w:customStyle="1" w:styleId="addmd1">
    <w:name w:val="addmd1"/>
    <w:rsid w:val="00F977FA"/>
    <w:rPr>
      <w:rFonts w:ascii="Arial" w:hAnsi="Arial" w:cs="Arial" w:hint="default"/>
      <w:color w:val="777777"/>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717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C62D6"/>
    <w:rPr>
      <w:sz w:val="20"/>
      <w:szCs w:val="20"/>
    </w:rPr>
  </w:style>
  <w:style w:type="character" w:customStyle="1" w:styleId="EndnoteTextChar">
    <w:name w:val="Endnote Text Char"/>
    <w:basedOn w:val="DefaultParagraphFont"/>
    <w:link w:val="EndnoteText"/>
    <w:uiPriority w:val="99"/>
    <w:rsid w:val="00BC62D6"/>
    <w:rPr>
      <w:sz w:val="20"/>
      <w:szCs w:val="20"/>
    </w:rPr>
  </w:style>
  <w:style w:type="character" w:styleId="EndnoteReference">
    <w:name w:val="endnote reference"/>
    <w:basedOn w:val="DefaultParagraphFont"/>
    <w:uiPriority w:val="99"/>
    <w:unhideWhenUsed/>
    <w:rsid w:val="00BC62D6"/>
    <w:rPr>
      <w:vertAlign w:val="superscript"/>
    </w:rPr>
  </w:style>
  <w:style w:type="paragraph" w:styleId="Header">
    <w:name w:val="header"/>
    <w:basedOn w:val="Normal"/>
    <w:link w:val="HeaderChar"/>
    <w:uiPriority w:val="99"/>
    <w:unhideWhenUsed/>
    <w:rsid w:val="00B62873"/>
    <w:pPr>
      <w:tabs>
        <w:tab w:val="center" w:pos="4513"/>
        <w:tab w:val="right" w:pos="9026"/>
      </w:tabs>
    </w:pPr>
  </w:style>
  <w:style w:type="character" w:customStyle="1" w:styleId="HeaderChar">
    <w:name w:val="Header Char"/>
    <w:basedOn w:val="DefaultParagraphFont"/>
    <w:link w:val="Header"/>
    <w:uiPriority w:val="99"/>
    <w:rsid w:val="00B62873"/>
  </w:style>
  <w:style w:type="paragraph" w:styleId="Footer">
    <w:name w:val="footer"/>
    <w:basedOn w:val="Normal"/>
    <w:link w:val="FooterChar"/>
    <w:uiPriority w:val="99"/>
    <w:unhideWhenUsed/>
    <w:rsid w:val="00B62873"/>
    <w:pPr>
      <w:tabs>
        <w:tab w:val="center" w:pos="4513"/>
        <w:tab w:val="right" w:pos="9026"/>
      </w:tabs>
    </w:pPr>
  </w:style>
  <w:style w:type="character" w:customStyle="1" w:styleId="FooterChar">
    <w:name w:val="Footer Char"/>
    <w:basedOn w:val="DefaultParagraphFont"/>
    <w:link w:val="Footer"/>
    <w:uiPriority w:val="99"/>
    <w:rsid w:val="00B62873"/>
  </w:style>
  <w:style w:type="character" w:styleId="Hyperlink">
    <w:name w:val="Hyperlink"/>
    <w:basedOn w:val="DefaultParagraphFont"/>
    <w:uiPriority w:val="99"/>
    <w:unhideWhenUsed/>
    <w:rsid w:val="007174F7"/>
    <w:rPr>
      <w:color w:val="0563C1" w:themeColor="hyperlink"/>
      <w:u w:val="single"/>
    </w:rPr>
  </w:style>
  <w:style w:type="paragraph" w:styleId="FootnoteText">
    <w:name w:val="footnote text"/>
    <w:basedOn w:val="Normal"/>
    <w:link w:val="FootnoteTextChar"/>
    <w:uiPriority w:val="99"/>
    <w:unhideWhenUsed/>
    <w:rsid w:val="00F379C6"/>
    <w:rPr>
      <w:sz w:val="20"/>
      <w:szCs w:val="20"/>
    </w:rPr>
  </w:style>
  <w:style w:type="character" w:customStyle="1" w:styleId="FootnoteTextChar">
    <w:name w:val="Footnote Text Char"/>
    <w:basedOn w:val="DefaultParagraphFont"/>
    <w:link w:val="FootnoteText"/>
    <w:uiPriority w:val="99"/>
    <w:rsid w:val="00F379C6"/>
    <w:rPr>
      <w:sz w:val="20"/>
      <w:szCs w:val="20"/>
    </w:rPr>
  </w:style>
  <w:style w:type="character" w:styleId="FootnoteReference">
    <w:name w:val="footnote reference"/>
    <w:basedOn w:val="DefaultParagraphFont"/>
    <w:unhideWhenUsed/>
    <w:rsid w:val="00F379C6"/>
    <w:rPr>
      <w:vertAlign w:val="superscript"/>
    </w:rPr>
  </w:style>
  <w:style w:type="character" w:customStyle="1" w:styleId="Heading1Char">
    <w:name w:val="Heading 1 Char"/>
    <w:basedOn w:val="DefaultParagraphFont"/>
    <w:link w:val="Heading1"/>
    <w:uiPriority w:val="9"/>
    <w:rsid w:val="0084717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43593"/>
    <w:pPr>
      <w:ind w:left="720"/>
      <w:contextualSpacing/>
    </w:pPr>
  </w:style>
  <w:style w:type="paragraph" w:styleId="BalloonText">
    <w:name w:val="Balloon Text"/>
    <w:basedOn w:val="Normal"/>
    <w:link w:val="BalloonTextChar"/>
    <w:uiPriority w:val="99"/>
    <w:semiHidden/>
    <w:unhideWhenUsed/>
    <w:rsid w:val="00D43593"/>
    <w:rPr>
      <w:rFonts w:ascii="Tahoma" w:hAnsi="Tahoma" w:cs="Tahoma"/>
      <w:sz w:val="16"/>
      <w:szCs w:val="16"/>
    </w:rPr>
  </w:style>
  <w:style w:type="character" w:customStyle="1" w:styleId="BalloonTextChar">
    <w:name w:val="Balloon Text Char"/>
    <w:basedOn w:val="DefaultParagraphFont"/>
    <w:link w:val="BalloonText"/>
    <w:uiPriority w:val="99"/>
    <w:semiHidden/>
    <w:rsid w:val="00D43593"/>
    <w:rPr>
      <w:rFonts w:ascii="Tahoma" w:hAnsi="Tahoma" w:cs="Tahoma"/>
      <w:sz w:val="16"/>
      <w:szCs w:val="16"/>
    </w:rPr>
  </w:style>
  <w:style w:type="character" w:styleId="CommentReference">
    <w:name w:val="annotation reference"/>
    <w:basedOn w:val="DefaultParagraphFont"/>
    <w:uiPriority w:val="99"/>
    <w:semiHidden/>
    <w:unhideWhenUsed/>
    <w:rsid w:val="00062F30"/>
    <w:rPr>
      <w:sz w:val="16"/>
      <w:szCs w:val="16"/>
    </w:rPr>
  </w:style>
  <w:style w:type="paragraph" w:styleId="CommentText">
    <w:name w:val="annotation text"/>
    <w:basedOn w:val="Normal"/>
    <w:link w:val="CommentTextChar"/>
    <w:unhideWhenUsed/>
    <w:rsid w:val="00062F30"/>
    <w:rPr>
      <w:sz w:val="20"/>
      <w:szCs w:val="20"/>
    </w:rPr>
  </w:style>
  <w:style w:type="character" w:customStyle="1" w:styleId="CommentTextChar">
    <w:name w:val="Comment Text Char"/>
    <w:basedOn w:val="DefaultParagraphFont"/>
    <w:link w:val="CommentText"/>
    <w:rsid w:val="00062F30"/>
    <w:rPr>
      <w:sz w:val="20"/>
      <w:szCs w:val="20"/>
    </w:rPr>
  </w:style>
  <w:style w:type="paragraph" w:styleId="CommentSubject">
    <w:name w:val="annotation subject"/>
    <w:basedOn w:val="CommentText"/>
    <w:next w:val="CommentText"/>
    <w:link w:val="CommentSubjectChar"/>
    <w:uiPriority w:val="99"/>
    <w:semiHidden/>
    <w:unhideWhenUsed/>
    <w:rsid w:val="00062F30"/>
    <w:rPr>
      <w:b/>
      <w:bCs/>
    </w:rPr>
  </w:style>
  <w:style w:type="character" w:customStyle="1" w:styleId="CommentSubjectChar">
    <w:name w:val="Comment Subject Char"/>
    <w:basedOn w:val="CommentTextChar"/>
    <w:link w:val="CommentSubject"/>
    <w:uiPriority w:val="99"/>
    <w:semiHidden/>
    <w:rsid w:val="00062F30"/>
    <w:rPr>
      <w:b/>
      <w:bCs/>
      <w:sz w:val="20"/>
      <w:szCs w:val="20"/>
    </w:rPr>
  </w:style>
  <w:style w:type="character" w:customStyle="1" w:styleId="mini">
    <w:name w:val="mini"/>
    <w:rsid w:val="00974022"/>
  </w:style>
  <w:style w:type="paragraph" w:styleId="Revision">
    <w:name w:val="Revision"/>
    <w:hidden/>
    <w:uiPriority w:val="99"/>
    <w:semiHidden/>
    <w:rsid w:val="009A5410"/>
  </w:style>
  <w:style w:type="character" w:customStyle="1" w:styleId="addmd1">
    <w:name w:val="addmd1"/>
    <w:rsid w:val="00F977FA"/>
    <w:rPr>
      <w:rFonts w:ascii="Arial" w:hAnsi="Arial" w:cs="Arial" w:hint="default"/>
      <w:color w:val="77777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973">
      <w:bodyDiv w:val="1"/>
      <w:marLeft w:val="0"/>
      <w:marRight w:val="0"/>
      <w:marTop w:val="0"/>
      <w:marBottom w:val="0"/>
      <w:divBdr>
        <w:top w:val="none" w:sz="0" w:space="0" w:color="auto"/>
        <w:left w:val="none" w:sz="0" w:space="0" w:color="auto"/>
        <w:bottom w:val="none" w:sz="0" w:space="0" w:color="auto"/>
        <w:right w:val="none" w:sz="0" w:space="0" w:color="auto"/>
      </w:divBdr>
    </w:div>
    <w:div w:id="184953024">
      <w:bodyDiv w:val="1"/>
      <w:marLeft w:val="0"/>
      <w:marRight w:val="0"/>
      <w:marTop w:val="0"/>
      <w:marBottom w:val="0"/>
      <w:divBdr>
        <w:top w:val="none" w:sz="0" w:space="0" w:color="auto"/>
        <w:left w:val="none" w:sz="0" w:space="0" w:color="auto"/>
        <w:bottom w:val="none" w:sz="0" w:space="0" w:color="auto"/>
        <w:right w:val="none" w:sz="0" w:space="0" w:color="auto"/>
      </w:divBdr>
    </w:div>
    <w:div w:id="964694432">
      <w:bodyDiv w:val="1"/>
      <w:marLeft w:val="0"/>
      <w:marRight w:val="0"/>
      <w:marTop w:val="0"/>
      <w:marBottom w:val="0"/>
      <w:divBdr>
        <w:top w:val="none" w:sz="0" w:space="0" w:color="auto"/>
        <w:left w:val="none" w:sz="0" w:space="0" w:color="auto"/>
        <w:bottom w:val="none" w:sz="0" w:space="0" w:color="auto"/>
        <w:right w:val="none" w:sz="0" w:space="0" w:color="auto"/>
      </w:divBdr>
    </w:div>
    <w:div w:id="1013217745">
      <w:bodyDiv w:val="1"/>
      <w:marLeft w:val="0"/>
      <w:marRight w:val="0"/>
      <w:marTop w:val="0"/>
      <w:marBottom w:val="0"/>
      <w:divBdr>
        <w:top w:val="none" w:sz="0" w:space="0" w:color="auto"/>
        <w:left w:val="none" w:sz="0" w:space="0" w:color="auto"/>
        <w:bottom w:val="none" w:sz="0" w:space="0" w:color="auto"/>
        <w:right w:val="none" w:sz="0" w:space="0" w:color="auto"/>
      </w:divBdr>
    </w:div>
    <w:div w:id="213262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7F28-DFD6-DC4E-90EC-A5A8DE4B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2110</Words>
  <Characters>12033</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14115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Giovanna Morra</cp:lastModifiedBy>
  <cp:revision>3</cp:revision>
  <cp:lastPrinted>2016-03-16T16:00:00Z</cp:lastPrinted>
  <dcterms:created xsi:type="dcterms:W3CDTF">2017-03-06T14:32:00Z</dcterms:created>
  <dcterms:modified xsi:type="dcterms:W3CDTF">2017-03-06T14:34:00Z</dcterms:modified>
</cp:coreProperties>
</file>