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2877A" w14:textId="77777777" w:rsidR="00435158" w:rsidRPr="00514EFA" w:rsidRDefault="005540ED" w:rsidP="00FF2B98">
      <w:pPr>
        <w:pStyle w:val="CoverSubTitle"/>
        <w:ind w:left="720"/>
        <w:rPr>
          <w:rFonts w:cs="Arial"/>
        </w:rPr>
      </w:pPr>
      <w:r w:rsidRPr="00514EFA">
        <w:rPr>
          <w:rFonts w:cs="Arial"/>
          <w:noProof/>
          <w:lang w:eastAsia="en-GB"/>
        </w:rPr>
        <w:drawing>
          <wp:anchor distT="0" distB="0" distL="114300" distR="114300" simplePos="0" relativeHeight="251656704" behindDoc="0" locked="0" layoutInCell="1" allowOverlap="1" wp14:anchorId="74928E0A" wp14:editId="745A7F4F">
            <wp:simplePos x="0" y="0"/>
            <wp:positionH relativeFrom="column">
              <wp:posOffset>3532293</wp:posOffset>
            </wp:positionH>
            <wp:positionV relativeFrom="paragraph">
              <wp:posOffset>136525</wp:posOffset>
            </wp:positionV>
            <wp:extent cx="3103245" cy="604520"/>
            <wp:effectExtent l="0" t="0" r="1905" b="508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3245" cy="604520"/>
                    </a:xfrm>
                    <a:prstGeom prst="rect">
                      <a:avLst/>
                    </a:prstGeom>
                    <a:noFill/>
                  </pic:spPr>
                </pic:pic>
              </a:graphicData>
            </a:graphic>
          </wp:anchor>
        </w:drawing>
      </w:r>
    </w:p>
    <w:p w14:paraId="7492877B" w14:textId="77777777" w:rsidR="00435158" w:rsidRPr="00514EFA" w:rsidRDefault="00435158" w:rsidP="00435158">
      <w:pPr>
        <w:pStyle w:val="CoverSubTitle"/>
        <w:rPr>
          <w:rFonts w:cs="Arial"/>
        </w:rPr>
      </w:pPr>
    </w:p>
    <w:p w14:paraId="7492877C" w14:textId="77777777" w:rsidR="00435158" w:rsidRPr="00514EFA" w:rsidRDefault="00435158" w:rsidP="00435158">
      <w:pPr>
        <w:pStyle w:val="BodyText"/>
        <w:rPr>
          <w:rFonts w:cs="Arial"/>
        </w:rPr>
      </w:pPr>
    </w:p>
    <w:p w14:paraId="7492877D" w14:textId="77777777" w:rsidR="00435158" w:rsidRPr="00514EFA" w:rsidRDefault="00435158" w:rsidP="00435158">
      <w:pPr>
        <w:pStyle w:val="BodyText"/>
        <w:rPr>
          <w:rFonts w:cs="Arial"/>
        </w:rPr>
      </w:pPr>
    </w:p>
    <w:p w14:paraId="7492877E" w14:textId="77777777" w:rsidR="00435158" w:rsidRPr="00514EFA" w:rsidRDefault="00435158" w:rsidP="00435158">
      <w:pPr>
        <w:pStyle w:val="BodyText"/>
        <w:rPr>
          <w:rFonts w:cs="Arial"/>
        </w:rPr>
      </w:pPr>
    </w:p>
    <w:p w14:paraId="7492877F" w14:textId="77777777" w:rsidR="005D3906" w:rsidRPr="00514EFA" w:rsidRDefault="00CB2126" w:rsidP="00435158">
      <w:pPr>
        <w:pStyle w:val="BodyText"/>
        <w:rPr>
          <w:rFonts w:cs="Arial"/>
        </w:rPr>
      </w:pPr>
      <w:r w:rsidRPr="00514EFA">
        <w:rPr>
          <w:rFonts w:cs="Arial"/>
          <w:noProof/>
          <w:lang w:eastAsia="en-GB"/>
        </w:rPr>
        <mc:AlternateContent>
          <mc:Choice Requires="wps">
            <w:drawing>
              <wp:anchor distT="0" distB="0" distL="114300" distR="114300" simplePos="0" relativeHeight="251653632" behindDoc="0" locked="0" layoutInCell="1" allowOverlap="1" wp14:anchorId="74928E0C" wp14:editId="74928E0D">
                <wp:simplePos x="0" y="0"/>
                <wp:positionH relativeFrom="column">
                  <wp:posOffset>-390525</wp:posOffset>
                </wp:positionH>
                <wp:positionV relativeFrom="paragraph">
                  <wp:posOffset>83820</wp:posOffset>
                </wp:positionV>
                <wp:extent cx="5914390" cy="2814320"/>
                <wp:effectExtent l="0" t="0" r="10160" b="2413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2814320"/>
                        </a:xfrm>
                        <a:prstGeom prst="rect">
                          <a:avLst/>
                        </a:prstGeom>
                        <a:solidFill>
                          <a:srgbClr val="FFFFFF"/>
                        </a:solidFill>
                        <a:ln w="9525">
                          <a:solidFill>
                            <a:srgbClr val="FFFFFF"/>
                          </a:solidFill>
                          <a:miter lim="800000"/>
                          <a:headEnd/>
                          <a:tailEnd/>
                        </a:ln>
                      </wps:spPr>
                      <wps:txbx>
                        <w:txbxContent>
                          <w:p w14:paraId="74928E6F" w14:textId="77777777" w:rsidR="00C9759D" w:rsidRDefault="00C9759D" w:rsidP="00EF55CC"/>
                          <w:p w14:paraId="74928E70" w14:textId="2F8E9B0D" w:rsidR="00C9759D" w:rsidRDefault="00C9759D" w:rsidP="00203FEC">
                            <w:pPr>
                              <w:pStyle w:val="CoverDocumentTitle"/>
                              <w:ind w:left="454"/>
                              <w:rPr>
                                <w:rFonts w:cs="Arial"/>
                                <w:b/>
                                <w:color w:val="673561"/>
                                <w:sz w:val="40"/>
                                <w:szCs w:val="40"/>
                              </w:rPr>
                            </w:pPr>
                            <w:r>
                              <w:rPr>
                                <w:rFonts w:cs="Arial"/>
                                <w:b/>
                                <w:color w:val="673561"/>
                                <w:sz w:val="40"/>
                                <w:szCs w:val="40"/>
                              </w:rPr>
                              <w:t>The role of culture, sport and heritage in place shaping</w:t>
                            </w:r>
                          </w:p>
                          <w:p w14:paraId="74928E72" w14:textId="77E18F4B" w:rsidR="00C9759D" w:rsidRPr="00CB498C" w:rsidRDefault="00C9759D" w:rsidP="00C32A77">
                            <w:pPr>
                              <w:pStyle w:val="CoverSubTitle"/>
                              <w:ind w:left="454"/>
                              <w:rPr>
                                <w:rFonts w:cs="Arial"/>
                                <w:b/>
                                <w:sz w:val="28"/>
                                <w:szCs w:val="28"/>
                              </w:rPr>
                            </w:pPr>
                            <w:r>
                              <w:rPr>
                                <w:rFonts w:cs="Arial"/>
                                <w:b/>
                                <w:sz w:val="28"/>
                                <w:szCs w:val="28"/>
                              </w:rPr>
                              <w:t>Trends Business Research Ltd, NEF Consulting Ltd and Middlesex University</w:t>
                            </w:r>
                          </w:p>
                          <w:p w14:paraId="74928E73" w14:textId="025C1461" w:rsidR="00C9759D" w:rsidRPr="00CB498C" w:rsidRDefault="00C9759D" w:rsidP="00076A41">
                            <w:pPr>
                              <w:pStyle w:val="CoverSubTitle"/>
                              <w:ind w:left="454"/>
                              <w:rPr>
                                <w:rFonts w:cs="Arial"/>
                                <w:b/>
                                <w:sz w:val="24"/>
                              </w:rPr>
                            </w:pPr>
                            <w:r>
                              <w:rPr>
                                <w:rFonts w:cs="Arial"/>
                                <w:b/>
                                <w:sz w:val="24"/>
                              </w:rPr>
                              <w:t>October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28E0C" id="_x0000_t202" coordsize="21600,21600" o:spt="202" path="m,l,21600r21600,l21600,xe">
                <v:stroke joinstyle="miter"/>
                <v:path gradientshapeok="t" o:connecttype="rect"/>
              </v:shapetype>
              <v:shape id="Text Box 7" o:spid="_x0000_s1026" type="#_x0000_t202" style="position:absolute;left:0;text-align:left;margin-left:-30.75pt;margin-top:6.6pt;width:465.7pt;height:2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" strokecolor="white">
                <v:textbox>
                  <w:txbxContent>
                    <w:p w14:paraId="74928E6F" w14:textId="77777777" w:rsidR="00C9759D" w:rsidRDefault="00C9759D" w:rsidP="00EF55CC"/>
                    <w:p w14:paraId="74928E70" w14:textId="2F8E9B0D" w:rsidR="00C9759D" w:rsidRDefault="00C9759D" w:rsidP="00203FEC">
                      <w:pPr>
                        <w:pStyle w:val="CoverDocumentTitle"/>
                        <w:ind w:left="454"/>
                        <w:rPr>
                          <w:rFonts w:cs="Arial"/>
                          <w:b/>
                          <w:color w:val="673561"/>
                          <w:sz w:val="40"/>
                          <w:szCs w:val="40"/>
                        </w:rPr>
                      </w:pPr>
                      <w:r>
                        <w:rPr>
                          <w:rFonts w:cs="Arial"/>
                          <w:b/>
                          <w:color w:val="673561"/>
                          <w:sz w:val="40"/>
                          <w:szCs w:val="40"/>
                        </w:rPr>
                        <w:t>The role of culture, sport and heritage in place shaping</w:t>
                      </w:r>
                    </w:p>
                    <w:p w14:paraId="74928E72" w14:textId="77E18F4B" w:rsidR="00C9759D" w:rsidRPr="00CB498C" w:rsidRDefault="00C9759D" w:rsidP="00C32A77">
                      <w:pPr>
                        <w:pStyle w:val="CoverSubTitle"/>
                        <w:ind w:left="454"/>
                        <w:rPr>
                          <w:rFonts w:cs="Arial"/>
                          <w:b/>
                          <w:sz w:val="28"/>
                          <w:szCs w:val="28"/>
                        </w:rPr>
                      </w:pPr>
                      <w:r>
                        <w:rPr>
                          <w:rFonts w:cs="Arial"/>
                          <w:b/>
                          <w:sz w:val="28"/>
                          <w:szCs w:val="28"/>
                        </w:rPr>
                        <w:t>Trends Business Research Ltd, NEF Consulting Ltd and Middlesex University</w:t>
                      </w:r>
                    </w:p>
                    <w:p w14:paraId="74928E73" w14:textId="025C1461" w:rsidR="00C9759D" w:rsidRPr="00CB498C" w:rsidRDefault="00C9759D" w:rsidP="00076A41">
                      <w:pPr>
                        <w:pStyle w:val="CoverSubTitle"/>
                        <w:ind w:left="454"/>
                        <w:rPr>
                          <w:rFonts w:cs="Arial"/>
                          <w:b/>
                          <w:sz w:val="24"/>
                        </w:rPr>
                      </w:pPr>
                      <w:r>
                        <w:rPr>
                          <w:rFonts w:cs="Arial"/>
                          <w:b/>
                          <w:sz w:val="24"/>
                        </w:rPr>
                        <w:t>October 2016</w:t>
                      </w:r>
                    </w:p>
                  </w:txbxContent>
                </v:textbox>
              </v:shape>
            </w:pict>
          </mc:Fallback>
        </mc:AlternateContent>
      </w:r>
    </w:p>
    <w:p w14:paraId="74928780" w14:textId="77777777" w:rsidR="001369EA" w:rsidRPr="00514EFA" w:rsidRDefault="001369EA" w:rsidP="00435158">
      <w:pPr>
        <w:pStyle w:val="BodyText"/>
        <w:rPr>
          <w:rFonts w:cs="Arial"/>
        </w:rPr>
      </w:pPr>
    </w:p>
    <w:p w14:paraId="74928781" w14:textId="77777777" w:rsidR="001369EA" w:rsidRPr="00514EFA" w:rsidRDefault="001369EA" w:rsidP="00435158">
      <w:pPr>
        <w:pStyle w:val="BodyText"/>
        <w:rPr>
          <w:rFonts w:cs="Arial"/>
        </w:rPr>
      </w:pPr>
    </w:p>
    <w:p w14:paraId="74928782" w14:textId="77777777" w:rsidR="005D3906" w:rsidRPr="00514EFA" w:rsidRDefault="005D3906" w:rsidP="005D3906">
      <w:pPr>
        <w:rPr>
          <w:rFonts w:cs="Arial"/>
        </w:rPr>
      </w:pPr>
    </w:p>
    <w:p w14:paraId="74928783" w14:textId="77777777" w:rsidR="005D3906" w:rsidRPr="00514EFA" w:rsidRDefault="005540ED" w:rsidP="005D3906">
      <w:pPr>
        <w:rPr>
          <w:rFonts w:cs="Arial"/>
        </w:rPr>
      </w:pPr>
      <w:r w:rsidRPr="00514EFA">
        <w:rPr>
          <w:rFonts w:cs="Arial"/>
          <w:noProof/>
          <w:lang w:eastAsia="en-GB"/>
        </w:rPr>
        <w:drawing>
          <wp:anchor distT="0" distB="0" distL="114300" distR="114300" simplePos="0" relativeHeight="251661824" behindDoc="0" locked="0" layoutInCell="1" allowOverlap="1" wp14:anchorId="74928E0E" wp14:editId="46349B79">
            <wp:simplePos x="0" y="0"/>
            <wp:positionH relativeFrom="column">
              <wp:posOffset>5217795</wp:posOffset>
            </wp:positionH>
            <wp:positionV relativeFrom="paragraph">
              <wp:posOffset>227330</wp:posOffset>
            </wp:positionV>
            <wp:extent cx="1205230" cy="1317625"/>
            <wp:effectExtent l="0" t="0" r="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5230" cy="1317625"/>
                    </a:xfrm>
                    <a:prstGeom prst="rect">
                      <a:avLst/>
                    </a:prstGeom>
                    <a:noFill/>
                  </pic:spPr>
                </pic:pic>
              </a:graphicData>
            </a:graphic>
          </wp:anchor>
        </w:drawing>
      </w:r>
    </w:p>
    <w:p w14:paraId="74928784" w14:textId="77777777" w:rsidR="00435158" w:rsidRPr="00514EFA" w:rsidRDefault="00435158" w:rsidP="005D3906">
      <w:pPr>
        <w:rPr>
          <w:rFonts w:cs="Arial"/>
        </w:rPr>
      </w:pPr>
    </w:p>
    <w:p w14:paraId="74928785" w14:textId="77777777" w:rsidR="005D3906" w:rsidRPr="00514EFA" w:rsidRDefault="005D3906" w:rsidP="005D3906">
      <w:pPr>
        <w:rPr>
          <w:rFonts w:cs="Arial"/>
        </w:rPr>
      </w:pPr>
    </w:p>
    <w:p w14:paraId="74928786" w14:textId="77777777" w:rsidR="005D3906" w:rsidRPr="00514EFA" w:rsidRDefault="005D3906" w:rsidP="005D3906">
      <w:pPr>
        <w:rPr>
          <w:rFonts w:cs="Arial"/>
        </w:rPr>
      </w:pPr>
    </w:p>
    <w:p w14:paraId="74928787" w14:textId="77777777" w:rsidR="005D3906" w:rsidRPr="00514EFA" w:rsidRDefault="005D3906" w:rsidP="005D3906">
      <w:pPr>
        <w:rPr>
          <w:rFonts w:cs="Arial"/>
        </w:rPr>
      </w:pPr>
    </w:p>
    <w:p w14:paraId="74928788" w14:textId="77777777" w:rsidR="00FD27B8" w:rsidRPr="00514EFA" w:rsidRDefault="00FD27B8" w:rsidP="005D3906">
      <w:pPr>
        <w:rPr>
          <w:rFonts w:cs="Arial"/>
        </w:rPr>
      </w:pPr>
    </w:p>
    <w:p w14:paraId="74928789" w14:textId="77777777" w:rsidR="005D3906" w:rsidRPr="00514EFA" w:rsidRDefault="00CB2126" w:rsidP="005D3906">
      <w:pPr>
        <w:rPr>
          <w:rFonts w:cs="Arial"/>
        </w:rPr>
      </w:pPr>
      <w:r w:rsidRPr="00514EFA">
        <w:rPr>
          <w:rFonts w:cs="Arial"/>
          <w:noProof/>
          <w:lang w:eastAsia="en-GB"/>
        </w:rPr>
        <mc:AlternateContent>
          <mc:Choice Requires="wpc">
            <w:drawing>
              <wp:anchor distT="0" distB="0" distL="114300" distR="114300" simplePos="0" relativeHeight="251650559" behindDoc="1" locked="0" layoutInCell="1" allowOverlap="1" wp14:anchorId="74928E10" wp14:editId="6B3D4C98">
                <wp:simplePos x="0" y="0"/>
                <wp:positionH relativeFrom="column">
                  <wp:posOffset>-390525</wp:posOffset>
                </wp:positionH>
                <wp:positionV relativeFrom="paragraph">
                  <wp:posOffset>202565</wp:posOffset>
                </wp:positionV>
                <wp:extent cx="6567805" cy="4850765"/>
                <wp:effectExtent l="0" t="0" r="0" b="0"/>
                <wp:wrapNone/>
                <wp:docPr id="9"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A78A58F" id="Canvas 20" o:spid="_x0000_s1026" editas="canvas" style="position:absolute;margin-left:-30.75pt;margin-top:15.95pt;width:517.15pt;height:381.95pt;z-index:-251665921" coordsize="65678,4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78;height:48507;visibility:visible;mso-wrap-style:square">
                  <v:fill o:detectmouseclick="t"/>
                  <v:path o:connecttype="none"/>
                </v:shape>
              </v:group>
            </w:pict>
          </mc:Fallback>
        </mc:AlternateContent>
      </w:r>
    </w:p>
    <w:p w14:paraId="7492878A" w14:textId="77777777" w:rsidR="005D3906" w:rsidRPr="00514EFA" w:rsidRDefault="005540ED" w:rsidP="005D3906">
      <w:pPr>
        <w:rPr>
          <w:rFonts w:cs="Arial"/>
        </w:rPr>
      </w:pPr>
      <w:r w:rsidRPr="00514EFA">
        <w:rPr>
          <w:rFonts w:cs="Arial"/>
          <w:noProof/>
          <w:lang w:eastAsia="en-GB"/>
        </w:rPr>
        <w:drawing>
          <wp:anchor distT="0" distB="0" distL="114300" distR="114300" simplePos="0" relativeHeight="251649534" behindDoc="1" locked="0" layoutInCell="1" allowOverlap="1" wp14:anchorId="74928E12" wp14:editId="29B042AE">
            <wp:simplePos x="0" y="0"/>
            <wp:positionH relativeFrom="column">
              <wp:posOffset>-154305</wp:posOffset>
            </wp:positionH>
            <wp:positionV relativeFrom="paragraph">
              <wp:posOffset>46990</wp:posOffset>
            </wp:positionV>
            <wp:extent cx="6577330" cy="48609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7330" cy="4860925"/>
                    </a:xfrm>
                    <a:prstGeom prst="rect">
                      <a:avLst/>
                    </a:prstGeom>
                    <a:noFill/>
                  </pic:spPr>
                </pic:pic>
              </a:graphicData>
            </a:graphic>
          </wp:anchor>
        </w:drawing>
      </w:r>
    </w:p>
    <w:p w14:paraId="7492878B" w14:textId="77777777" w:rsidR="005D3906" w:rsidRPr="00514EFA" w:rsidRDefault="005D3906" w:rsidP="005D3906">
      <w:pPr>
        <w:rPr>
          <w:rFonts w:cs="Arial"/>
        </w:rPr>
      </w:pPr>
    </w:p>
    <w:p w14:paraId="7492878C" w14:textId="77777777" w:rsidR="005D3906" w:rsidRPr="00514EFA" w:rsidRDefault="005D3906" w:rsidP="005D3906">
      <w:pPr>
        <w:rPr>
          <w:rFonts w:cs="Arial"/>
        </w:rPr>
      </w:pPr>
    </w:p>
    <w:p w14:paraId="7492878D" w14:textId="77777777" w:rsidR="005D3906" w:rsidRPr="00514EFA" w:rsidRDefault="005D3906" w:rsidP="005D3906">
      <w:pPr>
        <w:rPr>
          <w:rFonts w:cs="Arial"/>
        </w:rPr>
      </w:pPr>
    </w:p>
    <w:p w14:paraId="7492878E" w14:textId="77777777" w:rsidR="005D3906" w:rsidRPr="00514EFA" w:rsidRDefault="005D3906" w:rsidP="005D3906">
      <w:pPr>
        <w:rPr>
          <w:rFonts w:cs="Arial"/>
        </w:rPr>
      </w:pPr>
    </w:p>
    <w:p w14:paraId="7492878F" w14:textId="77777777" w:rsidR="005D3906" w:rsidRPr="00514EFA" w:rsidRDefault="005D3906" w:rsidP="005D3906">
      <w:pPr>
        <w:rPr>
          <w:rFonts w:cs="Arial"/>
        </w:rPr>
      </w:pPr>
    </w:p>
    <w:p w14:paraId="74928790" w14:textId="77777777" w:rsidR="005D3906" w:rsidRPr="00514EFA" w:rsidRDefault="005D3906" w:rsidP="005D3906">
      <w:pPr>
        <w:rPr>
          <w:rFonts w:cs="Arial"/>
        </w:rPr>
      </w:pPr>
    </w:p>
    <w:p w14:paraId="74928791" w14:textId="77777777" w:rsidR="005D3906" w:rsidRPr="00514EFA" w:rsidRDefault="005D3906" w:rsidP="005D3906">
      <w:pPr>
        <w:rPr>
          <w:rFonts w:cs="Arial"/>
        </w:rPr>
      </w:pPr>
    </w:p>
    <w:p w14:paraId="74928792" w14:textId="77777777" w:rsidR="005D3906" w:rsidRPr="00514EFA" w:rsidRDefault="005D3906" w:rsidP="005D3906">
      <w:pPr>
        <w:rPr>
          <w:rFonts w:cs="Arial"/>
        </w:rPr>
      </w:pPr>
    </w:p>
    <w:p w14:paraId="74928793" w14:textId="77777777" w:rsidR="005D3906" w:rsidRPr="00514EFA" w:rsidRDefault="005D3906" w:rsidP="005D3906">
      <w:pPr>
        <w:rPr>
          <w:rFonts w:cs="Arial"/>
        </w:rPr>
      </w:pPr>
    </w:p>
    <w:p w14:paraId="74928794" w14:textId="77777777" w:rsidR="00841BC2" w:rsidRPr="00514EFA" w:rsidRDefault="00841BC2" w:rsidP="005D3906">
      <w:pPr>
        <w:rPr>
          <w:rFonts w:cs="Arial"/>
        </w:rPr>
      </w:pPr>
    </w:p>
    <w:p w14:paraId="74928795" w14:textId="77777777" w:rsidR="00841BC2" w:rsidRPr="00514EFA" w:rsidRDefault="00841BC2" w:rsidP="005D3906">
      <w:pPr>
        <w:rPr>
          <w:rFonts w:cs="Arial"/>
        </w:rPr>
      </w:pPr>
    </w:p>
    <w:p w14:paraId="74928796" w14:textId="77777777" w:rsidR="00841BC2" w:rsidRPr="00514EFA" w:rsidRDefault="00841BC2" w:rsidP="005D3906">
      <w:pPr>
        <w:rPr>
          <w:rFonts w:cs="Arial"/>
        </w:rPr>
      </w:pPr>
    </w:p>
    <w:p w14:paraId="74928797" w14:textId="77777777" w:rsidR="00841BC2" w:rsidRPr="00514EFA" w:rsidRDefault="00841BC2" w:rsidP="005D3906">
      <w:pPr>
        <w:rPr>
          <w:rFonts w:cs="Arial"/>
        </w:rPr>
      </w:pPr>
    </w:p>
    <w:p w14:paraId="74928798" w14:textId="77777777" w:rsidR="00841BC2" w:rsidRPr="00514EFA" w:rsidRDefault="00841BC2" w:rsidP="005D3906">
      <w:pPr>
        <w:rPr>
          <w:rFonts w:cs="Arial"/>
        </w:rPr>
      </w:pPr>
    </w:p>
    <w:p w14:paraId="74928799" w14:textId="77777777" w:rsidR="00841BC2" w:rsidRPr="00514EFA" w:rsidRDefault="005540ED" w:rsidP="005540ED">
      <w:pPr>
        <w:ind w:left="-142"/>
        <w:rPr>
          <w:rFonts w:cs="Arial"/>
        </w:rPr>
      </w:pPr>
      <w:r w:rsidRPr="00514EFA">
        <w:rPr>
          <w:rFonts w:cs="Arial"/>
          <w:noProof/>
          <w:lang w:eastAsia="en-GB"/>
        </w:rPr>
        <w:drawing>
          <wp:anchor distT="0" distB="0" distL="114300" distR="114300" simplePos="0" relativeHeight="251665920" behindDoc="0" locked="0" layoutInCell="1" allowOverlap="1" wp14:anchorId="74928E14" wp14:editId="69FAD092">
            <wp:simplePos x="0" y="0"/>
            <wp:positionH relativeFrom="margin">
              <wp:align>center</wp:align>
            </wp:positionH>
            <wp:positionV relativeFrom="margin">
              <wp:align>bottom</wp:align>
            </wp:positionV>
            <wp:extent cx="6252210" cy="1062990"/>
            <wp:effectExtent l="0" t="0" r="0" b="3810"/>
            <wp:wrapSquare wrapText="bothSides"/>
            <wp:docPr id="29" name="Picture 29" descr="C:\Users\225413\Desktop\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225413\Desktop\case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2210" cy="1062990"/>
                    </a:xfrm>
                    <a:prstGeom prst="rect">
                      <a:avLst/>
                    </a:prstGeom>
                    <a:noFill/>
                    <a:ln>
                      <a:noFill/>
                    </a:ln>
                  </pic:spPr>
                </pic:pic>
              </a:graphicData>
            </a:graphic>
          </wp:anchor>
        </w:drawing>
      </w:r>
      <w:r w:rsidRPr="00514EFA">
        <w:rPr>
          <w:rFonts w:cs="Arial"/>
          <w:noProof/>
          <w:lang w:eastAsia="en-GB"/>
        </w:rPr>
        <w:drawing>
          <wp:anchor distT="0" distB="0" distL="114300" distR="114300" simplePos="0" relativeHeight="251659776" behindDoc="0" locked="0" layoutInCell="1" allowOverlap="1" wp14:anchorId="74928E16" wp14:editId="56205631">
            <wp:simplePos x="0" y="0"/>
            <wp:positionH relativeFrom="column">
              <wp:posOffset>-390525</wp:posOffset>
            </wp:positionH>
            <wp:positionV relativeFrom="paragraph">
              <wp:posOffset>7200265</wp:posOffset>
            </wp:positionV>
            <wp:extent cx="6459220" cy="110045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9220" cy="1100455"/>
                    </a:xfrm>
                    <a:prstGeom prst="rect">
                      <a:avLst/>
                    </a:prstGeom>
                    <a:noFill/>
                  </pic:spPr>
                </pic:pic>
              </a:graphicData>
            </a:graphic>
          </wp:anchor>
        </w:drawing>
      </w:r>
      <w:r w:rsidRPr="00514EFA">
        <w:rPr>
          <w:rFonts w:cs="Arial"/>
          <w:noProof/>
          <w:lang w:eastAsia="en-GB"/>
        </w:rPr>
        <w:drawing>
          <wp:anchor distT="0" distB="0" distL="114300" distR="114300" simplePos="0" relativeHeight="251658752" behindDoc="0" locked="0" layoutInCell="1" allowOverlap="1" wp14:anchorId="74928E18" wp14:editId="319777E2">
            <wp:simplePos x="0" y="0"/>
            <wp:positionH relativeFrom="column">
              <wp:posOffset>-390525</wp:posOffset>
            </wp:positionH>
            <wp:positionV relativeFrom="paragraph">
              <wp:posOffset>7200265</wp:posOffset>
            </wp:positionV>
            <wp:extent cx="6459220" cy="11004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9220" cy="1100455"/>
                    </a:xfrm>
                    <a:prstGeom prst="rect">
                      <a:avLst/>
                    </a:prstGeom>
                    <a:noFill/>
                  </pic:spPr>
                </pic:pic>
              </a:graphicData>
            </a:graphic>
          </wp:anchor>
        </w:drawing>
      </w:r>
      <w:r w:rsidRPr="00514EFA">
        <w:rPr>
          <w:rFonts w:cs="Arial"/>
          <w:noProof/>
          <w:lang w:eastAsia="en-GB"/>
        </w:rPr>
        <w:drawing>
          <wp:anchor distT="0" distB="0" distL="114300" distR="114300" simplePos="0" relativeHeight="251657728" behindDoc="0" locked="0" layoutInCell="1" allowOverlap="1" wp14:anchorId="74928E1A" wp14:editId="1ADEEA07">
            <wp:simplePos x="0" y="0"/>
            <wp:positionH relativeFrom="column">
              <wp:posOffset>-390525</wp:posOffset>
            </wp:positionH>
            <wp:positionV relativeFrom="paragraph">
              <wp:posOffset>7200265</wp:posOffset>
            </wp:positionV>
            <wp:extent cx="6459220" cy="1100455"/>
            <wp:effectExtent l="0" t="0" r="0" b="444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9220" cy="1100455"/>
                    </a:xfrm>
                    <a:prstGeom prst="rect">
                      <a:avLst/>
                    </a:prstGeom>
                    <a:noFill/>
                  </pic:spPr>
                </pic:pic>
              </a:graphicData>
            </a:graphic>
          </wp:anchor>
        </w:drawing>
      </w:r>
    </w:p>
    <w:p w14:paraId="7492879A" w14:textId="77777777" w:rsidR="00841BC2" w:rsidRPr="00514EFA" w:rsidRDefault="00841BC2" w:rsidP="005D3906">
      <w:pPr>
        <w:rPr>
          <w:rFonts w:cs="Arial"/>
        </w:rPr>
        <w:sectPr w:rsidR="00841BC2" w:rsidRPr="00514EFA" w:rsidSect="005540ED">
          <w:headerReference w:type="even" r:id="rId16"/>
          <w:type w:val="oddPage"/>
          <w:pgSz w:w="11906" w:h="16838" w:code="9"/>
          <w:pgMar w:top="794" w:right="1021" w:bottom="709" w:left="1021" w:header="709" w:footer="709" w:gutter="0"/>
          <w:cols w:space="708"/>
          <w:docGrid w:linePitch="360"/>
        </w:sectPr>
      </w:pPr>
    </w:p>
    <w:p w14:paraId="7492879B" w14:textId="77777777" w:rsidR="00DD13A4" w:rsidRPr="00514EFA" w:rsidRDefault="00652145" w:rsidP="00F23D3C">
      <w:pPr>
        <w:pStyle w:val="Default"/>
        <w:rPr>
          <w:b/>
          <w:bCs/>
          <w:sz w:val="23"/>
          <w:szCs w:val="23"/>
        </w:rPr>
      </w:pPr>
      <w:r w:rsidRPr="00514EFA">
        <w:rPr>
          <w:b/>
          <w:bCs/>
          <w:sz w:val="23"/>
          <w:szCs w:val="23"/>
        </w:rPr>
        <w:lastRenderedPageBreak/>
        <w:t xml:space="preserve">The Culture and Sport </w:t>
      </w:r>
      <w:r w:rsidR="00DD13A4" w:rsidRPr="00514EFA">
        <w:rPr>
          <w:b/>
          <w:bCs/>
          <w:sz w:val="23"/>
          <w:szCs w:val="23"/>
        </w:rPr>
        <w:t>Evidence (CASE) programme is a j</w:t>
      </w:r>
      <w:r w:rsidRPr="00514EFA">
        <w:rPr>
          <w:b/>
          <w:bCs/>
          <w:sz w:val="23"/>
          <w:szCs w:val="23"/>
        </w:rPr>
        <w:t xml:space="preserve">oint programme of </w:t>
      </w:r>
      <w:r w:rsidR="006D76E4" w:rsidRPr="00514EFA">
        <w:rPr>
          <w:b/>
          <w:bCs/>
          <w:sz w:val="23"/>
          <w:szCs w:val="23"/>
        </w:rPr>
        <w:t xml:space="preserve">strategic </w:t>
      </w:r>
      <w:r w:rsidRPr="00514EFA">
        <w:rPr>
          <w:b/>
          <w:bCs/>
          <w:sz w:val="23"/>
          <w:szCs w:val="23"/>
        </w:rPr>
        <w:t xml:space="preserve">research led by the Department for Culture, Media and Sport (DCMS) in collaboration with the Arts Council England (ACE), English Heritage (EH) and Sport England (SE). </w:t>
      </w:r>
    </w:p>
    <w:p w14:paraId="7492879C" w14:textId="77777777" w:rsidR="00DD13A4" w:rsidRPr="00514EFA" w:rsidRDefault="00DD13A4" w:rsidP="00DD13A4">
      <w:pPr>
        <w:pStyle w:val="Default"/>
        <w:rPr>
          <w:b/>
          <w:bCs/>
          <w:sz w:val="23"/>
          <w:szCs w:val="23"/>
        </w:rPr>
      </w:pPr>
    </w:p>
    <w:p w14:paraId="7492879D" w14:textId="77777777" w:rsidR="00DD13A4" w:rsidRPr="00514EFA" w:rsidRDefault="00DD13A4" w:rsidP="00DD13A4">
      <w:pPr>
        <w:pStyle w:val="Default"/>
        <w:rPr>
          <w:b/>
          <w:bCs/>
          <w:sz w:val="23"/>
          <w:szCs w:val="23"/>
        </w:rPr>
      </w:pPr>
    </w:p>
    <w:p w14:paraId="7492879E" w14:textId="79688433" w:rsidR="00841BC2" w:rsidRPr="00514EFA" w:rsidRDefault="006E740F" w:rsidP="00DD13A4">
      <w:pPr>
        <w:pStyle w:val="Default"/>
        <w:rPr>
          <w:b/>
          <w:bCs/>
          <w:sz w:val="23"/>
          <w:szCs w:val="23"/>
        </w:rPr>
      </w:pPr>
      <w:r w:rsidRPr="00514EFA">
        <w:rPr>
          <w:b/>
          <w:bCs/>
          <w:sz w:val="23"/>
          <w:szCs w:val="23"/>
        </w:rPr>
        <w:t>The CASE Programme commissioned TBR, an economic research consultancy with a specialism in the creative and cultural industries</w:t>
      </w:r>
      <w:r w:rsidR="00F53B92">
        <w:rPr>
          <w:b/>
          <w:bCs/>
          <w:sz w:val="23"/>
          <w:szCs w:val="23"/>
        </w:rPr>
        <w:t>,</w:t>
      </w:r>
      <w:r w:rsidRPr="00514EFA">
        <w:rPr>
          <w:b/>
          <w:bCs/>
          <w:sz w:val="23"/>
          <w:szCs w:val="23"/>
        </w:rPr>
        <w:t xml:space="preserve"> to deliver the study in partnership with NEF Consulting, a consultancy specialising in economic and social impact assessment and Professor Graeme Evans from Middlesex University, a leading researcher and expert adviser on cultural and creative cities, culture and regeneration and the creative economy.</w:t>
      </w:r>
    </w:p>
    <w:p w14:paraId="7B481D50" w14:textId="77777777" w:rsidR="006E740F" w:rsidRPr="00514EFA" w:rsidRDefault="006E740F" w:rsidP="00DD13A4">
      <w:pPr>
        <w:pStyle w:val="Default"/>
        <w:rPr>
          <w:b/>
          <w:bCs/>
          <w:sz w:val="23"/>
          <w:szCs w:val="23"/>
        </w:rPr>
      </w:pPr>
    </w:p>
    <w:p w14:paraId="519BD4A9" w14:textId="70458662" w:rsidR="006E740F" w:rsidRPr="00514EFA" w:rsidRDefault="006E740F" w:rsidP="00DD13A4">
      <w:pPr>
        <w:pStyle w:val="Default"/>
        <w:rPr>
          <w:b/>
          <w:bCs/>
          <w:sz w:val="23"/>
          <w:szCs w:val="23"/>
        </w:rPr>
      </w:pPr>
    </w:p>
    <w:p w14:paraId="7492879F" w14:textId="294FA849" w:rsidR="00652145" w:rsidRPr="00514EFA" w:rsidRDefault="00682D0A" w:rsidP="00652145">
      <w:pPr>
        <w:rPr>
          <w:rFonts w:cs="Arial"/>
          <w:b/>
          <w:bCs/>
          <w:sz w:val="23"/>
          <w:szCs w:val="23"/>
        </w:rPr>
      </w:pPr>
      <w:r w:rsidRPr="00514EFA">
        <w:rPr>
          <w:rFonts w:cs="Arial"/>
          <w:b/>
          <w:bCs/>
          <w:noProof/>
          <w:sz w:val="23"/>
          <w:szCs w:val="23"/>
          <w:lang w:eastAsia="en-GB"/>
        </w:rPr>
        <w:drawing>
          <wp:anchor distT="0" distB="0" distL="114300" distR="114300" simplePos="0" relativeHeight="251667968" behindDoc="0" locked="0" layoutInCell="1" allowOverlap="1" wp14:anchorId="76CAF1EC" wp14:editId="53D792D7">
            <wp:simplePos x="0" y="0"/>
            <wp:positionH relativeFrom="column">
              <wp:posOffset>649132</wp:posOffset>
            </wp:positionH>
            <wp:positionV relativeFrom="paragraph">
              <wp:posOffset>-5080</wp:posOffset>
            </wp:positionV>
            <wp:extent cx="1425575" cy="1425575"/>
            <wp:effectExtent l="0" t="0" r="3175" b="3175"/>
            <wp:wrapNone/>
            <wp:docPr id="372" name="Picture 372" descr="tb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tbr_bl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EFA">
        <w:rPr>
          <w:rFonts w:cs="Arial"/>
          <w:b/>
          <w:bCs/>
          <w:noProof/>
          <w:sz w:val="23"/>
          <w:szCs w:val="23"/>
          <w:lang w:eastAsia="en-GB"/>
        </w:rPr>
        <w:drawing>
          <wp:anchor distT="0" distB="0" distL="114300" distR="114300" simplePos="0" relativeHeight="251668992" behindDoc="0" locked="0" layoutInCell="1" allowOverlap="1" wp14:anchorId="0F95E4CD" wp14:editId="229F096E">
            <wp:simplePos x="0" y="0"/>
            <wp:positionH relativeFrom="column">
              <wp:posOffset>2379345</wp:posOffset>
            </wp:positionH>
            <wp:positionV relativeFrom="paragraph">
              <wp:posOffset>204470</wp:posOffset>
            </wp:positionV>
            <wp:extent cx="1210945" cy="98044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_logo_gre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0945" cy="980440"/>
                    </a:xfrm>
                    <a:prstGeom prst="rect">
                      <a:avLst/>
                    </a:prstGeom>
                  </pic:spPr>
                </pic:pic>
              </a:graphicData>
            </a:graphic>
            <wp14:sizeRelH relativeFrom="page">
              <wp14:pctWidth>0</wp14:pctWidth>
            </wp14:sizeRelH>
            <wp14:sizeRelV relativeFrom="page">
              <wp14:pctHeight>0</wp14:pctHeight>
            </wp14:sizeRelV>
          </wp:anchor>
        </w:drawing>
      </w:r>
    </w:p>
    <w:p w14:paraId="1EB07A4B" w14:textId="6FF7C4B8" w:rsidR="006E740F" w:rsidRPr="00514EFA" w:rsidRDefault="00682D0A" w:rsidP="00652145">
      <w:pPr>
        <w:rPr>
          <w:rFonts w:cs="Arial"/>
          <w:b/>
          <w:bCs/>
          <w:sz w:val="23"/>
          <w:szCs w:val="23"/>
        </w:rPr>
      </w:pPr>
      <w:r w:rsidRPr="00514EFA">
        <w:rPr>
          <w:rFonts w:cs="Arial"/>
          <w:b/>
          <w:bCs/>
          <w:noProof/>
          <w:sz w:val="23"/>
          <w:szCs w:val="23"/>
          <w:lang w:eastAsia="en-GB"/>
        </w:rPr>
        <w:drawing>
          <wp:anchor distT="0" distB="0" distL="114300" distR="114300" simplePos="0" relativeHeight="251670016" behindDoc="0" locked="0" layoutInCell="1" allowOverlap="1" wp14:anchorId="71A0139F" wp14:editId="6219B347">
            <wp:simplePos x="0" y="0"/>
            <wp:positionH relativeFrom="column">
              <wp:posOffset>3893820</wp:posOffset>
            </wp:positionH>
            <wp:positionV relativeFrom="paragraph">
              <wp:posOffset>130175</wp:posOffset>
            </wp:positionV>
            <wp:extent cx="1519555" cy="63182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x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9555" cy="631825"/>
                    </a:xfrm>
                    <a:prstGeom prst="rect">
                      <a:avLst/>
                    </a:prstGeom>
                  </pic:spPr>
                </pic:pic>
              </a:graphicData>
            </a:graphic>
            <wp14:sizeRelH relativeFrom="page">
              <wp14:pctWidth>0</wp14:pctWidth>
            </wp14:sizeRelH>
            <wp14:sizeRelV relativeFrom="page">
              <wp14:pctHeight>0</wp14:pctHeight>
            </wp14:sizeRelV>
          </wp:anchor>
        </w:drawing>
      </w:r>
    </w:p>
    <w:p w14:paraId="749287A0" w14:textId="35F700EA" w:rsidR="00C32A77" w:rsidRPr="00514EFA" w:rsidRDefault="00A033C6" w:rsidP="00C32A77">
      <w:pPr>
        <w:ind w:left="0"/>
        <w:rPr>
          <w:rFonts w:cs="Arial"/>
          <w:b/>
          <w:bCs/>
          <w:sz w:val="23"/>
          <w:szCs w:val="23"/>
        </w:rPr>
      </w:pPr>
      <w:r>
        <w:rPr>
          <w:rFonts w:cs="Arial"/>
          <w:b/>
          <w:bCs/>
          <w:sz w:val="23"/>
          <w:szCs w:val="23"/>
        </w:rPr>
        <w:t xml:space="preserve"> </w:t>
      </w:r>
      <w:r w:rsidR="00C32A77" w:rsidRPr="00514EFA">
        <w:rPr>
          <w:rFonts w:cs="Arial"/>
          <w:b/>
          <w:bCs/>
          <w:sz w:val="23"/>
          <w:szCs w:val="23"/>
        </w:rPr>
        <w:t xml:space="preserve"> </w:t>
      </w:r>
    </w:p>
    <w:p w14:paraId="4A8A5398" w14:textId="77777777" w:rsidR="006E740F" w:rsidRPr="00514EFA" w:rsidRDefault="006E740F" w:rsidP="00C32A77">
      <w:pPr>
        <w:ind w:left="0"/>
        <w:rPr>
          <w:rFonts w:cs="Arial"/>
          <w:b/>
          <w:bCs/>
          <w:sz w:val="23"/>
          <w:szCs w:val="23"/>
        </w:rPr>
      </w:pPr>
    </w:p>
    <w:p w14:paraId="749287A2" w14:textId="77777777" w:rsidR="00DD13A4" w:rsidRPr="00514EFA" w:rsidRDefault="00DD13A4" w:rsidP="00DD13A4">
      <w:pPr>
        <w:ind w:left="0"/>
        <w:jc w:val="both"/>
        <w:rPr>
          <w:rFonts w:cs="Arial"/>
          <w:b/>
          <w:bCs/>
          <w:sz w:val="23"/>
          <w:szCs w:val="23"/>
        </w:rPr>
      </w:pPr>
    </w:p>
    <w:p w14:paraId="442C30D5" w14:textId="77777777" w:rsidR="006E740F" w:rsidRPr="00514EFA" w:rsidRDefault="006E740F" w:rsidP="00DD13A4">
      <w:pPr>
        <w:ind w:left="0"/>
        <w:jc w:val="both"/>
        <w:rPr>
          <w:rFonts w:cs="Arial"/>
          <w:b/>
          <w:bCs/>
          <w:sz w:val="23"/>
          <w:szCs w:val="23"/>
        </w:rPr>
      </w:pPr>
    </w:p>
    <w:p w14:paraId="2CFCA216" w14:textId="77777777" w:rsidR="006E740F" w:rsidRPr="00514EFA" w:rsidRDefault="006E740F" w:rsidP="00DD13A4">
      <w:pPr>
        <w:ind w:left="0"/>
        <w:jc w:val="both"/>
        <w:rPr>
          <w:rFonts w:cs="Arial"/>
          <w:b/>
          <w:bCs/>
          <w:sz w:val="23"/>
          <w:szCs w:val="23"/>
        </w:rPr>
      </w:pPr>
    </w:p>
    <w:p w14:paraId="4F5E6F0E" w14:textId="6327FC7F" w:rsidR="006E740F" w:rsidRPr="00514EFA" w:rsidRDefault="00BB42FC" w:rsidP="00DD13A4">
      <w:pPr>
        <w:ind w:left="0"/>
        <w:jc w:val="both"/>
        <w:rPr>
          <w:rFonts w:cs="Arial"/>
          <w:b/>
          <w:bCs/>
          <w:sz w:val="23"/>
          <w:szCs w:val="23"/>
        </w:rPr>
      </w:pPr>
      <w:r w:rsidRPr="00514EFA">
        <w:rPr>
          <w:rFonts w:cs="Arial"/>
          <w:b/>
          <w:bCs/>
          <w:sz w:val="23"/>
          <w:szCs w:val="23"/>
        </w:rPr>
        <w:t>The r</w:t>
      </w:r>
      <w:r w:rsidR="006E740F" w:rsidRPr="00514EFA">
        <w:rPr>
          <w:rFonts w:cs="Arial"/>
          <w:b/>
          <w:bCs/>
          <w:sz w:val="23"/>
          <w:szCs w:val="23"/>
        </w:rPr>
        <w:t xml:space="preserve">esearch </w:t>
      </w:r>
      <w:r w:rsidRPr="00514EFA">
        <w:rPr>
          <w:rFonts w:cs="Arial"/>
          <w:b/>
          <w:bCs/>
          <w:sz w:val="23"/>
          <w:szCs w:val="23"/>
        </w:rPr>
        <w:t>t</w:t>
      </w:r>
      <w:r w:rsidR="006E740F" w:rsidRPr="00514EFA">
        <w:rPr>
          <w:rFonts w:cs="Arial"/>
          <w:b/>
          <w:bCs/>
          <w:sz w:val="23"/>
          <w:szCs w:val="23"/>
        </w:rPr>
        <w:t>eam</w:t>
      </w:r>
      <w:r w:rsidRPr="00514EFA">
        <w:rPr>
          <w:rFonts w:cs="Arial"/>
          <w:b/>
          <w:bCs/>
          <w:sz w:val="23"/>
          <w:szCs w:val="23"/>
        </w:rPr>
        <w:t xml:space="preserve"> for this study was</w:t>
      </w:r>
      <w:r w:rsidR="006E740F" w:rsidRPr="00514EFA">
        <w:rPr>
          <w:rFonts w:cs="Arial"/>
          <w:b/>
          <w:bCs/>
          <w:sz w:val="23"/>
          <w:szCs w:val="23"/>
        </w:rPr>
        <w:t>:</w:t>
      </w:r>
    </w:p>
    <w:p w14:paraId="48C37448" w14:textId="6C42EA5E" w:rsidR="006E740F" w:rsidRPr="00514EFA" w:rsidRDefault="006E740F" w:rsidP="00DD13A4">
      <w:pPr>
        <w:ind w:left="0"/>
        <w:jc w:val="both"/>
        <w:rPr>
          <w:rFonts w:cs="Arial"/>
          <w:bCs/>
          <w:sz w:val="23"/>
          <w:szCs w:val="23"/>
        </w:rPr>
      </w:pPr>
      <w:r w:rsidRPr="00514EFA">
        <w:rPr>
          <w:rFonts w:cs="Arial"/>
          <w:bCs/>
          <w:sz w:val="23"/>
          <w:szCs w:val="23"/>
        </w:rPr>
        <w:t>Andrew Graves, TBR</w:t>
      </w:r>
    </w:p>
    <w:p w14:paraId="52038645" w14:textId="74142260" w:rsidR="006E740F" w:rsidRPr="00514EFA" w:rsidRDefault="006E740F" w:rsidP="00DD13A4">
      <w:pPr>
        <w:ind w:left="0"/>
        <w:jc w:val="both"/>
        <w:rPr>
          <w:rFonts w:cs="Arial"/>
          <w:bCs/>
          <w:sz w:val="23"/>
          <w:szCs w:val="23"/>
        </w:rPr>
      </w:pPr>
      <w:r w:rsidRPr="00514EFA">
        <w:rPr>
          <w:rFonts w:cs="Arial"/>
          <w:bCs/>
          <w:sz w:val="23"/>
          <w:szCs w:val="23"/>
        </w:rPr>
        <w:t>Andrew Rowell, TBR</w:t>
      </w:r>
    </w:p>
    <w:p w14:paraId="5E26082A" w14:textId="6002C399" w:rsidR="006E740F" w:rsidRPr="00514EFA" w:rsidRDefault="006E740F" w:rsidP="00DD13A4">
      <w:pPr>
        <w:ind w:left="0"/>
        <w:jc w:val="both"/>
        <w:rPr>
          <w:rFonts w:cs="Arial"/>
          <w:bCs/>
          <w:sz w:val="23"/>
          <w:szCs w:val="23"/>
        </w:rPr>
      </w:pPr>
      <w:r w:rsidRPr="00514EFA">
        <w:rPr>
          <w:rFonts w:cs="Arial"/>
          <w:bCs/>
          <w:sz w:val="23"/>
          <w:szCs w:val="23"/>
        </w:rPr>
        <w:t>Olivier Vardakoulias, NEF Consulting</w:t>
      </w:r>
    </w:p>
    <w:p w14:paraId="4377A507" w14:textId="0BBD53C8" w:rsidR="006E740F" w:rsidRPr="00514EFA" w:rsidRDefault="006E740F" w:rsidP="00DD13A4">
      <w:pPr>
        <w:ind w:left="0"/>
        <w:jc w:val="both"/>
        <w:rPr>
          <w:rFonts w:cs="Arial"/>
          <w:bCs/>
          <w:sz w:val="23"/>
          <w:szCs w:val="23"/>
        </w:rPr>
      </w:pPr>
      <w:r w:rsidRPr="00514EFA">
        <w:rPr>
          <w:rFonts w:cs="Arial"/>
          <w:bCs/>
          <w:sz w:val="23"/>
          <w:szCs w:val="23"/>
        </w:rPr>
        <w:t>Sarah Arnold</w:t>
      </w:r>
      <w:r w:rsidR="005C1C85">
        <w:rPr>
          <w:rFonts w:cs="Arial"/>
          <w:bCs/>
          <w:sz w:val="23"/>
          <w:szCs w:val="23"/>
        </w:rPr>
        <w:t>,</w:t>
      </w:r>
      <w:r w:rsidRPr="00514EFA">
        <w:rPr>
          <w:rFonts w:cs="Arial"/>
          <w:bCs/>
          <w:sz w:val="23"/>
          <w:szCs w:val="23"/>
        </w:rPr>
        <w:t xml:space="preserve"> NEF Consulting</w:t>
      </w:r>
    </w:p>
    <w:p w14:paraId="6516BE6A" w14:textId="25934AFC" w:rsidR="006E740F" w:rsidRPr="00514EFA" w:rsidRDefault="006E740F" w:rsidP="00DD13A4">
      <w:pPr>
        <w:ind w:left="0"/>
        <w:jc w:val="both"/>
        <w:rPr>
          <w:rFonts w:cs="Arial"/>
          <w:bCs/>
          <w:sz w:val="23"/>
          <w:szCs w:val="23"/>
        </w:rPr>
      </w:pPr>
      <w:r w:rsidRPr="001441E7">
        <w:rPr>
          <w:rFonts w:cs="Arial"/>
          <w:bCs/>
          <w:sz w:val="23"/>
          <w:szCs w:val="23"/>
          <w:highlight w:val="yellow"/>
        </w:rPr>
        <w:t>Graeme Evans</w:t>
      </w:r>
      <w:r w:rsidRPr="00514EFA">
        <w:rPr>
          <w:rFonts w:cs="Arial"/>
          <w:bCs/>
          <w:sz w:val="23"/>
          <w:szCs w:val="23"/>
        </w:rPr>
        <w:t>, Middlesex University</w:t>
      </w:r>
    </w:p>
    <w:p w14:paraId="74D73E5B" w14:textId="77777777" w:rsidR="006E740F" w:rsidRPr="00514EFA" w:rsidRDefault="006E740F" w:rsidP="00DD13A4">
      <w:pPr>
        <w:ind w:left="0"/>
        <w:jc w:val="both"/>
        <w:rPr>
          <w:rFonts w:cs="Arial"/>
          <w:b/>
          <w:bCs/>
          <w:sz w:val="23"/>
          <w:szCs w:val="23"/>
        </w:rPr>
      </w:pPr>
    </w:p>
    <w:p w14:paraId="749287B2" w14:textId="77777777" w:rsidR="006D76E4" w:rsidRPr="00514EFA" w:rsidRDefault="006D76E4" w:rsidP="00DD13A4">
      <w:pPr>
        <w:ind w:left="0"/>
        <w:jc w:val="both"/>
        <w:rPr>
          <w:rFonts w:cs="Arial"/>
          <w:b/>
          <w:bCs/>
          <w:sz w:val="23"/>
          <w:szCs w:val="23"/>
        </w:rPr>
      </w:pPr>
    </w:p>
    <w:p w14:paraId="749287B3" w14:textId="77777777" w:rsidR="005E332B" w:rsidRPr="00514EFA" w:rsidRDefault="005E332B" w:rsidP="00FE2D01">
      <w:pPr>
        <w:rPr>
          <w:rFonts w:cs="Arial"/>
        </w:rPr>
      </w:pPr>
    </w:p>
    <w:p w14:paraId="01C75F57" w14:textId="77777777" w:rsidR="00E11220" w:rsidRPr="00514EFA" w:rsidRDefault="00E11220" w:rsidP="00FE2D01">
      <w:pPr>
        <w:rPr>
          <w:rFonts w:cs="Arial"/>
        </w:rPr>
      </w:pPr>
    </w:p>
    <w:p w14:paraId="3F887BC2" w14:textId="77777777" w:rsidR="00E11220" w:rsidRPr="00514EFA" w:rsidRDefault="00E11220" w:rsidP="00FE2D01">
      <w:pPr>
        <w:rPr>
          <w:rFonts w:cs="Arial"/>
        </w:rPr>
        <w:sectPr w:rsidR="00E11220" w:rsidRPr="00514EFA" w:rsidSect="005A5D21">
          <w:headerReference w:type="even" r:id="rId20"/>
          <w:headerReference w:type="default" r:id="rId21"/>
          <w:pgSz w:w="11906" w:h="16838" w:code="9"/>
          <w:pgMar w:top="1418" w:right="1021" w:bottom="1134" w:left="1021" w:header="540" w:footer="709" w:gutter="0"/>
          <w:cols w:space="708"/>
          <w:docGrid w:linePitch="360"/>
        </w:sectPr>
      </w:pPr>
    </w:p>
    <w:sdt>
      <w:sdtPr>
        <w:rPr>
          <w:rFonts w:cs="Arial"/>
          <w:sz w:val="22"/>
        </w:rPr>
        <w:id w:val="-300771191"/>
        <w:docPartObj>
          <w:docPartGallery w:val="Table of Contents"/>
          <w:docPartUnique/>
        </w:docPartObj>
      </w:sdtPr>
      <w:sdtEndPr>
        <w:rPr>
          <w:b/>
          <w:bCs/>
          <w:noProof/>
        </w:rPr>
      </w:sdtEndPr>
      <w:sdtContent>
        <w:p w14:paraId="749287B4" w14:textId="77777777" w:rsidR="00FA21CC" w:rsidRPr="00514EFA" w:rsidRDefault="00FA21CC">
          <w:pPr>
            <w:pStyle w:val="TOCHeading"/>
            <w:rPr>
              <w:rFonts w:cs="Arial"/>
              <w:color w:val="673561"/>
            </w:rPr>
          </w:pPr>
          <w:r w:rsidRPr="00514EFA">
            <w:rPr>
              <w:rFonts w:cs="Arial"/>
              <w:color w:val="673561"/>
            </w:rPr>
            <w:t>Contents</w:t>
          </w:r>
        </w:p>
        <w:p w14:paraId="6B912E44" w14:textId="77777777" w:rsidR="00F53B92" w:rsidRDefault="00404FEF">
          <w:pPr>
            <w:pStyle w:val="TOC1"/>
            <w:tabs>
              <w:tab w:val="right" w:leader="dot" w:pos="9344"/>
            </w:tabs>
            <w:rPr>
              <w:rFonts w:asciiTheme="minorHAnsi" w:eastAsiaTheme="minorEastAsia" w:hAnsiTheme="minorHAnsi" w:cstheme="minorBidi"/>
              <w:b w:val="0"/>
              <w:noProof/>
              <w:szCs w:val="22"/>
              <w:lang w:eastAsia="en-GB"/>
            </w:rPr>
          </w:pPr>
          <w:r w:rsidRPr="00514EFA">
            <w:rPr>
              <w:rFonts w:cs="Arial"/>
            </w:rPr>
            <w:fldChar w:fldCharType="begin"/>
          </w:r>
          <w:r w:rsidR="00FA21CC" w:rsidRPr="00514EFA">
            <w:rPr>
              <w:rFonts w:cs="Arial"/>
            </w:rPr>
            <w:instrText xml:space="preserve"> TOC \o "1-3" \h \z \u </w:instrText>
          </w:r>
          <w:r w:rsidRPr="00514EFA">
            <w:rPr>
              <w:rFonts w:cs="Arial"/>
            </w:rPr>
            <w:fldChar w:fldCharType="separate"/>
          </w:r>
          <w:hyperlink w:anchor="_Toc467569574" w:history="1">
            <w:r w:rsidR="00F53B92" w:rsidRPr="00A53DEB">
              <w:rPr>
                <w:rStyle w:val="Hyperlink"/>
                <w:noProof/>
              </w:rPr>
              <w:t>1: Executive Summary</w:t>
            </w:r>
            <w:r w:rsidR="00F53B92">
              <w:rPr>
                <w:noProof/>
                <w:webHidden/>
              </w:rPr>
              <w:tab/>
            </w:r>
            <w:r w:rsidR="00F53B92">
              <w:rPr>
                <w:noProof/>
                <w:webHidden/>
              </w:rPr>
              <w:fldChar w:fldCharType="begin"/>
            </w:r>
            <w:r w:rsidR="00F53B92">
              <w:rPr>
                <w:noProof/>
                <w:webHidden/>
              </w:rPr>
              <w:instrText xml:space="preserve"> PAGEREF _Toc467569574 \h </w:instrText>
            </w:r>
            <w:r w:rsidR="00F53B92">
              <w:rPr>
                <w:noProof/>
                <w:webHidden/>
              </w:rPr>
            </w:r>
            <w:r w:rsidR="00F53B92">
              <w:rPr>
                <w:noProof/>
                <w:webHidden/>
              </w:rPr>
              <w:fldChar w:fldCharType="separate"/>
            </w:r>
            <w:r w:rsidR="00F53B92">
              <w:rPr>
                <w:noProof/>
                <w:webHidden/>
              </w:rPr>
              <w:t>1</w:t>
            </w:r>
            <w:r w:rsidR="00F53B92">
              <w:rPr>
                <w:noProof/>
                <w:webHidden/>
              </w:rPr>
              <w:fldChar w:fldCharType="end"/>
            </w:r>
          </w:hyperlink>
        </w:p>
        <w:p w14:paraId="3BA8D4D9"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575" w:history="1">
            <w:r w:rsidR="00F53B92" w:rsidRPr="00A53DEB">
              <w:rPr>
                <w:rStyle w:val="Hyperlink"/>
                <w:noProof/>
              </w:rPr>
              <w:t>1.1</w:t>
            </w:r>
            <w:r w:rsidR="00F53B92">
              <w:rPr>
                <w:rFonts w:asciiTheme="minorHAnsi" w:eastAsiaTheme="minorEastAsia" w:hAnsiTheme="minorHAnsi" w:cstheme="minorBidi"/>
                <w:noProof/>
                <w:szCs w:val="22"/>
                <w:lang w:eastAsia="en-GB"/>
              </w:rPr>
              <w:tab/>
            </w:r>
            <w:r w:rsidR="00F53B92" w:rsidRPr="00A53DEB">
              <w:rPr>
                <w:rStyle w:val="Hyperlink"/>
                <w:noProof/>
              </w:rPr>
              <w:t>Study aims and objectives</w:t>
            </w:r>
            <w:r w:rsidR="00F53B92">
              <w:rPr>
                <w:noProof/>
                <w:webHidden/>
              </w:rPr>
              <w:tab/>
            </w:r>
            <w:r w:rsidR="00F53B92">
              <w:rPr>
                <w:noProof/>
                <w:webHidden/>
              </w:rPr>
              <w:fldChar w:fldCharType="begin"/>
            </w:r>
            <w:r w:rsidR="00F53B92">
              <w:rPr>
                <w:noProof/>
                <w:webHidden/>
              </w:rPr>
              <w:instrText xml:space="preserve"> PAGEREF _Toc467569575 \h </w:instrText>
            </w:r>
            <w:r w:rsidR="00F53B92">
              <w:rPr>
                <w:noProof/>
                <w:webHidden/>
              </w:rPr>
            </w:r>
            <w:r w:rsidR="00F53B92">
              <w:rPr>
                <w:noProof/>
                <w:webHidden/>
              </w:rPr>
              <w:fldChar w:fldCharType="separate"/>
            </w:r>
            <w:r w:rsidR="00F53B92">
              <w:rPr>
                <w:noProof/>
                <w:webHidden/>
              </w:rPr>
              <w:t>1</w:t>
            </w:r>
            <w:r w:rsidR="00F53B92">
              <w:rPr>
                <w:noProof/>
                <w:webHidden/>
              </w:rPr>
              <w:fldChar w:fldCharType="end"/>
            </w:r>
          </w:hyperlink>
        </w:p>
        <w:p w14:paraId="56FA6345"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576" w:history="1">
            <w:r w:rsidR="00F53B92" w:rsidRPr="00A53DEB">
              <w:rPr>
                <w:rStyle w:val="Hyperlink"/>
                <w:noProof/>
              </w:rPr>
              <w:t>1.2</w:t>
            </w:r>
            <w:r w:rsidR="00F53B92">
              <w:rPr>
                <w:rFonts w:asciiTheme="minorHAnsi" w:eastAsiaTheme="minorEastAsia" w:hAnsiTheme="minorHAnsi" w:cstheme="minorBidi"/>
                <w:noProof/>
                <w:szCs w:val="22"/>
                <w:lang w:eastAsia="en-GB"/>
              </w:rPr>
              <w:tab/>
            </w:r>
            <w:r w:rsidR="00F53B92" w:rsidRPr="00A53DEB">
              <w:rPr>
                <w:rStyle w:val="Hyperlink"/>
                <w:noProof/>
              </w:rPr>
              <w:t>Methodology</w:t>
            </w:r>
            <w:r w:rsidR="00F53B92">
              <w:rPr>
                <w:noProof/>
                <w:webHidden/>
              </w:rPr>
              <w:tab/>
            </w:r>
            <w:r w:rsidR="00F53B92">
              <w:rPr>
                <w:noProof/>
                <w:webHidden/>
              </w:rPr>
              <w:fldChar w:fldCharType="begin"/>
            </w:r>
            <w:r w:rsidR="00F53B92">
              <w:rPr>
                <w:noProof/>
                <w:webHidden/>
              </w:rPr>
              <w:instrText xml:space="preserve"> PAGEREF _Toc467569576 \h </w:instrText>
            </w:r>
            <w:r w:rsidR="00F53B92">
              <w:rPr>
                <w:noProof/>
                <w:webHidden/>
              </w:rPr>
            </w:r>
            <w:r w:rsidR="00F53B92">
              <w:rPr>
                <w:noProof/>
                <w:webHidden/>
              </w:rPr>
              <w:fldChar w:fldCharType="separate"/>
            </w:r>
            <w:r w:rsidR="00F53B92">
              <w:rPr>
                <w:noProof/>
                <w:webHidden/>
              </w:rPr>
              <w:t>1</w:t>
            </w:r>
            <w:r w:rsidR="00F53B92">
              <w:rPr>
                <w:noProof/>
                <w:webHidden/>
              </w:rPr>
              <w:fldChar w:fldCharType="end"/>
            </w:r>
          </w:hyperlink>
        </w:p>
        <w:p w14:paraId="5EBF311F"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577" w:history="1">
            <w:r w:rsidR="00F53B92" w:rsidRPr="00A53DEB">
              <w:rPr>
                <w:rStyle w:val="Hyperlink"/>
                <w:noProof/>
              </w:rPr>
              <w:t>1.3</w:t>
            </w:r>
            <w:r w:rsidR="00F53B92">
              <w:rPr>
                <w:rFonts w:asciiTheme="minorHAnsi" w:eastAsiaTheme="minorEastAsia" w:hAnsiTheme="minorHAnsi" w:cstheme="minorBidi"/>
                <w:noProof/>
                <w:szCs w:val="22"/>
                <w:lang w:eastAsia="en-GB"/>
              </w:rPr>
              <w:tab/>
            </w:r>
            <w:r w:rsidR="00F53B92" w:rsidRPr="00A53DEB">
              <w:rPr>
                <w:rStyle w:val="Hyperlink"/>
                <w:noProof/>
              </w:rPr>
              <w:t>Key findings – all firms</w:t>
            </w:r>
            <w:r w:rsidR="00F53B92">
              <w:rPr>
                <w:noProof/>
                <w:webHidden/>
              </w:rPr>
              <w:tab/>
            </w:r>
            <w:r w:rsidR="00F53B92">
              <w:rPr>
                <w:noProof/>
                <w:webHidden/>
              </w:rPr>
              <w:fldChar w:fldCharType="begin"/>
            </w:r>
            <w:r w:rsidR="00F53B92">
              <w:rPr>
                <w:noProof/>
                <w:webHidden/>
              </w:rPr>
              <w:instrText xml:space="preserve"> PAGEREF _Toc467569577 \h </w:instrText>
            </w:r>
            <w:r w:rsidR="00F53B92">
              <w:rPr>
                <w:noProof/>
                <w:webHidden/>
              </w:rPr>
            </w:r>
            <w:r w:rsidR="00F53B92">
              <w:rPr>
                <w:noProof/>
                <w:webHidden/>
              </w:rPr>
              <w:fldChar w:fldCharType="separate"/>
            </w:r>
            <w:r w:rsidR="00F53B92">
              <w:rPr>
                <w:noProof/>
                <w:webHidden/>
              </w:rPr>
              <w:t>2</w:t>
            </w:r>
            <w:r w:rsidR="00F53B92">
              <w:rPr>
                <w:noProof/>
                <w:webHidden/>
              </w:rPr>
              <w:fldChar w:fldCharType="end"/>
            </w:r>
          </w:hyperlink>
        </w:p>
        <w:p w14:paraId="67CC510B"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578" w:history="1">
            <w:r w:rsidR="00F53B92" w:rsidRPr="00A53DEB">
              <w:rPr>
                <w:rStyle w:val="Hyperlink"/>
                <w:noProof/>
              </w:rPr>
              <w:t>1.4</w:t>
            </w:r>
            <w:r w:rsidR="00F53B92">
              <w:rPr>
                <w:rFonts w:asciiTheme="minorHAnsi" w:eastAsiaTheme="minorEastAsia" w:hAnsiTheme="minorHAnsi" w:cstheme="minorBidi"/>
                <w:noProof/>
                <w:szCs w:val="22"/>
                <w:lang w:eastAsia="en-GB"/>
              </w:rPr>
              <w:tab/>
            </w:r>
            <w:r w:rsidR="00F53B92" w:rsidRPr="00A53DEB">
              <w:rPr>
                <w:rStyle w:val="Hyperlink"/>
                <w:noProof/>
              </w:rPr>
              <w:t>Key findings – creative industries</w:t>
            </w:r>
            <w:r w:rsidR="00F53B92">
              <w:rPr>
                <w:noProof/>
                <w:webHidden/>
              </w:rPr>
              <w:tab/>
            </w:r>
            <w:r w:rsidR="00F53B92">
              <w:rPr>
                <w:noProof/>
                <w:webHidden/>
              </w:rPr>
              <w:fldChar w:fldCharType="begin"/>
            </w:r>
            <w:r w:rsidR="00F53B92">
              <w:rPr>
                <w:noProof/>
                <w:webHidden/>
              </w:rPr>
              <w:instrText xml:space="preserve"> PAGEREF _Toc467569578 \h </w:instrText>
            </w:r>
            <w:r w:rsidR="00F53B92">
              <w:rPr>
                <w:noProof/>
                <w:webHidden/>
              </w:rPr>
            </w:r>
            <w:r w:rsidR="00F53B92">
              <w:rPr>
                <w:noProof/>
                <w:webHidden/>
              </w:rPr>
              <w:fldChar w:fldCharType="separate"/>
            </w:r>
            <w:r w:rsidR="00F53B92">
              <w:rPr>
                <w:noProof/>
                <w:webHidden/>
              </w:rPr>
              <w:t>3</w:t>
            </w:r>
            <w:r w:rsidR="00F53B92">
              <w:rPr>
                <w:noProof/>
                <w:webHidden/>
              </w:rPr>
              <w:fldChar w:fldCharType="end"/>
            </w:r>
          </w:hyperlink>
        </w:p>
        <w:p w14:paraId="244E0A95"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579" w:history="1">
            <w:r w:rsidR="00F53B92" w:rsidRPr="00A53DEB">
              <w:rPr>
                <w:rStyle w:val="Hyperlink"/>
                <w:noProof/>
              </w:rPr>
              <w:t>1.5</w:t>
            </w:r>
            <w:r w:rsidR="00F53B92">
              <w:rPr>
                <w:rFonts w:asciiTheme="minorHAnsi" w:eastAsiaTheme="minorEastAsia" w:hAnsiTheme="minorHAnsi" w:cstheme="minorBidi"/>
                <w:noProof/>
                <w:szCs w:val="22"/>
                <w:lang w:eastAsia="en-GB"/>
              </w:rPr>
              <w:tab/>
            </w:r>
            <w:r w:rsidR="00F53B92" w:rsidRPr="00A53DEB">
              <w:rPr>
                <w:rStyle w:val="Hyperlink"/>
                <w:noProof/>
              </w:rPr>
              <w:t>Conclusions</w:t>
            </w:r>
            <w:r w:rsidR="00F53B92">
              <w:rPr>
                <w:noProof/>
                <w:webHidden/>
              </w:rPr>
              <w:tab/>
            </w:r>
            <w:r w:rsidR="00F53B92">
              <w:rPr>
                <w:noProof/>
                <w:webHidden/>
              </w:rPr>
              <w:fldChar w:fldCharType="begin"/>
            </w:r>
            <w:r w:rsidR="00F53B92">
              <w:rPr>
                <w:noProof/>
                <w:webHidden/>
              </w:rPr>
              <w:instrText xml:space="preserve"> PAGEREF _Toc467569579 \h </w:instrText>
            </w:r>
            <w:r w:rsidR="00F53B92">
              <w:rPr>
                <w:noProof/>
                <w:webHidden/>
              </w:rPr>
            </w:r>
            <w:r w:rsidR="00F53B92">
              <w:rPr>
                <w:noProof/>
                <w:webHidden/>
              </w:rPr>
              <w:fldChar w:fldCharType="separate"/>
            </w:r>
            <w:r w:rsidR="00F53B92">
              <w:rPr>
                <w:noProof/>
                <w:webHidden/>
              </w:rPr>
              <w:t>4</w:t>
            </w:r>
            <w:r w:rsidR="00F53B92">
              <w:rPr>
                <w:noProof/>
                <w:webHidden/>
              </w:rPr>
              <w:fldChar w:fldCharType="end"/>
            </w:r>
          </w:hyperlink>
        </w:p>
        <w:p w14:paraId="60F8CC12"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580" w:history="1">
            <w:r w:rsidR="00F53B92" w:rsidRPr="00A53DEB">
              <w:rPr>
                <w:rStyle w:val="Hyperlink"/>
                <w:noProof/>
              </w:rPr>
              <w:t>2: Introduction</w:t>
            </w:r>
            <w:r w:rsidR="00F53B92">
              <w:rPr>
                <w:noProof/>
                <w:webHidden/>
              </w:rPr>
              <w:tab/>
            </w:r>
            <w:r w:rsidR="00F53B92">
              <w:rPr>
                <w:noProof/>
                <w:webHidden/>
              </w:rPr>
              <w:fldChar w:fldCharType="begin"/>
            </w:r>
            <w:r w:rsidR="00F53B92">
              <w:rPr>
                <w:noProof/>
                <w:webHidden/>
              </w:rPr>
              <w:instrText xml:space="preserve"> PAGEREF _Toc467569580 \h </w:instrText>
            </w:r>
            <w:r w:rsidR="00F53B92">
              <w:rPr>
                <w:noProof/>
                <w:webHidden/>
              </w:rPr>
            </w:r>
            <w:r w:rsidR="00F53B92">
              <w:rPr>
                <w:noProof/>
                <w:webHidden/>
              </w:rPr>
              <w:fldChar w:fldCharType="separate"/>
            </w:r>
            <w:r w:rsidR="00F53B92">
              <w:rPr>
                <w:noProof/>
                <w:webHidden/>
              </w:rPr>
              <w:t>5</w:t>
            </w:r>
            <w:r w:rsidR="00F53B92">
              <w:rPr>
                <w:noProof/>
                <w:webHidden/>
              </w:rPr>
              <w:fldChar w:fldCharType="end"/>
            </w:r>
          </w:hyperlink>
        </w:p>
        <w:p w14:paraId="43B9B57E"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581" w:history="1">
            <w:r w:rsidR="00F53B92" w:rsidRPr="00A53DEB">
              <w:rPr>
                <w:rStyle w:val="Hyperlink"/>
                <w:noProof/>
              </w:rPr>
              <w:t>2.1</w:t>
            </w:r>
            <w:r w:rsidR="00F53B92">
              <w:rPr>
                <w:rFonts w:asciiTheme="minorHAnsi" w:eastAsiaTheme="minorEastAsia" w:hAnsiTheme="minorHAnsi" w:cstheme="minorBidi"/>
                <w:noProof/>
                <w:szCs w:val="22"/>
                <w:lang w:eastAsia="en-GB"/>
              </w:rPr>
              <w:tab/>
            </w:r>
            <w:r w:rsidR="00F53B92" w:rsidRPr="00A53DEB">
              <w:rPr>
                <w:rStyle w:val="Hyperlink"/>
                <w:noProof/>
              </w:rPr>
              <w:t>Aims and objectives</w:t>
            </w:r>
            <w:r w:rsidR="00F53B92">
              <w:rPr>
                <w:noProof/>
                <w:webHidden/>
              </w:rPr>
              <w:tab/>
            </w:r>
            <w:r w:rsidR="00F53B92">
              <w:rPr>
                <w:noProof/>
                <w:webHidden/>
              </w:rPr>
              <w:fldChar w:fldCharType="begin"/>
            </w:r>
            <w:r w:rsidR="00F53B92">
              <w:rPr>
                <w:noProof/>
                <w:webHidden/>
              </w:rPr>
              <w:instrText xml:space="preserve"> PAGEREF _Toc467569581 \h </w:instrText>
            </w:r>
            <w:r w:rsidR="00F53B92">
              <w:rPr>
                <w:noProof/>
                <w:webHidden/>
              </w:rPr>
            </w:r>
            <w:r w:rsidR="00F53B92">
              <w:rPr>
                <w:noProof/>
                <w:webHidden/>
              </w:rPr>
              <w:fldChar w:fldCharType="separate"/>
            </w:r>
            <w:r w:rsidR="00F53B92">
              <w:rPr>
                <w:noProof/>
                <w:webHidden/>
              </w:rPr>
              <w:t>5</w:t>
            </w:r>
            <w:r w:rsidR="00F53B92">
              <w:rPr>
                <w:noProof/>
                <w:webHidden/>
              </w:rPr>
              <w:fldChar w:fldCharType="end"/>
            </w:r>
          </w:hyperlink>
        </w:p>
        <w:p w14:paraId="46746C47"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582" w:history="1">
            <w:r w:rsidR="00F53B92" w:rsidRPr="00A53DEB">
              <w:rPr>
                <w:rStyle w:val="Hyperlink"/>
                <w:noProof/>
              </w:rPr>
              <w:t>2.2</w:t>
            </w:r>
            <w:r w:rsidR="00F53B92">
              <w:rPr>
                <w:rFonts w:asciiTheme="minorHAnsi" w:eastAsiaTheme="minorEastAsia" w:hAnsiTheme="minorHAnsi" w:cstheme="minorBidi"/>
                <w:noProof/>
                <w:szCs w:val="22"/>
                <w:lang w:eastAsia="en-GB"/>
              </w:rPr>
              <w:tab/>
            </w:r>
            <w:r w:rsidR="00F53B92" w:rsidRPr="00A53DEB">
              <w:rPr>
                <w:rStyle w:val="Hyperlink"/>
                <w:noProof/>
              </w:rPr>
              <w:t>Approach</w:t>
            </w:r>
            <w:r w:rsidR="00F53B92">
              <w:rPr>
                <w:noProof/>
                <w:webHidden/>
              </w:rPr>
              <w:tab/>
            </w:r>
            <w:r w:rsidR="00F53B92">
              <w:rPr>
                <w:noProof/>
                <w:webHidden/>
              </w:rPr>
              <w:fldChar w:fldCharType="begin"/>
            </w:r>
            <w:r w:rsidR="00F53B92">
              <w:rPr>
                <w:noProof/>
                <w:webHidden/>
              </w:rPr>
              <w:instrText xml:space="preserve"> PAGEREF _Toc467569582 \h </w:instrText>
            </w:r>
            <w:r w:rsidR="00F53B92">
              <w:rPr>
                <w:noProof/>
                <w:webHidden/>
              </w:rPr>
            </w:r>
            <w:r w:rsidR="00F53B92">
              <w:rPr>
                <w:noProof/>
                <w:webHidden/>
              </w:rPr>
              <w:fldChar w:fldCharType="separate"/>
            </w:r>
            <w:r w:rsidR="00F53B92">
              <w:rPr>
                <w:noProof/>
                <w:webHidden/>
              </w:rPr>
              <w:t>7</w:t>
            </w:r>
            <w:r w:rsidR="00F53B92">
              <w:rPr>
                <w:noProof/>
                <w:webHidden/>
              </w:rPr>
              <w:fldChar w:fldCharType="end"/>
            </w:r>
          </w:hyperlink>
        </w:p>
        <w:p w14:paraId="7B6AC0E6"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583" w:history="1">
            <w:r w:rsidR="00F53B92" w:rsidRPr="00A53DEB">
              <w:rPr>
                <w:rStyle w:val="Hyperlink"/>
                <w:noProof/>
              </w:rPr>
              <w:t>2.3</w:t>
            </w:r>
            <w:r w:rsidR="00F53B92">
              <w:rPr>
                <w:rFonts w:asciiTheme="minorHAnsi" w:eastAsiaTheme="minorEastAsia" w:hAnsiTheme="minorHAnsi" w:cstheme="minorBidi"/>
                <w:noProof/>
                <w:szCs w:val="22"/>
                <w:lang w:eastAsia="en-GB"/>
              </w:rPr>
              <w:tab/>
            </w:r>
            <w:r w:rsidR="00F53B92" w:rsidRPr="00A53DEB">
              <w:rPr>
                <w:rStyle w:val="Hyperlink"/>
                <w:noProof/>
              </w:rPr>
              <w:t>A conceptual framework</w:t>
            </w:r>
            <w:r w:rsidR="00F53B92">
              <w:rPr>
                <w:noProof/>
                <w:webHidden/>
              </w:rPr>
              <w:tab/>
            </w:r>
            <w:r w:rsidR="00F53B92">
              <w:rPr>
                <w:noProof/>
                <w:webHidden/>
              </w:rPr>
              <w:fldChar w:fldCharType="begin"/>
            </w:r>
            <w:r w:rsidR="00F53B92">
              <w:rPr>
                <w:noProof/>
                <w:webHidden/>
              </w:rPr>
              <w:instrText xml:space="preserve"> PAGEREF _Toc467569583 \h </w:instrText>
            </w:r>
            <w:r w:rsidR="00F53B92">
              <w:rPr>
                <w:noProof/>
                <w:webHidden/>
              </w:rPr>
            </w:r>
            <w:r w:rsidR="00F53B92">
              <w:rPr>
                <w:noProof/>
                <w:webHidden/>
              </w:rPr>
              <w:fldChar w:fldCharType="separate"/>
            </w:r>
            <w:r w:rsidR="00F53B92">
              <w:rPr>
                <w:noProof/>
                <w:webHidden/>
              </w:rPr>
              <w:t>7</w:t>
            </w:r>
            <w:r w:rsidR="00F53B92">
              <w:rPr>
                <w:noProof/>
                <w:webHidden/>
              </w:rPr>
              <w:fldChar w:fldCharType="end"/>
            </w:r>
          </w:hyperlink>
        </w:p>
        <w:p w14:paraId="497720FB"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84" w:history="1">
            <w:r w:rsidR="00F53B92" w:rsidRPr="00A53DEB">
              <w:rPr>
                <w:rStyle w:val="Hyperlink"/>
                <w:noProof/>
              </w:rPr>
              <w:t>2.3.1</w:t>
            </w:r>
            <w:r w:rsidR="00F53B92">
              <w:rPr>
                <w:rFonts w:asciiTheme="minorHAnsi" w:eastAsiaTheme="minorEastAsia" w:hAnsiTheme="minorHAnsi" w:cstheme="minorBidi"/>
                <w:noProof/>
                <w:szCs w:val="22"/>
                <w:lang w:eastAsia="en-GB"/>
              </w:rPr>
              <w:tab/>
            </w:r>
            <w:r w:rsidR="00F53B92" w:rsidRPr="00A53DEB">
              <w:rPr>
                <w:rStyle w:val="Hyperlink"/>
                <w:noProof/>
              </w:rPr>
              <w:t>Definition of terms</w:t>
            </w:r>
            <w:r w:rsidR="00F53B92">
              <w:rPr>
                <w:noProof/>
                <w:webHidden/>
              </w:rPr>
              <w:tab/>
            </w:r>
            <w:r w:rsidR="00F53B92">
              <w:rPr>
                <w:noProof/>
                <w:webHidden/>
              </w:rPr>
              <w:fldChar w:fldCharType="begin"/>
            </w:r>
            <w:r w:rsidR="00F53B92">
              <w:rPr>
                <w:noProof/>
                <w:webHidden/>
              </w:rPr>
              <w:instrText xml:space="preserve"> PAGEREF _Toc467569584 \h </w:instrText>
            </w:r>
            <w:r w:rsidR="00F53B92">
              <w:rPr>
                <w:noProof/>
                <w:webHidden/>
              </w:rPr>
            </w:r>
            <w:r w:rsidR="00F53B92">
              <w:rPr>
                <w:noProof/>
                <w:webHidden/>
              </w:rPr>
              <w:fldChar w:fldCharType="separate"/>
            </w:r>
            <w:r w:rsidR="00F53B92">
              <w:rPr>
                <w:noProof/>
                <w:webHidden/>
              </w:rPr>
              <w:t>8</w:t>
            </w:r>
            <w:r w:rsidR="00F53B92">
              <w:rPr>
                <w:noProof/>
                <w:webHidden/>
              </w:rPr>
              <w:fldChar w:fldCharType="end"/>
            </w:r>
          </w:hyperlink>
        </w:p>
        <w:p w14:paraId="7A390689"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85" w:history="1">
            <w:r w:rsidR="00F53B92" w:rsidRPr="00A53DEB">
              <w:rPr>
                <w:rStyle w:val="Hyperlink"/>
                <w:noProof/>
              </w:rPr>
              <w:t>2.3.2</w:t>
            </w:r>
            <w:r w:rsidR="00F53B92">
              <w:rPr>
                <w:rFonts w:asciiTheme="minorHAnsi" w:eastAsiaTheme="minorEastAsia" w:hAnsiTheme="minorHAnsi" w:cstheme="minorBidi"/>
                <w:noProof/>
                <w:szCs w:val="22"/>
                <w:lang w:eastAsia="en-GB"/>
              </w:rPr>
              <w:tab/>
            </w:r>
            <w:r w:rsidR="00F53B92" w:rsidRPr="00A53DEB">
              <w:rPr>
                <w:rStyle w:val="Hyperlink"/>
                <w:noProof/>
              </w:rPr>
              <w:t>Study implications arising from the review of theoretical literature</w:t>
            </w:r>
            <w:r w:rsidR="00F53B92">
              <w:rPr>
                <w:noProof/>
                <w:webHidden/>
              </w:rPr>
              <w:tab/>
            </w:r>
            <w:r w:rsidR="00F53B92">
              <w:rPr>
                <w:noProof/>
                <w:webHidden/>
              </w:rPr>
              <w:fldChar w:fldCharType="begin"/>
            </w:r>
            <w:r w:rsidR="00F53B92">
              <w:rPr>
                <w:noProof/>
                <w:webHidden/>
              </w:rPr>
              <w:instrText xml:space="preserve"> PAGEREF _Toc467569585 \h </w:instrText>
            </w:r>
            <w:r w:rsidR="00F53B92">
              <w:rPr>
                <w:noProof/>
                <w:webHidden/>
              </w:rPr>
            </w:r>
            <w:r w:rsidR="00F53B92">
              <w:rPr>
                <w:noProof/>
                <w:webHidden/>
              </w:rPr>
              <w:fldChar w:fldCharType="separate"/>
            </w:r>
            <w:r w:rsidR="00F53B92">
              <w:rPr>
                <w:noProof/>
                <w:webHidden/>
              </w:rPr>
              <w:t>11</w:t>
            </w:r>
            <w:r w:rsidR="00F53B92">
              <w:rPr>
                <w:noProof/>
                <w:webHidden/>
              </w:rPr>
              <w:fldChar w:fldCharType="end"/>
            </w:r>
          </w:hyperlink>
        </w:p>
        <w:p w14:paraId="78BCAF4D"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86" w:history="1">
            <w:r w:rsidR="00F53B92" w:rsidRPr="00A53DEB">
              <w:rPr>
                <w:rStyle w:val="Hyperlink"/>
                <w:noProof/>
              </w:rPr>
              <w:t>2.3.3</w:t>
            </w:r>
            <w:r w:rsidR="00F53B92">
              <w:rPr>
                <w:rFonts w:asciiTheme="minorHAnsi" w:eastAsiaTheme="minorEastAsia" w:hAnsiTheme="minorHAnsi" w:cstheme="minorBidi"/>
                <w:noProof/>
                <w:szCs w:val="22"/>
                <w:lang w:eastAsia="en-GB"/>
              </w:rPr>
              <w:tab/>
            </w:r>
            <w:r w:rsidR="00F53B92" w:rsidRPr="00A53DEB">
              <w:rPr>
                <w:rStyle w:val="Hyperlink"/>
                <w:noProof/>
              </w:rPr>
              <w:t>Developing the concept of an impact ecosystem</w:t>
            </w:r>
            <w:r w:rsidR="00F53B92">
              <w:rPr>
                <w:noProof/>
                <w:webHidden/>
              </w:rPr>
              <w:tab/>
            </w:r>
            <w:r w:rsidR="00F53B92">
              <w:rPr>
                <w:noProof/>
                <w:webHidden/>
              </w:rPr>
              <w:fldChar w:fldCharType="begin"/>
            </w:r>
            <w:r w:rsidR="00F53B92">
              <w:rPr>
                <w:noProof/>
                <w:webHidden/>
              </w:rPr>
              <w:instrText xml:space="preserve"> PAGEREF _Toc467569586 \h </w:instrText>
            </w:r>
            <w:r w:rsidR="00F53B92">
              <w:rPr>
                <w:noProof/>
                <w:webHidden/>
              </w:rPr>
            </w:r>
            <w:r w:rsidR="00F53B92">
              <w:rPr>
                <w:noProof/>
                <w:webHidden/>
              </w:rPr>
              <w:fldChar w:fldCharType="separate"/>
            </w:r>
            <w:r w:rsidR="00F53B92">
              <w:rPr>
                <w:noProof/>
                <w:webHidden/>
              </w:rPr>
              <w:t>12</w:t>
            </w:r>
            <w:r w:rsidR="00F53B92">
              <w:rPr>
                <w:noProof/>
                <w:webHidden/>
              </w:rPr>
              <w:fldChar w:fldCharType="end"/>
            </w:r>
          </w:hyperlink>
        </w:p>
        <w:p w14:paraId="799E0EC9"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87" w:history="1">
            <w:r w:rsidR="00F53B92" w:rsidRPr="00A53DEB">
              <w:rPr>
                <w:rStyle w:val="Hyperlink"/>
                <w:noProof/>
              </w:rPr>
              <w:t>2.3.4</w:t>
            </w:r>
            <w:r w:rsidR="00F53B92">
              <w:rPr>
                <w:rFonts w:asciiTheme="minorHAnsi" w:eastAsiaTheme="minorEastAsia" w:hAnsiTheme="minorHAnsi" w:cstheme="minorBidi"/>
                <w:noProof/>
                <w:szCs w:val="22"/>
                <w:lang w:eastAsia="en-GB"/>
              </w:rPr>
              <w:tab/>
            </w:r>
            <w:r w:rsidR="00F53B92" w:rsidRPr="00A53DEB">
              <w:rPr>
                <w:rStyle w:val="Hyperlink"/>
                <w:noProof/>
              </w:rPr>
              <w:t>Study implications arising from the review of empirical literature</w:t>
            </w:r>
            <w:r w:rsidR="00F53B92">
              <w:rPr>
                <w:noProof/>
                <w:webHidden/>
              </w:rPr>
              <w:tab/>
            </w:r>
            <w:r w:rsidR="00F53B92">
              <w:rPr>
                <w:noProof/>
                <w:webHidden/>
              </w:rPr>
              <w:fldChar w:fldCharType="begin"/>
            </w:r>
            <w:r w:rsidR="00F53B92">
              <w:rPr>
                <w:noProof/>
                <w:webHidden/>
              </w:rPr>
              <w:instrText xml:space="preserve"> PAGEREF _Toc467569587 \h </w:instrText>
            </w:r>
            <w:r w:rsidR="00F53B92">
              <w:rPr>
                <w:noProof/>
                <w:webHidden/>
              </w:rPr>
            </w:r>
            <w:r w:rsidR="00F53B92">
              <w:rPr>
                <w:noProof/>
                <w:webHidden/>
              </w:rPr>
              <w:fldChar w:fldCharType="separate"/>
            </w:r>
            <w:r w:rsidR="00F53B92">
              <w:rPr>
                <w:noProof/>
                <w:webHidden/>
              </w:rPr>
              <w:t>14</w:t>
            </w:r>
            <w:r w:rsidR="00F53B92">
              <w:rPr>
                <w:noProof/>
                <w:webHidden/>
              </w:rPr>
              <w:fldChar w:fldCharType="end"/>
            </w:r>
          </w:hyperlink>
        </w:p>
        <w:p w14:paraId="3FAA31ED"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88" w:history="1">
            <w:r w:rsidR="00F53B92" w:rsidRPr="00A53DEB">
              <w:rPr>
                <w:rStyle w:val="Hyperlink"/>
                <w:noProof/>
              </w:rPr>
              <w:t>2.3.5</w:t>
            </w:r>
            <w:r w:rsidR="00F53B92">
              <w:rPr>
                <w:rFonts w:asciiTheme="minorHAnsi" w:eastAsiaTheme="minorEastAsia" w:hAnsiTheme="minorHAnsi" w:cstheme="minorBidi"/>
                <w:noProof/>
                <w:szCs w:val="22"/>
                <w:lang w:eastAsia="en-GB"/>
              </w:rPr>
              <w:tab/>
            </w:r>
            <w:r w:rsidR="00F53B92" w:rsidRPr="00A53DEB">
              <w:rPr>
                <w:rStyle w:val="Hyperlink"/>
                <w:noProof/>
              </w:rPr>
              <w:t>Study implications arising from the data review</w:t>
            </w:r>
            <w:r w:rsidR="00F53B92">
              <w:rPr>
                <w:noProof/>
                <w:webHidden/>
              </w:rPr>
              <w:tab/>
            </w:r>
            <w:r w:rsidR="00F53B92">
              <w:rPr>
                <w:noProof/>
                <w:webHidden/>
              </w:rPr>
              <w:fldChar w:fldCharType="begin"/>
            </w:r>
            <w:r w:rsidR="00F53B92">
              <w:rPr>
                <w:noProof/>
                <w:webHidden/>
              </w:rPr>
              <w:instrText xml:space="preserve"> PAGEREF _Toc467569588 \h </w:instrText>
            </w:r>
            <w:r w:rsidR="00F53B92">
              <w:rPr>
                <w:noProof/>
                <w:webHidden/>
              </w:rPr>
            </w:r>
            <w:r w:rsidR="00F53B92">
              <w:rPr>
                <w:noProof/>
                <w:webHidden/>
              </w:rPr>
              <w:fldChar w:fldCharType="separate"/>
            </w:r>
            <w:r w:rsidR="00F53B92">
              <w:rPr>
                <w:noProof/>
                <w:webHidden/>
              </w:rPr>
              <w:t>15</w:t>
            </w:r>
            <w:r w:rsidR="00F53B92">
              <w:rPr>
                <w:noProof/>
                <w:webHidden/>
              </w:rPr>
              <w:fldChar w:fldCharType="end"/>
            </w:r>
          </w:hyperlink>
        </w:p>
        <w:p w14:paraId="7F4A2324"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89" w:history="1">
            <w:r w:rsidR="00F53B92" w:rsidRPr="00A53DEB">
              <w:rPr>
                <w:rStyle w:val="Hyperlink"/>
                <w:rFonts w:eastAsiaTheme="minorHAnsi"/>
                <w:noProof/>
              </w:rPr>
              <w:t>2.3.6</w:t>
            </w:r>
            <w:r w:rsidR="00F53B92">
              <w:rPr>
                <w:rFonts w:asciiTheme="minorHAnsi" w:eastAsiaTheme="minorEastAsia" w:hAnsiTheme="minorHAnsi" w:cstheme="minorBidi"/>
                <w:noProof/>
                <w:szCs w:val="22"/>
                <w:lang w:eastAsia="en-GB"/>
              </w:rPr>
              <w:tab/>
            </w:r>
            <w:r w:rsidR="00F53B92" w:rsidRPr="00A53DEB">
              <w:rPr>
                <w:rStyle w:val="Hyperlink"/>
                <w:rFonts w:eastAsiaTheme="minorHAnsi"/>
                <w:noProof/>
              </w:rPr>
              <w:t>Conceptual framework summary</w:t>
            </w:r>
            <w:r w:rsidR="00F53B92">
              <w:rPr>
                <w:noProof/>
                <w:webHidden/>
              </w:rPr>
              <w:tab/>
            </w:r>
            <w:r w:rsidR="00F53B92">
              <w:rPr>
                <w:noProof/>
                <w:webHidden/>
              </w:rPr>
              <w:fldChar w:fldCharType="begin"/>
            </w:r>
            <w:r w:rsidR="00F53B92">
              <w:rPr>
                <w:noProof/>
                <w:webHidden/>
              </w:rPr>
              <w:instrText xml:space="preserve"> PAGEREF _Toc467569589 \h </w:instrText>
            </w:r>
            <w:r w:rsidR="00F53B92">
              <w:rPr>
                <w:noProof/>
                <w:webHidden/>
              </w:rPr>
            </w:r>
            <w:r w:rsidR="00F53B92">
              <w:rPr>
                <w:noProof/>
                <w:webHidden/>
              </w:rPr>
              <w:fldChar w:fldCharType="separate"/>
            </w:r>
            <w:r w:rsidR="00F53B92">
              <w:rPr>
                <w:noProof/>
                <w:webHidden/>
              </w:rPr>
              <w:t>15</w:t>
            </w:r>
            <w:r w:rsidR="00F53B92">
              <w:rPr>
                <w:noProof/>
                <w:webHidden/>
              </w:rPr>
              <w:fldChar w:fldCharType="end"/>
            </w:r>
          </w:hyperlink>
        </w:p>
        <w:p w14:paraId="5A33184F"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590" w:history="1">
            <w:r w:rsidR="00F53B92" w:rsidRPr="00A53DEB">
              <w:rPr>
                <w:rStyle w:val="Hyperlink"/>
                <w:rFonts w:cs="Arial"/>
                <w:noProof/>
              </w:rPr>
              <w:t>3: Empirical approach</w:t>
            </w:r>
            <w:r w:rsidR="00F53B92">
              <w:rPr>
                <w:noProof/>
                <w:webHidden/>
              </w:rPr>
              <w:tab/>
            </w:r>
            <w:r w:rsidR="00F53B92">
              <w:rPr>
                <w:noProof/>
                <w:webHidden/>
              </w:rPr>
              <w:fldChar w:fldCharType="begin"/>
            </w:r>
            <w:r w:rsidR="00F53B92">
              <w:rPr>
                <w:noProof/>
                <w:webHidden/>
              </w:rPr>
              <w:instrText xml:space="preserve"> PAGEREF _Toc467569590 \h </w:instrText>
            </w:r>
            <w:r w:rsidR="00F53B92">
              <w:rPr>
                <w:noProof/>
                <w:webHidden/>
              </w:rPr>
            </w:r>
            <w:r w:rsidR="00F53B92">
              <w:rPr>
                <w:noProof/>
                <w:webHidden/>
              </w:rPr>
              <w:fldChar w:fldCharType="separate"/>
            </w:r>
            <w:r w:rsidR="00F53B92">
              <w:rPr>
                <w:noProof/>
                <w:webHidden/>
              </w:rPr>
              <w:t>17</w:t>
            </w:r>
            <w:r w:rsidR="00F53B92">
              <w:rPr>
                <w:noProof/>
                <w:webHidden/>
              </w:rPr>
              <w:fldChar w:fldCharType="end"/>
            </w:r>
          </w:hyperlink>
        </w:p>
        <w:p w14:paraId="75386ED4"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591" w:history="1">
            <w:r w:rsidR="00F53B92" w:rsidRPr="00A53DEB">
              <w:rPr>
                <w:rStyle w:val="Hyperlink"/>
                <w:noProof/>
              </w:rPr>
              <w:t>3.1</w:t>
            </w:r>
            <w:r w:rsidR="00F53B92">
              <w:rPr>
                <w:rFonts w:asciiTheme="minorHAnsi" w:eastAsiaTheme="minorEastAsia" w:hAnsiTheme="minorHAnsi" w:cstheme="minorBidi"/>
                <w:noProof/>
                <w:szCs w:val="22"/>
                <w:lang w:eastAsia="en-GB"/>
              </w:rPr>
              <w:tab/>
            </w:r>
            <w:r w:rsidR="00F53B92" w:rsidRPr="00A53DEB">
              <w:rPr>
                <w:rStyle w:val="Hyperlink"/>
                <w:noProof/>
              </w:rPr>
              <w:t>Empirical strategy</w:t>
            </w:r>
            <w:r w:rsidR="00F53B92">
              <w:rPr>
                <w:noProof/>
                <w:webHidden/>
              </w:rPr>
              <w:tab/>
            </w:r>
            <w:r w:rsidR="00F53B92">
              <w:rPr>
                <w:noProof/>
                <w:webHidden/>
              </w:rPr>
              <w:fldChar w:fldCharType="begin"/>
            </w:r>
            <w:r w:rsidR="00F53B92">
              <w:rPr>
                <w:noProof/>
                <w:webHidden/>
              </w:rPr>
              <w:instrText xml:space="preserve"> PAGEREF _Toc467569591 \h </w:instrText>
            </w:r>
            <w:r w:rsidR="00F53B92">
              <w:rPr>
                <w:noProof/>
                <w:webHidden/>
              </w:rPr>
            </w:r>
            <w:r w:rsidR="00F53B92">
              <w:rPr>
                <w:noProof/>
                <w:webHidden/>
              </w:rPr>
              <w:fldChar w:fldCharType="separate"/>
            </w:r>
            <w:r w:rsidR="00F53B92">
              <w:rPr>
                <w:noProof/>
                <w:webHidden/>
              </w:rPr>
              <w:t>17</w:t>
            </w:r>
            <w:r w:rsidR="00F53B92">
              <w:rPr>
                <w:noProof/>
                <w:webHidden/>
              </w:rPr>
              <w:fldChar w:fldCharType="end"/>
            </w:r>
          </w:hyperlink>
        </w:p>
        <w:p w14:paraId="1100BCF2"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92" w:history="1">
            <w:r w:rsidR="00F53B92" w:rsidRPr="00A53DEB">
              <w:rPr>
                <w:rStyle w:val="Hyperlink"/>
                <w:noProof/>
              </w:rPr>
              <w:t>3.1.1</w:t>
            </w:r>
            <w:r w:rsidR="00F53B92">
              <w:rPr>
                <w:rFonts w:asciiTheme="minorHAnsi" w:eastAsiaTheme="minorEastAsia" w:hAnsiTheme="minorHAnsi" w:cstheme="minorBidi"/>
                <w:noProof/>
                <w:szCs w:val="22"/>
                <w:lang w:eastAsia="en-GB"/>
              </w:rPr>
              <w:tab/>
            </w:r>
            <w:r w:rsidR="00F53B92" w:rsidRPr="00A53DEB">
              <w:rPr>
                <w:rStyle w:val="Hyperlink"/>
                <w:noProof/>
              </w:rPr>
              <w:t>Model specifications</w:t>
            </w:r>
            <w:r w:rsidR="00F53B92">
              <w:rPr>
                <w:noProof/>
                <w:webHidden/>
              </w:rPr>
              <w:tab/>
            </w:r>
            <w:r w:rsidR="00F53B92">
              <w:rPr>
                <w:noProof/>
                <w:webHidden/>
              </w:rPr>
              <w:fldChar w:fldCharType="begin"/>
            </w:r>
            <w:r w:rsidR="00F53B92">
              <w:rPr>
                <w:noProof/>
                <w:webHidden/>
              </w:rPr>
              <w:instrText xml:space="preserve"> PAGEREF _Toc467569592 \h </w:instrText>
            </w:r>
            <w:r w:rsidR="00F53B92">
              <w:rPr>
                <w:noProof/>
                <w:webHidden/>
              </w:rPr>
            </w:r>
            <w:r w:rsidR="00F53B92">
              <w:rPr>
                <w:noProof/>
                <w:webHidden/>
              </w:rPr>
              <w:fldChar w:fldCharType="separate"/>
            </w:r>
            <w:r w:rsidR="00F53B92">
              <w:rPr>
                <w:noProof/>
                <w:webHidden/>
              </w:rPr>
              <w:t>19</w:t>
            </w:r>
            <w:r w:rsidR="00F53B92">
              <w:rPr>
                <w:noProof/>
                <w:webHidden/>
              </w:rPr>
              <w:fldChar w:fldCharType="end"/>
            </w:r>
          </w:hyperlink>
        </w:p>
        <w:p w14:paraId="645D4230"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593" w:history="1">
            <w:r w:rsidR="00F53B92" w:rsidRPr="00A53DEB">
              <w:rPr>
                <w:rStyle w:val="Hyperlink"/>
                <w:noProof/>
              </w:rPr>
              <w:t>3.2</w:t>
            </w:r>
            <w:r w:rsidR="00F53B92">
              <w:rPr>
                <w:rFonts w:asciiTheme="minorHAnsi" w:eastAsiaTheme="minorEastAsia" w:hAnsiTheme="minorHAnsi" w:cstheme="minorBidi"/>
                <w:noProof/>
                <w:szCs w:val="22"/>
                <w:lang w:eastAsia="en-GB"/>
              </w:rPr>
              <w:tab/>
            </w:r>
            <w:r w:rsidR="00F53B92" w:rsidRPr="00A53DEB">
              <w:rPr>
                <w:rStyle w:val="Hyperlink"/>
                <w:noProof/>
              </w:rPr>
              <w:t>Data and model specifications</w:t>
            </w:r>
            <w:r w:rsidR="00F53B92">
              <w:rPr>
                <w:noProof/>
                <w:webHidden/>
              </w:rPr>
              <w:tab/>
            </w:r>
            <w:r w:rsidR="00F53B92">
              <w:rPr>
                <w:noProof/>
                <w:webHidden/>
              </w:rPr>
              <w:fldChar w:fldCharType="begin"/>
            </w:r>
            <w:r w:rsidR="00F53B92">
              <w:rPr>
                <w:noProof/>
                <w:webHidden/>
              </w:rPr>
              <w:instrText xml:space="preserve"> PAGEREF _Toc467569593 \h </w:instrText>
            </w:r>
            <w:r w:rsidR="00F53B92">
              <w:rPr>
                <w:noProof/>
                <w:webHidden/>
              </w:rPr>
            </w:r>
            <w:r w:rsidR="00F53B92">
              <w:rPr>
                <w:noProof/>
                <w:webHidden/>
              </w:rPr>
              <w:fldChar w:fldCharType="separate"/>
            </w:r>
            <w:r w:rsidR="00F53B92">
              <w:rPr>
                <w:noProof/>
                <w:webHidden/>
              </w:rPr>
              <w:t>21</w:t>
            </w:r>
            <w:r w:rsidR="00F53B92">
              <w:rPr>
                <w:noProof/>
                <w:webHidden/>
              </w:rPr>
              <w:fldChar w:fldCharType="end"/>
            </w:r>
          </w:hyperlink>
        </w:p>
        <w:p w14:paraId="68C12711"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94" w:history="1">
            <w:r w:rsidR="00F53B92" w:rsidRPr="00A53DEB">
              <w:rPr>
                <w:rStyle w:val="Hyperlink"/>
                <w:noProof/>
              </w:rPr>
              <w:t>3.2.1</w:t>
            </w:r>
            <w:r w:rsidR="00F53B92">
              <w:rPr>
                <w:rFonts w:asciiTheme="minorHAnsi" w:eastAsiaTheme="minorEastAsia" w:hAnsiTheme="minorHAnsi" w:cstheme="minorBidi"/>
                <w:noProof/>
                <w:szCs w:val="22"/>
                <w:lang w:eastAsia="en-GB"/>
              </w:rPr>
              <w:tab/>
            </w:r>
            <w:r w:rsidR="00F53B92" w:rsidRPr="00A53DEB">
              <w:rPr>
                <w:rStyle w:val="Hyperlink"/>
                <w:noProof/>
              </w:rPr>
              <w:t>Dependent variables</w:t>
            </w:r>
            <w:r w:rsidR="00F53B92">
              <w:rPr>
                <w:noProof/>
                <w:webHidden/>
              </w:rPr>
              <w:tab/>
            </w:r>
            <w:r w:rsidR="00F53B92">
              <w:rPr>
                <w:noProof/>
                <w:webHidden/>
              </w:rPr>
              <w:fldChar w:fldCharType="begin"/>
            </w:r>
            <w:r w:rsidR="00F53B92">
              <w:rPr>
                <w:noProof/>
                <w:webHidden/>
              </w:rPr>
              <w:instrText xml:space="preserve"> PAGEREF _Toc467569594 \h </w:instrText>
            </w:r>
            <w:r w:rsidR="00F53B92">
              <w:rPr>
                <w:noProof/>
                <w:webHidden/>
              </w:rPr>
            </w:r>
            <w:r w:rsidR="00F53B92">
              <w:rPr>
                <w:noProof/>
                <w:webHidden/>
              </w:rPr>
              <w:fldChar w:fldCharType="separate"/>
            </w:r>
            <w:r w:rsidR="00F53B92">
              <w:rPr>
                <w:noProof/>
                <w:webHidden/>
              </w:rPr>
              <w:t>22</w:t>
            </w:r>
            <w:r w:rsidR="00F53B92">
              <w:rPr>
                <w:noProof/>
                <w:webHidden/>
              </w:rPr>
              <w:fldChar w:fldCharType="end"/>
            </w:r>
          </w:hyperlink>
        </w:p>
        <w:p w14:paraId="5504AC23"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95" w:history="1">
            <w:r w:rsidR="00F53B92" w:rsidRPr="00A53DEB">
              <w:rPr>
                <w:rStyle w:val="Hyperlink"/>
                <w:noProof/>
              </w:rPr>
              <w:t>3.2.2</w:t>
            </w:r>
            <w:r w:rsidR="00F53B92">
              <w:rPr>
                <w:rFonts w:asciiTheme="minorHAnsi" w:eastAsiaTheme="minorEastAsia" w:hAnsiTheme="minorHAnsi" w:cstheme="minorBidi"/>
                <w:noProof/>
                <w:szCs w:val="22"/>
                <w:lang w:eastAsia="en-GB"/>
              </w:rPr>
              <w:tab/>
            </w:r>
            <w:r w:rsidR="00F53B92" w:rsidRPr="00A53DEB">
              <w:rPr>
                <w:rStyle w:val="Hyperlink"/>
                <w:noProof/>
              </w:rPr>
              <w:t>Independent variables</w:t>
            </w:r>
            <w:r w:rsidR="00F53B92">
              <w:rPr>
                <w:noProof/>
                <w:webHidden/>
              </w:rPr>
              <w:tab/>
            </w:r>
            <w:r w:rsidR="00F53B92">
              <w:rPr>
                <w:noProof/>
                <w:webHidden/>
              </w:rPr>
              <w:fldChar w:fldCharType="begin"/>
            </w:r>
            <w:r w:rsidR="00F53B92">
              <w:rPr>
                <w:noProof/>
                <w:webHidden/>
              </w:rPr>
              <w:instrText xml:space="preserve"> PAGEREF _Toc467569595 \h </w:instrText>
            </w:r>
            <w:r w:rsidR="00F53B92">
              <w:rPr>
                <w:noProof/>
                <w:webHidden/>
              </w:rPr>
            </w:r>
            <w:r w:rsidR="00F53B92">
              <w:rPr>
                <w:noProof/>
                <w:webHidden/>
              </w:rPr>
              <w:fldChar w:fldCharType="separate"/>
            </w:r>
            <w:r w:rsidR="00F53B92">
              <w:rPr>
                <w:noProof/>
                <w:webHidden/>
              </w:rPr>
              <w:t>23</w:t>
            </w:r>
            <w:r w:rsidR="00F53B92">
              <w:rPr>
                <w:noProof/>
                <w:webHidden/>
              </w:rPr>
              <w:fldChar w:fldCharType="end"/>
            </w:r>
          </w:hyperlink>
        </w:p>
        <w:p w14:paraId="2F4CA94F"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96" w:history="1">
            <w:r w:rsidR="00F53B92" w:rsidRPr="00A53DEB">
              <w:rPr>
                <w:rStyle w:val="Hyperlink"/>
                <w:noProof/>
              </w:rPr>
              <w:t>3.2.3</w:t>
            </w:r>
            <w:r w:rsidR="00F53B92">
              <w:rPr>
                <w:rFonts w:asciiTheme="minorHAnsi" w:eastAsiaTheme="minorEastAsia" w:hAnsiTheme="minorHAnsi" w:cstheme="minorBidi"/>
                <w:noProof/>
                <w:szCs w:val="22"/>
                <w:lang w:eastAsia="en-GB"/>
              </w:rPr>
              <w:tab/>
            </w:r>
            <w:r w:rsidR="00F53B92" w:rsidRPr="00A53DEB">
              <w:rPr>
                <w:rStyle w:val="Hyperlink"/>
                <w:noProof/>
              </w:rPr>
              <w:t>Control variables</w:t>
            </w:r>
            <w:r w:rsidR="00F53B92">
              <w:rPr>
                <w:noProof/>
                <w:webHidden/>
              </w:rPr>
              <w:tab/>
            </w:r>
            <w:r w:rsidR="00F53B92">
              <w:rPr>
                <w:noProof/>
                <w:webHidden/>
              </w:rPr>
              <w:fldChar w:fldCharType="begin"/>
            </w:r>
            <w:r w:rsidR="00F53B92">
              <w:rPr>
                <w:noProof/>
                <w:webHidden/>
              </w:rPr>
              <w:instrText xml:space="preserve"> PAGEREF _Toc467569596 \h </w:instrText>
            </w:r>
            <w:r w:rsidR="00F53B92">
              <w:rPr>
                <w:noProof/>
                <w:webHidden/>
              </w:rPr>
            </w:r>
            <w:r w:rsidR="00F53B92">
              <w:rPr>
                <w:noProof/>
                <w:webHidden/>
              </w:rPr>
              <w:fldChar w:fldCharType="separate"/>
            </w:r>
            <w:r w:rsidR="00F53B92">
              <w:rPr>
                <w:noProof/>
                <w:webHidden/>
              </w:rPr>
              <w:t>24</w:t>
            </w:r>
            <w:r w:rsidR="00F53B92">
              <w:rPr>
                <w:noProof/>
                <w:webHidden/>
              </w:rPr>
              <w:fldChar w:fldCharType="end"/>
            </w:r>
          </w:hyperlink>
        </w:p>
        <w:p w14:paraId="2B081970"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97" w:history="1">
            <w:r w:rsidR="00F53B92" w:rsidRPr="00A53DEB">
              <w:rPr>
                <w:rStyle w:val="Hyperlink"/>
                <w:noProof/>
              </w:rPr>
              <w:t>3.2.4</w:t>
            </w:r>
            <w:r w:rsidR="00F53B92">
              <w:rPr>
                <w:rFonts w:asciiTheme="minorHAnsi" w:eastAsiaTheme="minorEastAsia" w:hAnsiTheme="minorHAnsi" w:cstheme="minorBidi"/>
                <w:noProof/>
                <w:szCs w:val="22"/>
                <w:lang w:eastAsia="en-GB"/>
              </w:rPr>
              <w:tab/>
            </w:r>
            <w:r w:rsidR="00F53B92" w:rsidRPr="00A53DEB">
              <w:rPr>
                <w:rStyle w:val="Hyperlink"/>
                <w:noProof/>
              </w:rPr>
              <w:t>Spatial considerations</w:t>
            </w:r>
            <w:r w:rsidR="00F53B92">
              <w:rPr>
                <w:noProof/>
                <w:webHidden/>
              </w:rPr>
              <w:tab/>
            </w:r>
            <w:r w:rsidR="00F53B92">
              <w:rPr>
                <w:noProof/>
                <w:webHidden/>
              </w:rPr>
              <w:fldChar w:fldCharType="begin"/>
            </w:r>
            <w:r w:rsidR="00F53B92">
              <w:rPr>
                <w:noProof/>
                <w:webHidden/>
              </w:rPr>
              <w:instrText xml:space="preserve"> PAGEREF _Toc467569597 \h </w:instrText>
            </w:r>
            <w:r w:rsidR="00F53B92">
              <w:rPr>
                <w:noProof/>
                <w:webHidden/>
              </w:rPr>
            </w:r>
            <w:r w:rsidR="00F53B92">
              <w:rPr>
                <w:noProof/>
                <w:webHidden/>
              </w:rPr>
              <w:fldChar w:fldCharType="separate"/>
            </w:r>
            <w:r w:rsidR="00F53B92">
              <w:rPr>
                <w:noProof/>
                <w:webHidden/>
              </w:rPr>
              <w:t>25</w:t>
            </w:r>
            <w:r w:rsidR="00F53B92">
              <w:rPr>
                <w:noProof/>
                <w:webHidden/>
              </w:rPr>
              <w:fldChar w:fldCharType="end"/>
            </w:r>
          </w:hyperlink>
        </w:p>
        <w:p w14:paraId="70C49A14"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598" w:history="1">
            <w:r w:rsidR="00F53B92" w:rsidRPr="00A53DEB">
              <w:rPr>
                <w:rStyle w:val="Hyperlink"/>
                <w:noProof/>
              </w:rPr>
              <w:t>3.2.5</w:t>
            </w:r>
            <w:r w:rsidR="00F53B92">
              <w:rPr>
                <w:rFonts w:asciiTheme="minorHAnsi" w:eastAsiaTheme="minorEastAsia" w:hAnsiTheme="minorHAnsi" w:cstheme="minorBidi"/>
                <w:noProof/>
                <w:szCs w:val="22"/>
                <w:lang w:eastAsia="en-GB"/>
              </w:rPr>
              <w:tab/>
            </w:r>
            <w:r w:rsidR="00F53B92" w:rsidRPr="00A53DEB">
              <w:rPr>
                <w:rStyle w:val="Hyperlink"/>
                <w:noProof/>
              </w:rPr>
              <w:t>Temporal considerations</w:t>
            </w:r>
            <w:r w:rsidR="00F53B92">
              <w:rPr>
                <w:noProof/>
                <w:webHidden/>
              </w:rPr>
              <w:tab/>
            </w:r>
            <w:r w:rsidR="00F53B92">
              <w:rPr>
                <w:noProof/>
                <w:webHidden/>
              </w:rPr>
              <w:fldChar w:fldCharType="begin"/>
            </w:r>
            <w:r w:rsidR="00F53B92">
              <w:rPr>
                <w:noProof/>
                <w:webHidden/>
              </w:rPr>
              <w:instrText xml:space="preserve"> PAGEREF _Toc467569598 \h </w:instrText>
            </w:r>
            <w:r w:rsidR="00F53B92">
              <w:rPr>
                <w:noProof/>
                <w:webHidden/>
              </w:rPr>
            </w:r>
            <w:r w:rsidR="00F53B92">
              <w:rPr>
                <w:noProof/>
                <w:webHidden/>
              </w:rPr>
              <w:fldChar w:fldCharType="separate"/>
            </w:r>
            <w:r w:rsidR="00F53B92">
              <w:rPr>
                <w:noProof/>
                <w:webHidden/>
              </w:rPr>
              <w:t>25</w:t>
            </w:r>
            <w:r w:rsidR="00F53B92">
              <w:rPr>
                <w:noProof/>
                <w:webHidden/>
              </w:rPr>
              <w:fldChar w:fldCharType="end"/>
            </w:r>
          </w:hyperlink>
        </w:p>
        <w:p w14:paraId="4157DA8A"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599" w:history="1">
            <w:r w:rsidR="00F53B92" w:rsidRPr="00A53DEB">
              <w:rPr>
                <w:rStyle w:val="Hyperlink"/>
                <w:rFonts w:eastAsia="Calibri" w:cs="Arial"/>
                <w:noProof/>
              </w:rPr>
              <w:t>4: Econometric analysis and findings</w:t>
            </w:r>
            <w:r w:rsidR="00F53B92">
              <w:rPr>
                <w:noProof/>
                <w:webHidden/>
              </w:rPr>
              <w:tab/>
            </w:r>
            <w:r w:rsidR="00F53B92">
              <w:rPr>
                <w:noProof/>
                <w:webHidden/>
              </w:rPr>
              <w:fldChar w:fldCharType="begin"/>
            </w:r>
            <w:r w:rsidR="00F53B92">
              <w:rPr>
                <w:noProof/>
                <w:webHidden/>
              </w:rPr>
              <w:instrText xml:space="preserve"> PAGEREF _Toc467569599 \h </w:instrText>
            </w:r>
            <w:r w:rsidR="00F53B92">
              <w:rPr>
                <w:noProof/>
                <w:webHidden/>
              </w:rPr>
            </w:r>
            <w:r w:rsidR="00F53B92">
              <w:rPr>
                <w:noProof/>
                <w:webHidden/>
              </w:rPr>
              <w:fldChar w:fldCharType="separate"/>
            </w:r>
            <w:r w:rsidR="00F53B92">
              <w:rPr>
                <w:noProof/>
                <w:webHidden/>
              </w:rPr>
              <w:t>27</w:t>
            </w:r>
            <w:r w:rsidR="00F53B92">
              <w:rPr>
                <w:noProof/>
                <w:webHidden/>
              </w:rPr>
              <w:fldChar w:fldCharType="end"/>
            </w:r>
          </w:hyperlink>
        </w:p>
        <w:p w14:paraId="6267C1EA"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00" w:history="1">
            <w:r w:rsidR="00F53B92" w:rsidRPr="00A53DEB">
              <w:rPr>
                <w:rStyle w:val="Hyperlink"/>
                <w:rFonts w:eastAsia="Calibri"/>
                <w:noProof/>
              </w:rPr>
              <w:t>4.1</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All firms</w:t>
            </w:r>
            <w:r w:rsidR="00F53B92">
              <w:rPr>
                <w:noProof/>
                <w:webHidden/>
              </w:rPr>
              <w:tab/>
            </w:r>
            <w:r w:rsidR="00F53B92">
              <w:rPr>
                <w:noProof/>
                <w:webHidden/>
              </w:rPr>
              <w:fldChar w:fldCharType="begin"/>
            </w:r>
            <w:r w:rsidR="00F53B92">
              <w:rPr>
                <w:noProof/>
                <w:webHidden/>
              </w:rPr>
              <w:instrText xml:space="preserve"> PAGEREF _Toc467569600 \h </w:instrText>
            </w:r>
            <w:r w:rsidR="00F53B92">
              <w:rPr>
                <w:noProof/>
                <w:webHidden/>
              </w:rPr>
            </w:r>
            <w:r w:rsidR="00F53B92">
              <w:rPr>
                <w:noProof/>
                <w:webHidden/>
              </w:rPr>
              <w:fldChar w:fldCharType="separate"/>
            </w:r>
            <w:r w:rsidR="00F53B92">
              <w:rPr>
                <w:noProof/>
                <w:webHidden/>
              </w:rPr>
              <w:t>27</w:t>
            </w:r>
            <w:r w:rsidR="00F53B92">
              <w:rPr>
                <w:noProof/>
                <w:webHidden/>
              </w:rPr>
              <w:fldChar w:fldCharType="end"/>
            </w:r>
          </w:hyperlink>
        </w:p>
        <w:p w14:paraId="4187096C"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01" w:history="1">
            <w:r w:rsidR="00F53B92" w:rsidRPr="00A53DEB">
              <w:rPr>
                <w:rStyle w:val="Hyperlink"/>
                <w:rFonts w:eastAsia="Calibri"/>
                <w:noProof/>
              </w:rPr>
              <w:t>4.1.1</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Cross-sectional models – all firms</w:t>
            </w:r>
            <w:r w:rsidR="00F53B92">
              <w:rPr>
                <w:noProof/>
                <w:webHidden/>
              </w:rPr>
              <w:tab/>
            </w:r>
            <w:r w:rsidR="00F53B92">
              <w:rPr>
                <w:noProof/>
                <w:webHidden/>
              </w:rPr>
              <w:fldChar w:fldCharType="begin"/>
            </w:r>
            <w:r w:rsidR="00F53B92">
              <w:rPr>
                <w:noProof/>
                <w:webHidden/>
              </w:rPr>
              <w:instrText xml:space="preserve"> PAGEREF _Toc467569601 \h </w:instrText>
            </w:r>
            <w:r w:rsidR="00F53B92">
              <w:rPr>
                <w:noProof/>
                <w:webHidden/>
              </w:rPr>
            </w:r>
            <w:r w:rsidR="00F53B92">
              <w:rPr>
                <w:noProof/>
                <w:webHidden/>
              </w:rPr>
              <w:fldChar w:fldCharType="separate"/>
            </w:r>
            <w:r w:rsidR="00F53B92">
              <w:rPr>
                <w:noProof/>
                <w:webHidden/>
              </w:rPr>
              <w:t>27</w:t>
            </w:r>
            <w:r w:rsidR="00F53B92">
              <w:rPr>
                <w:noProof/>
                <w:webHidden/>
              </w:rPr>
              <w:fldChar w:fldCharType="end"/>
            </w:r>
          </w:hyperlink>
        </w:p>
        <w:p w14:paraId="74813EC9"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02" w:history="1">
            <w:r w:rsidR="00F53B92" w:rsidRPr="00A53DEB">
              <w:rPr>
                <w:rStyle w:val="Hyperlink"/>
                <w:rFonts w:eastAsia="Calibri"/>
                <w:noProof/>
              </w:rPr>
              <w:t>4.1.2</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Panel data models – all firms</w:t>
            </w:r>
            <w:r w:rsidR="00F53B92">
              <w:rPr>
                <w:noProof/>
                <w:webHidden/>
              </w:rPr>
              <w:tab/>
            </w:r>
            <w:r w:rsidR="00F53B92">
              <w:rPr>
                <w:noProof/>
                <w:webHidden/>
              </w:rPr>
              <w:fldChar w:fldCharType="begin"/>
            </w:r>
            <w:r w:rsidR="00F53B92">
              <w:rPr>
                <w:noProof/>
                <w:webHidden/>
              </w:rPr>
              <w:instrText xml:space="preserve"> PAGEREF _Toc467569602 \h </w:instrText>
            </w:r>
            <w:r w:rsidR="00F53B92">
              <w:rPr>
                <w:noProof/>
                <w:webHidden/>
              </w:rPr>
            </w:r>
            <w:r w:rsidR="00F53B92">
              <w:rPr>
                <w:noProof/>
                <w:webHidden/>
              </w:rPr>
              <w:fldChar w:fldCharType="separate"/>
            </w:r>
            <w:r w:rsidR="00F53B92">
              <w:rPr>
                <w:noProof/>
                <w:webHidden/>
              </w:rPr>
              <w:t>28</w:t>
            </w:r>
            <w:r w:rsidR="00F53B92">
              <w:rPr>
                <w:noProof/>
                <w:webHidden/>
              </w:rPr>
              <w:fldChar w:fldCharType="end"/>
            </w:r>
          </w:hyperlink>
        </w:p>
        <w:p w14:paraId="1D529AF6"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03" w:history="1">
            <w:r w:rsidR="00F53B92" w:rsidRPr="00A53DEB">
              <w:rPr>
                <w:rStyle w:val="Hyperlink"/>
                <w:rFonts w:eastAsia="Calibri"/>
                <w:noProof/>
              </w:rPr>
              <w:t>4.2</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Creative industries</w:t>
            </w:r>
            <w:r w:rsidR="00F53B92">
              <w:rPr>
                <w:noProof/>
                <w:webHidden/>
              </w:rPr>
              <w:tab/>
            </w:r>
            <w:r w:rsidR="00F53B92">
              <w:rPr>
                <w:noProof/>
                <w:webHidden/>
              </w:rPr>
              <w:fldChar w:fldCharType="begin"/>
            </w:r>
            <w:r w:rsidR="00F53B92">
              <w:rPr>
                <w:noProof/>
                <w:webHidden/>
              </w:rPr>
              <w:instrText xml:space="preserve"> PAGEREF _Toc467569603 \h </w:instrText>
            </w:r>
            <w:r w:rsidR="00F53B92">
              <w:rPr>
                <w:noProof/>
                <w:webHidden/>
              </w:rPr>
            </w:r>
            <w:r w:rsidR="00F53B92">
              <w:rPr>
                <w:noProof/>
                <w:webHidden/>
              </w:rPr>
              <w:fldChar w:fldCharType="separate"/>
            </w:r>
            <w:r w:rsidR="00F53B92">
              <w:rPr>
                <w:noProof/>
                <w:webHidden/>
              </w:rPr>
              <w:t>29</w:t>
            </w:r>
            <w:r w:rsidR="00F53B92">
              <w:rPr>
                <w:noProof/>
                <w:webHidden/>
              </w:rPr>
              <w:fldChar w:fldCharType="end"/>
            </w:r>
          </w:hyperlink>
        </w:p>
        <w:p w14:paraId="050F7F40"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04" w:history="1">
            <w:r w:rsidR="00F53B92" w:rsidRPr="00A53DEB">
              <w:rPr>
                <w:rStyle w:val="Hyperlink"/>
                <w:rFonts w:eastAsia="Calibri"/>
                <w:noProof/>
              </w:rPr>
              <w:t>4.2.1</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Cross-sectional models – creative firms</w:t>
            </w:r>
            <w:r w:rsidR="00F53B92">
              <w:rPr>
                <w:noProof/>
                <w:webHidden/>
              </w:rPr>
              <w:tab/>
            </w:r>
            <w:r w:rsidR="00F53B92">
              <w:rPr>
                <w:noProof/>
                <w:webHidden/>
              </w:rPr>
              <w:fldChar w:fldCharType="begin"/>
            </w:r>
            <w:r w:rsidR="00F53B92">
              <w:rPr>
                <w:noProof/>
                <w:webHidden/>
              </w:rPr>
              <w:instrText xml:space="preserve"> PAGEREF _Toc467569604 \h </w:instrText>
            </w:r>
            <w:r w:rsidR="00F53B92">
              <w:rPr>
                <w:noProof/>
                <w:webHidden/>
              </w:rPr>
            </w:r>
            <w:r w:rsidR="00F53B92">
              <w:rPr>
                <w:noProof/>
                <w:webHidden/>
              </w:rPr>
              <w:fldChar w:fldCharType="separate"/>
            </w:r>
            <w:r w:rsidR="00F53B92">
              <w:rPr>
                <w:noProof/>
                <w:webHidden/>
              </w:rPr>
              <w:t>29</w:t>
            </w:r>
            <w:r w:rsidR="00F53B92">
              <w:rPr>
                <w:noProof/>
                <w:webHidden/>
              </w:rPr>
              <w:fldChar w:fldCharType="end"/>
            </w:r>
          </w:hyperlink>
        </w:p>
        <w:p w14:paraId="3E917059"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05" w:history="1">
            <w:r w:rsidR="00F53B92" w:rsidRPr="00A53DEB">
              <w:rPr>
                <w:rStyle w:val="Hyperlink"/>
                <w:rFonts w:eastAsia="Calibri"/>
                <w:noProof/>
              </w:rPr>
              <w:t>4.2.2</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Panel data models – creative firms</w:t>
            </w:r>
            <w:r w:rsidR="00F53B92">
              <w:rPr>
                <w:noProof/>
                <w:webHidden/>
              </w:rPr>
              <w:tab/>
            </w:r>
            <w:r w:rsidR="00F53B92">
              <w:rPr>
                <w:noProof/>
                <w:webHidden/>
              </w:rPr>
              <w:fldChar w:fldCharType="begin"/>
            </w:r>
            <w:r w:rsidR="00F53B92">
              <w:rPr>
                <w:noProof/>
                <w:webHidden/>
              </w:rPr>
              <w:instrText xml:space="preserve"> PAGEREF _Toc467569605 \h </w:instrText>
            </w:r>
            <w:r w:rsidR="00F53B92">
              <w:rPr>
                <w:noProof/>
                <w:webHidden/>
              </w:rPr>
            </w:r>
            <w:r w:rsidR="00F53B92">
              <w:rPr>
                <w:noProof/>
                <w:webHidden/>
              </w:rPr>
              <w:fldChar w:fldCharType="separate"/>
            </w:r>
            <w:r w:rsidR="00F53B92">
              <w:rPr>
                <w:noProof/>
                <w:webHidden/>
              </w:rPr>
              <w:t>30</w:t>
            </w:r>
            <w:r w:rsidR="00F53B92">
              <w:rPr>
                <w:noProof/>
                <w:webHidden/>
              </w:rPr>
              <w:fldChar w:fldCharType="end"/>
            </w:r>
          </w:hyperlink>
        </w:p>
        <w:p w14:paraId="6C8FE5B7"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06" w:history="1">
            <w:r w:rsidR="00F53B92" w:rsidRPr="00A53DEB">
              <w:rPr>
                <w:rStyle w:val="Hyperlink"/>
                <w:rFonts w:eastAsia="Calibri"/>
                <w:noProof/>
              </w:rPr>
              <w:t>4.3</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Other industries</w:t>
            </w:r>
            <w:r w:rsidR="00F53B92">
              <w:rPr>
                <w:noProof/>
                <w:webHidden/>
              </w:rPr>
              <w:tab/>
            </w:r>
            <w:r w:rsidR="00F53B92">
              <w:rPr>
                <w:noProof/>
                <w:webHidden/>
              </w:rPr>
              <w:fldChar w:fldCharType="begin"/>
            </w:r>
            <w:r w:rsidR="00F53B92">
              <w:rPr>
                <w:noProof/>
                <w:webHidden/>
              </w:rPr>
              <w:instrText xml:space="preserve"> PAGEREF _Toc467569606 \h </w:instrText>
            </w:r>
            <w:r w:rsidR="00F53B92">
              <w:rPr>
                <w:noProof/>
                <w:webHidden/>
              </w:rPr>
            </w:r>
            <w:r w:rsidR="00F53B92">
              <w:rPr>
                <w:noProof/>
                <w:webHidden/>
              </w:rPr>
              <w:fldChar w:fldCharType="separate"/>
            </w:r>
            <w:r w:rsidR="00F53B92">
              <w:rPr>
                <w:noProof/>
                <w:webHidden/>
              </w:rPr>
              <w:t>31</w:t>
            </w:r>
            <w:r w:rsidR="00F53B92">
              <w:rPr>
                <w:noProof/>
                <w:webHidden/>
              </w:rPr>
              <w:fldChar w:fldCharType="end"/>
            </w:r>
          </w:hyperlink>
        </w:p>
        <w:p w14:paraId="676C8016"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07" w:history="1">
            <w:r w:rsidR="00F53B92" w:rsidRPr="00A53DEB">
              <w:rPr>
                <w:rStyle w:val="Hyperlink"/>
                <w:rFonts w:eastAsia="Calibri"/>
                <w:noProof/>
              </w:rPr>
              <w:t>4.4</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Technical discussion of econometric approach</w:t>
            </w:r>
            <w:r w:rsidR="00F53B92">
              <w:rPr>
                <w:noProof/>
                <w:webHidden/>
              </w:rPr>
              <w:tab/>
            </w:r>
            <w:r w:rsidR="00F53B92">
              <w:rPr>
                <w:noProof/>
                <w:webHidden/>
              </w:rPr>
              <w:fldChar w:fldCharType="begin"/>
            </w:r>
            <w:r w:rsidR="00F53B92">
              <w:rPr>
                <w:noProof/>
                <w:webHidden/>
              </w:rPr>
              <w:instrText xml:space="preserve"> PAGEREF _Toc467569607 \h </w:instrText>
            </w:r>
            <w:r w:rsidR="00F53B92">
              <w:rPr>
                <w:noProof/>
                <w:webHidden/>
              </w:rPr>
            </w:r>
            <w:r w:rsidR="00F53B92">
              <w:rPr>
                <w:noProof/>
                <w:webHidden/>
              </w:rPr>
              <w:fldChar w:fldCharType="separate"/>
            </w:r>
            <w:r w:rsidR="00F53B92">
              <w:rPr>
                <w:noProof/>
                <w:webHidden/>
              </w:rPr>
              <w:t>33</w:t>
            </w:r>
            <w:r w:rsidR="00F53B92">
              <w:rPr>
                <w:noProof/>
                <w:webHidden/>
              </w:rPr>
              <w:fldChar w:fldCharType="end"/>
            </w:r>
          </w:hyperlink>
        </w:p>
        <w:p w14:paraId="487AA754"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608" w:history="1">
            <w:r w:rsidR="00F53B92" w:rsidRPr="00A53DEB">
              <w:rPr>
                <w:rStyle w:val="Hyperlink"/>
                <w:rFonts w:eastAsia="Calibri" w:cs="Arial"/>
                <w:noProof/>
              </w:rPr>
              <w:t>5: Conclusions: discussion of findings and implications</w:t>
            </w:r>
            <w:r w:rsidR="00F53B92">
              <w:rPr>
                <w:noProof/>
                <w:webHidden/>
              </w:rPr>
              <w:tab/>
            </w:r>
            <w:r w:rsidR="00F53B92">
              <w:rPr>
                <w:noProof/>
                <w:webHidden/>
              </w:rPr>
              <w:fldChar w:fldCharType="begin"/>
            </w:r>
            <w:r w:rsidR="00F53B92">
              <w:rPr>
                <w:noProof/>
                <w:webHidden/>
              </w:rPr>
              <w:instrText xml:space="preserve"> PAGEREF _Toc467569608 \h </w:instrText>
            </w:r>
            <w:r w:rsidR="00F53B92">
              <w:rPr>
                <w:noProof/>
                <w:webHidden/>
              </w:rPr>
            </w:r>
            <w:r w:rsidR="00F53B92">
              <w:rPr>
                <w:noProof/>
                <w:webHidden/>
              </w:rPr>
              <w:fldChar w:fldCharType="separate"/>
            </w:r>
            <w:r w:rsidR="00F53B92">
              <w:rPr>
                <w:noProof/>
                <w:webHidden/>
              </w:rPr>
              <w:t>35</w:t>
            </w:r>
            <w:r w:rsidR="00F53B92">
              <w:rPr>
                <w:noProof/>
                <w:webHidden/>
              </w:rPr>
              <w:fldChar w:fldCharType="end"/>
            </w:r>
          </w:hyperlink>
        </w:p>
        <w:p w14:paraId="24722B77"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609" w:history="1">
            <w:r w:rsidR="00F53B92" w:rsidRPr="00A53DEB">
              <w:rPr>
                <w:rStyle w:val="Hyperlink"/>
                <w:noProof/>
              </w:rPr>
              <w:t>6:</w:t>
            </w:r>
            <w:r w:rsidR="00F53B92" w:rsidRPr="00A53DEB">
              <w:rPr>
                <w:rStyle w:val="Hyperlink"/>
                <w:rFonts w:eastAsia="Calibri"/>
                <w:noProof/>
              </w:rPr>
              <w:t xml:space="preserve"> Appendix I – </w:t>
            </w:r>
            <w:r w:rsidR="00F53B92" w:rsidRPr="00A53DEB">
              <w:rPr>
                <w:rStyle w:val="Hyperlink"/>
                <w:noProof/>
              </w:rPr>
              <w:t>Literature review</w:t>
            </w:r>
            <w:r w:rsidR="00F53B92">
              <w:rPr>
                <w:noProof/>
                <w:webHidden/>
              </w:rPr>
              <w:tab/>
            </w:r>
            <w:r w:rsidR="00F53B92">
              <w:rPr>
                <w:noProof/>
                <w:webHidden/>
              </w:rPr>
              <w:fldChar w:fldCharType="begin"/>
            </w:r>
            <w:r w:rsidR="00F53B92">
              <w:rPr>
                <w:noProof/>
                <w:webHidden/>
              </w:rPr>
              <w:instrText xml:space="preserve"> PAGEREF _Toc467569609 \h </w:instrText>
            </w:r>
            <w:r w:rsidR="00F53B92">
              <w:rPr>
                <w:noProof/>
                <w:webHidden/>
              </w:rPr>
            </w:r>
            <w:r w:rsidR="00F53B92">
              <w:rPr>
                <w:noProof/>
                <w:webHidden/>
              </w:rPr>
              <w:fldChar w:fldCharType="separate"/>
            </w:r>
            <w:r w:rsidR="00F53B92">
              <w:rPr>
                <w:noProof/>
                <w:webHidden/>
              </w:rPr>
              <w:t>39</w:t>
            </w:r>
            <w:r w:rsidR="00F53B92">
              <w:rPr>
                <w:noProof/>
                <w:webHidden/>
              </w:rPr>
              <w:fldChar w:fldCharType="end"/>
            </w:r>
          </w:hyperlink>
        </w:p>
        <w:p w14:paraId="4AFA47ED"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10" w:history="1">
            <w:r w:rsidR="00F53B92" w:rsidRPr="00A53DEB">
              <w:rPr>
                <w:rStyle w:val="Hyperlink"/>
                <w:noProof/>
              </w:rPr>
              <w:t>6.1</w:t>
            </w:r>
            <w:r w:rsidR="00F53B92">
              <w:rPr>
                <w:rFonts w:asciiTheme="minorHAnsi" w:eastAsiaTheme="minorEastAsia" w:hAnsiTheme="minorHAnsi" w:cstheme="minorBidi"/>
                <w:noProof/>
                <w:szCs w:val="22"/>
                <w:lang w:eastAsia="en-GB"/>
              </w:rPr>
              <w:tab/>
            </w:r>
            <w:r w:rsidR="00F53B92" w:rsidRPr="00A53DEB">
              <w:rPr>
                <w:rStyle w:val="Hyperlink"/>
                <w:noProof/>
              </w:rPr>
              <w:t>Introduction</w:t>
            </w:r>
            <w:r w:rsidR="00F53B92">
              <w:rPr>
                <w:noProof/>
                <w:webHidden/>
              </w:rPr>
              <w:tab/>
            </w:r>
            <w:r w:rsidR="00F53B92">
              <w:rPr>
                <w:noProof/>
                <w:webHidden/>
              </w:rPr>
              <w:fldChar w:fldCharType="begin"/>
            </w:r>
            <w:r w:rsidR="00F53B92">
              <w:rPr>
                <w:noProof/>
                <w:webHidden/>
              </w:rPr>
              <w:instrText xml:space="preserve"> PAGEREF _Toc467569610 \h </w:instrText>
            </w:r>
            <w:r w:rsidR="00F53B92">
              <w:rPr>
                <w:noProof/>
                <w:webHidden/>
              </w:rPr>
            </w:r>
            <w:r w:rsidR="00F53B92">
              <w:rPr>
                <w:noProof/>
                <w:webHidden/>
              </w:rPr>
              <w:fldChar w:fldCharType="separate"/>
            </w:r>
            <w:r w:rsidR="00F53B92">
              <w:rPr>
                <w:noProof/>
                <w:webHidden/>
              </w:rPr>
              <w:t>39</w:t>
            </w:r>
            <w:r w:rsidR="00F53B92">
              <w:rPr>
                <w:noProof/>
                <w:webHidden/>
              </w:rPr>
              <w:fldChar w:fldCharType="end"/>
            </w:r>
          </w:hyperlink>
        </w:p>
        <w:p w14:paraId="7EA624D0"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11" w:history="1">
            <w:r w:rsidR="00F53B92" w:rsidRPr="00A53DEB">
              <w:rPr>
                <w:rStyle w:val="Hyperlink"/>
                <w:noProof/>
              </w:rPr>
              <w:t>6.2</w:t>
            </w:r>
            <w:r w:rsidR="00F53B92">
              <w:rPr>
                <w:rFonts w:asciiTheme="minorHAnsi" w:eastAsiaTheme="minorEastAsia" w:hAnsiTheme="minorHAnsi" w:cstheme="minorBidi"/>
                <w:noProof/>
                <w:szCs w:val="22"/>
                <w:lang w:eastAsia="en-GB"/>
              </w:rPr>
              <w:tab/>
            </w:r>
            <w:r w:rsidR="00F53B92" w:rsidRPr="00A53DEB">
              <w:rPr>
                <w:rStyle w:val="Hyperlink"/>
                <w:noProof/>
              </w:rPr>
              <w:t>Cultural Assets</w:t>
            </w:r>
            <w:r w:rsidR="00F53B92">
              <w:rPr>
                <w:noProof/>
                <w:webHidden/>
              </w:rPr>
              <w:tab/>
            </w:r>
            <w:r w:rsidR="00F53B92">
              <w:rPr>
                <w:noProof/>
                <w:webHidden/>
              </w:rPr>
              <w:fldChar w:fldCharType="begin"/>
            </w:r>
            <w:r w:rsidR="00F53B92">
              <w:rPr>
                <w:noProof/>
                <w:webHidden/>
              </w:rPr>
              <w:instrText xml:space="preserve"> PAGEREF _Toc467569611 \h </w:instrText>
            </w:r>
            <w:r w:rsidR="00F53B92">
              <w:rPr>
                <w:noProof/>
                <w:webHidden/>
              </w:rPr>
            </w:r>
            <w:r w:rsidR="00F53B92">
              <w:rPr>
                <w:noProof/>
                <w:webHidden/>
              </w:rPr>
              <w:fldChar w:fldCharType="separate"/>
            </w:r>
            <w:r w:rsidR="00F53B92">
              <w:rPr>
                <w:noProof/>
                <w:webHidden/>
              </w:rPr>
              <w:t>40</w:t>
            </w:r>
            <w:r w:rsidR="00F53B92">
              <w:rPr>
                <w:noProof/>
                <w:webHidden/>
              </w:rPr>
              <w:fldChar w:fldCharType="end"/>
            </w:r>
          </w:hyperlink>
        </w:p>
        <w:p w14:paraId="46DF37F9"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12" w:history="1">
            <w:r w:rsidR="00F53B92" w:rsidRPr="00A53DEB">
              <w:rPr>
                <w:rStyle w:val="Hyperlink"/>
                <w:noProof/>
              </w:rPr>
              <w:t>6.2.1</w:t>
            </w:r>
            <w:r w:rsidR="00F53B92">
              <w:rPr>
                <w:rFonts w:asciiTheme="minorHAnsi" w:eastAsiaTheme="minorEastAsia" w:hAnsiTheme="minorHAnsi" w:cstheme="minorBidi"/>
                <w:noProof/>
                <w:szCs w:val="22"/>
                <w:lang w:eastAsia="en-GB"/>
              </w:rPr>
              <w:tab/>
            </w:r>
            <w:r w:rsidR="00F53B92" w:rsidRPr="00A53DEB">
              <w:rPr>
                <w:rStyle w:val="Hyperlink"/>
                <w:noProof/>
              </w:rPr>
              <w:t>Public, Merit and Private Goods</w:t>
            </w:r>
            <w:r w:rsidR="00F53B92">
              <w:rPr>
                <w:noProof/>
                <w:webHidden/>
              </w:rPr>
              <w:tab/>
            </w:r>
            <w:r w:rsidR="00F53B92">
              <w:rPr>
                <w:noProof/>
                <w:webHidden/>
              </w:rPr>
              <w:fldChar w:fldCharType="begin"/>
            </w:r>
            <w:r w:rsidR="00F53B92">
              <w:rPr>
                <w:noProof/>
                <w:webHidden/>
              </w:rPr>
              <w:instrText xml:space="preserve"> PAGEREF _Toc467569612 \h </w:instrText>
            </w:r>
            <w:r w:rsidR="00F53B92">
              <w:rPr>
                <w:noProof/>
                <w:webHidden/>
              </w:rPr>
            </w:r>
            <w:r w:rsidR="00F53B92">
              <w:rPr>
                <w:noProof/>
                <w:webHidden/>
              </w:rPr>
              <w:fldChar w:fldCharType="separate"/>
            </w:r>
            <w:r w:rsidR="00F53B92">
              <w:rPr>
                <w:noProof/>
                <w:webHidden/>
              </w:rPr>
              <w:t>40</w:t>
            </w:r>
            <w:r w:rsidR="00F53B92">
              <w:rPr>
                <w:noProof/>
                <w:webHidden/>
              </w:rPr>
              <w:fldChar w:fldCharType="end"/>
            </w:r>
          </w:hyperlink>
        </w:p>
        <w:p w14:paraId="7C732165"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13" w:history="1">
            <w:r w:rsidR="00F53B92" w:rsidRPr="00A53DEB">
              <w:rPr>
                <w:rStyle w:val="Hyperlink"/>
                <w:noProof/>
              </w:rPr>
              <w:t>6.2.2</w:t>
            </w:r>
            <w:r w:rsidR="00F53B92">
              <w:rPr>
                <w:rFonts w:asciiTheme="minorHAnsi" w:eastAsiaTheme="minorEastAsia" w:hAnsiTheme="minorHAnsi" w:cstheme="minorBidi"/>
                <w:noProof/>
                <w:szCs w:val="22"/>
                <w:lang w:eastAsia="en-GB"/>
              </w:rPr>
              <w:tab/>
            </w:r>
            <w:r w:rsidR="00F53B92" w:rsidRPr="00A53DEB">
              <w:rPr>
                <w:rStyle w:val="Hyperlink"/>
                <w:noProof/>
              </w:rPr>
              <w:t>Valorisation</w:t>
            </w:r>
            <w:r w:rsidR="00F53B92">
              <w:rPr>
                <w:noProof/>
                <w:webHidden/>
              </w:rPr>
              <w:tab/>
            </w:r>
            <w:r w:rsidR="00F53B92">
              <w:rPr>
                <w:noProof/>
                <w:webHidden/>
              </w:rPr>
              <w:fldChar w:fldCharType="begin"/>
            </w:r>
            <w:r w:rsidR="00F53B92">
              <w:rPr>
                <w:noProof/>
                <w:webHidden/>
              </w:rPr>
              <w:instrText xml:space="preserve"> PAGEREF _Toc467569613 \h </w:instrText>
            </w:r>
            <w:r w:rsidR="00F53B92">
              <w:rPr>
                <w:noProof/>
                <w:webHidden/>
              </w:rPr>
            </w:r>
            <w:r w:rsidR="00F53B92">
              <w:rPr>
                <w:noProof/>
                <w:webHidden/>
              </w:rPr>
              <w:fldChar w:fldCharType="separate"/>
            </w:r>
            <w:r w:rsidR="00F53B92">
              <w:rPr>
                <w:noProof/>
                <w:webHidden/>
              </w:rPr>
              <w:t>40</w:t>
            </w:r>
            <w:r w:rsidR="00F53B92">
              <w:rPr>
                <w:noProof/>
                <w:webHidden/>
              </w:rPr>
              <w:fldChar w:fldCharType="end"/>
            </w:r>
          </w:hyperlink>
        </w:p>
        <w:p w14:paraId="67D52D01"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14" w:history="1">
            <w:r w:rsidR="00F53B92" w:rsidRPr="00A53DEB">
              <w:rPr>
                <w:rStyle w:val="Hyperlink"/>
                <w:noProof/>
              </w:rPr>
              <w:t>6.2.3</w:t>
            </w:r>
            <w:r w:rsidR="00F53B92">
              <w:rPr>
                <w:rFonts w:asciiTheme="minorHAnsi" w:eastAsiaTheme="minorEastAsia" w:hAnsiTheme="minorHAnsi" w:cstheme="minorBidi"/>
                <w:noProof/>
                <w:szCs w:val="22"/>
                <w:lang w:eastAsia="en-GB"/>
              </w:rPr>
              <w:tab/>
            </w:r>
            <w:r w:rsidR="00F53B92" w:rsidRPr="00A53DEB">
              <w:rPr>
                <w:rStyle w:val="Hyperlink"/>
                <w:noProof/>
              </w:rPr>
              <w:t>Economic impact</w:t>
            </w:r>
            <w:r w:rsidR="00F53B92">
              <w:rPr>
                <w:noProof/>
                <w:webHidden/>
              </w:rPr>
              <w:tab/>
            </w:r>
            <w:r w:rsidR="00F53B92">
              <w:rPr>
                <w:noProof/>
                <w:webHidden/>
              </w:rPr>
              <w:fldChar w:fldCharType="begin"/>
            </w:r>
            <w:r w:rsidR="00F53B92">
              <w:rPr>
                <w:noProof/>
                <w:webHidden/>
              </w:rPr>
              <w:instrText xml:space="preserve"> PAGEREF _Toc467569614 \h </w:instrText>
            </w:r>
            <w:r w:rsidR="00F53B92">
              <w:rPr>
                <w:noProof/>
                <w:webHidden/>
              </w:rPr>
            </w:r>
            <w:r w:rsidR="00F53B92">
              <w:rPr>
                <w:noProof/>
                <w:webHidden/>
              </w:rPr>
              <w:fldChar w:fldCharType="separate"/>
            </w:r>
            <w:r w:rsidR="00F53B92">
              <w:rPr>
                <w:noProof/>
                <w:webHidden/>
              </w:rPr>
              <w:t>42</w:t>
            </w:r>
            <w:r w:rsidR="00F53B92">
              <w:rPr>
                <w:noProof/>
                <w:webHidden/>
              </w:rPr>
              <w:fldChar w:fldCharType="end"/>
            </w:r>
          </w:hyperlink>
        </w:p>
        <w:p w14:paraId="782C6F61"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15" w:history="1">
            <w:r w:rsidR="00F53B92" w:rsidRPr="00A53DEB">
              <w:rPr>
                <w:rStyle w:val="Hyperlink"/>
                <w:noProof/>
              </w:rPr>
              <w:t>6.2.4</w:t>
            </w:r>
            <w:r w:rsidR="00F53B92">
              <w:rPr>
                <w:rFonts w:asciiTheme="minorHAnsi" w:eastAsiaTheme="minorEastAsia" w:hAnsiTheme="minorHAnsi" w:cstheme="minorBidi"/>
                <w:noProof/>
                <w:szCs w:val="22"/>
                <w:lang w:eastAsia="en-GB"/>
              </w:rPr>
              <w:tab/>
            </w:r>
            <w:r w:rsidR="00F53B92" w:rsidRPr="00A53DEB">
              <w:rPr>
                <w:rStyle w:val="Hyperlink"/>
                <w:noProof/>
              </w:rPr>
              <w:t>Social Impacts</w:t>
            </w:r>
            <w:r w:rsidR="00F53B92">
              <w:rPr>
                <w:noProof/>
                <w:webHidden/>
              </w:rPr>
              <w:tab/>
            </w:r>
            <w:r w:rsidR="00F53B92">
              <w:rPr>
                <w:noProof/>
                <w:webHidden/>
              </w:rPr>
              <w:fldChar w:fldCharType="begin"/>
            </w:r>
            <w:r w:rsidR="00F53B92">
              <w:rPr>
                <w:noProof/>
                <w:webHidden/>
              </w:rPr>
              <w:instrText xml:space="preserve"> PAGEREF _Toc467569615 \h </w:instrText>
            </w:r>
            <w:r w:rsidR="00F53B92">
              <w:rPr>
                <w:noProof/>
                <w:webHidden/>
              </w:rPr>
            </w:r>
            <w:r w:rsidR="00F53B92">
              <w:rPr>
                <w:noProof/>
                <w:webHidden/>
              </w:rPr>
              <w:fldChar w:fldCharType="separate"/>
            </w:r>
            <w:r w:rsidR="00F53B92">
              <w:rPr>
                <w:noProof/>
                <w:webHidden/>
              </w:rPr>
              <w:t>44</w:t>
            </w:r>
            <w:r w:rsidR="00F53B92">
              <w:rPr>
                <w:noProof/>
                <w:webHidden/>
              </w:rPr>
              <w:fldChar w:fldCharType="end"/>
            </w:r>
          </w:hyperlink>
        </w:p>
        <w:p w14:paraId="5BB9CB48"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16" w:history="1">
            <w:r w:rsidR="00F53B92" w:rsidRPr="00A53DEB">
              <w:rPr>
                <w:rStyle w:val="Hyperlink"/>
                <w:noProof/>
              </w:rPr>
              <w:t>6.2.5</w:t>
            </w:r>
            <w:r w:rsidR="00F53B92">
              <w:rPr>
                <w:rFonts w:asciiTheme="minorHAnsi" w:eastAsiaTheme="minorEastAsia" w:hAnsiTheme="minorHAnsi" w:cstheme="minorBidi"/>
                <w:noProof/>
                <w:szCs w:val="22"/>
                <w:lang w:eastAsia="en-GB"/>
              </w:rPr>
              <w:tab/>
            </w:r>
            <w:r w:rsidR="00F53B92" w:rsidRPr="00A53DEB">
              <w:rPr>
                <w:rStyle w:val="Hyperlink"/>
                <w:noProof/>
              </w:rPr>
              <w:t>Cultural Value</w:t>
            </w:r>
            <w:r w:rsidR="00F53B92">
              <w:rPr>
                <w:noProof/>
                <w:webHidden/>
              </w:rPr>
              <w:tab/>
            </w:r>
            <w:r w:rsidR="00F53B92">
              <w:rPr>
                <w:noProof/>
                <w:webHidden/>
              </w:rPr>
              <w:fldChar w:fldCharType="begin"/>
            </w:r>
            <w:r w:rsidR="00F53B92">
              <w:rPr>
                <w:noProof/>
                <w:webHidden/>
              </w:rPr>
              <w:instrText xml:space="preserve"> PAGEREF _Toc467569616 \h </w:instrText>
            </w:r>
            <w:r w:rsidR="00F53B92">
              <w:rPr>
                <w:noProof/>
                <w:webHidden/>
              </w:rPr>
            </w:r>
            <w:r w:rsidR="00F53B92">
              <w:rPr>
                <w:noProof/>
                <w:webHidden/>
              </w:rPr>
              <w:fldChar w:fldCharType="separate"/>
            </w:r>
            <w:r w:rsidR="00F53B92">
              <w:rPr>
                <w:noProof/>
                <w:webHidden/>
              </w:rPr>
              <w:t>47</w:t>
            </w:r>
            <w:r w:rsidR="00F53B92">
              <w:rPr>
                <w:noProof/>
                <w:webHidden/>
              </w:rPr>
              <w:fldChar w:fldCharType="end"/>
            </w:r>
          </w:hyperlink>
        </w:p>
        <w:p w14:paraId="01B86A7E"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17" w:history="1">
            <w:r w:rsidR="00F53B92" w:rsidRPr="00A53DEB">
              <w:rPr>
                <w:rStyle w:val="Hyperlink"/>
                <w:noProof/>
              </w:rPr>
              <w:t>6.3</w:t>
            </w:r>
            <w:r w:rsidR="00F53B92">
              <w:rPr>
                <w:rFonts w:asciiTheme="minorHAnsi" w:eastAsiaTheme="minorEastAsia" w:hAnsiTheme="minorHAnsi" w:cstheme="minorBidi"/>
                <w:noProof/>
                <w:szCs w:val="22"/>
                <w:lang w:eastAsia="en-GB"/>
              </w:rPr>
              <w:tab/>
            </w:r>
            <w:r w:rsidR="00F53B92" w:rsidRPr="00A53DEB">
              <w:rPr>
                <w:rStyle w:val="Hyperlink"/>
                <w:noProof/>
              </w:rPr>
              <w:t>Scale</w:t>
            </w:r>
            <w:r w:rsidR="00F53B92">
              <w:rPr>
                <w:noProof/>
                <w:webHidden/>
              </w:rPr>
              <w:tab/>
            </w:r>
            <w:r w:rsidR="00F53B92">
              <w:rPr>
                <w:noProof/>
                <w:webHidden/>
              </w:rPr>
              <w:fldChar w:fldCharType="begin"/>
            </w:r>
            <w:r w:rsidR="00F53B92">
              <w:rPr>
                <w:noProof/>
                <w:webHidden/>
              </w:rPr>
              <w:instrText xml:space="preserve"> PAGEREF _Toc467569617 \h </w:instrText>
            </w:r>
            <w:r w:rsidR="00F53B92">
              <w:rPr>
                <w:noProof/>
                <w:webHidden/>
              </w:rPr>
            </w:r>
            <w:r w:rsidR="00F53B92">
              <w:rPr>
                <w:noProof/>
                <w:webHidden/>
              </w:rPr>
              <w:fldChar w:fldCharType="separate"/>
            </w:r>
            <w:r w:rsidR="00F53B92">
              <w:rPr>
                <w:noProof/>
                <w:webHidden/>
              </w:rPr>
              <w:t>48</w:t>
            </w:r>
            <w:r w:rsidR="00F53B92">
              <w:rPr>
                <w:noProof/>
                <w:webHidden/>
              </w:rPr>
              <w:fldChar w:fldCharType="end"/>
            </w:r>
          </w:hyperlink>
        </w:p>
        <w:p w14:paraId="1ADA1561"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18" w:history="1">
            <w:r w:rsidR="00F53B92" w:rsidRPr="00A53DEB">
              <w:rPr>
                <w:rStyle w:val="Hyperlink"/>
                <w:noProof/>
              </w:rPr>
              <w:t>6.3.1</w:t>
            </w:r>
            <w:r w:rsidR="00F53B92">
              <w:rPr>
                <w:rFonts w:asciiTheme="minorHAnsi" w:eastAsiaTheme="minorEastAsia" w:hAnsiTheme="minorHAnsi" w:cstheme="minorBidi"/>
                <w:noProof/>
                <w:szCs w:val="22"/>
                <w:lang w:eastAsia="en-GB"/>
              </w:rPr>
              <w:tab/>
            </w:r>
            <w:r w:rsidR="00F53B92" w:rsidRPr="00A53DEB">
              <w:rPr>
                <w:rStyle w:val="Hyperlink"/>
                <w:noProof/>
              </w:rPr>
              <w:t>Local area</w:t>
            </w:r>
            <w:r w:rsidR="00F53B92">
              <w:rPr>
                <w:noProof/>
                <w:webHidden/>
              </w:rPr>
              <w:tab/>
            </w:r>
            <w:r w:rsidR="00F53B92">
              <w:rPr>
                <w:noProof/>
                <w:webHidden/>
              </w:rPr>
              <w:fldChar w:fldCharType="begin"/>
            </w:r>
            <w:r w:rsidR="00F53B92">
              <w:rPr>
                <w:noProof/>
                <w:webHidden/>
              </w:rPr>
              <w:instrText xml:space="preserve"> PAGEREF _Toc467569618 \h </w:instrText>
            </w:r>
            <w:r w:rsidR="00F53B92">
              <w:rPr>
                <w:noProof/>
                <w:webHidden/>
              </w:rPr>
            </w:r>
            <w:r w:rsidR="00F53B92">
              <w:rPr>
                <w:noProof/>
                <w:webHidden/>
              </w:rPr>
              <w:fldChar w:fldCharType="separate"/>
            </w:r>
            <w:r w:rsidR="00F53B92">
              <w:rPr>
                <w:noProof/>
                <w:webHidden/>
              </w:rPr>
              <w:t>48</w:t>
            </w:r>
            <w:r w:rsidR="00F53B92">
              <w:rPr>
                <w:noProof/>
                <w:webHidden/>
              </w:rPr>
              <w:fldChar w:fldCharType="end"/>
            </w:r>
          </w:hyperlink>
        </w:p>
        <w:p w14:paraId="3B72E728"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19" w:history="1">
            <w:r w:rsidR="00F53B92" w:rsidRPr="00A53DEB">
              <w:rPr>
                <w:rStyle w:val="Hyperlink"/>
                <w:noProof/>
              </w:rPr>
              <w:t>6.3.2</w:t>
            </w:r>
            <w:r w:rsidR="00F53B92">
              <w:rPr>
                <w:rFonts w:asciiTheme="minorHAnsi" w:eastAsiaTheme="minorEastAsia" w:hAnsiTheme="minorHAnsi" w:cstheme="minorBidi"/>
                <w:noProof/>
                <w:szCs w:val="22"/>
                <w:lang w:eastAsia="en-GB"/>
              </w:rPr>
              <w:tab/>
            </w:r>
            <w:r w:rsidR="00F53B92" w:rsidRPr="00A53DEB">
              <w:rPr>
                <w:rStyle w:val="Hyperlink"/>
                <w:noProof/>
              </w:rPr>
              <w:t>Local authority</w:t>
            </w:r>
            <w:r w:rsidR="00F53B92">
              <w:rPr>
                <w:noProof/>
                <w:webHidden/>
              </w:rPr>
              <w:tab/>
            </w:r>
            <w:r w:rsidR="00F53B92">
              <w:rPr>
                <w:noProof/>
                <w:webHidden/>
              </w:rPr>
              <w:fldChar w:fldCharType="begin"/>
            </w:r>
            <w:r w:rsidR="00F53B92">
              <w:rPr>
                <w:noProof/>
                <w:webHidden/>
              </w:rPr>
              <w:instrText xml:space="preserve"> PAGEREF _Toc467569619 \h </w:instrText>
            </w:r>
            <w:r w:rsidR="00F53B92">
              <w:rPr>
                <w:noProof/>
                <w:webHidden/>
              </w:rPr>
            </w:r>
            <w:r w:rsidR="00F53B92">
              <w:rPr>
                <w:noProof/>
                <w:webHidden/>
              </w:rPr>
              <w:fldChar w:fldCharType="separate"/>
            </w:r>
            <w:r w:rsidR="00F53B92">
              <w:rPr>
                <w:noProof/>
                <w:webHidden/>
              </w:rPr>
              <w:t>49</w:t>
            </w:r>
            <w:r w:rsidR="00F53B92">
              <w:rPr>
                <w:noProof/>
                <w:webHidden/>
              </w:rPr>
              <w:fldChar w:fldCharType="end"/>
            </w:r>
          </w:hyperlink>
        </w:p>
        <w:p w14:paraId="421ACDDC"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20" w:history="1">
            <w:r w:rsidR="00F53B92" w:rsidRPr="00A53DEB">
              <w:rPr>
                <w:rStyle w:val="Hyperlink"/>
                <w:noProof/>
              </w:rPr>
              <w:t>6.3.3</w:t>
            </w:r>
            <w:r w:rsidR="00F53B92">
              <w:rPr>
                <w:rFonts w:asciiTheme="minorHAnsi" w:eastAsiaTheme="minorEastAsia" w:hAnsiTheme="minorHAnsi" w:cstheme="minorBidi"/>
                <w:noProof/>
                <w:szCs w:val="22"/>
                <w:lang w:eastAsia="en-GB"/>
              </w:rPr>
              <w:tab/>
            </w:r>
            <w:r w:rsidR="00F53B92" w:rsidRPr="00A53DEB">
              <w:rPr>
                <w:rStyle w:val="Hyperlink"/>
                <w:noProof/>
              </w:rPr>
              <w:t>Sub-regions</w:t>
            </w:r>
            <w:r w:rsidR="00F53B92">
              <w:rPr>
                <w:noProof/>
                <w:webHidden/>
              </w:rPr>
              <w:tab/>
            </w:r>
            <w:r w:rsidR="00F53B92">
              <w:rPr>
                <w:noProof/>
                <w:webHidden/>
              </w:rPr>
              <w:fldChar w:fldCharType="begin"/>
            </w:r>
            <w:r w:rsidR="00F53B92">
              <w:rPr>
                <w:noProof/>
                <w:webHidden/>
              </w:rPr>
              <w:instrText xml:space="preserve"> PAGEREF _Toc467569620 \h </w:instrText>
            </w:r>
            <w:r w:rsidR="00F53B92">
              <w:rPr>
                <w:noProof/>
                <w:webHidden/>
              </w:rPr>
            </w:r>
            <w:r w:rsidR="00F53B92">
              <w:rPr>
                <w:noProof/>
                <w:webHidden/>
              </w:rPr>
              <w:fldChar w:fldCharType="separate"/>
            </w:r>
            <w:r w:rsidR="00F53B92">
              <w:rPr>
                <w:noProof/>
                <w:webHidden/>
              </w:rPr>
              <w:t>49</w:t>
            </w:r>
            <w:r w:rsidR="00F53B92">
              <w:rPr>
                <w:noProof/>
                <w:webHidden/>
              </w:rPr>
              <w:fldChar w:fldCharType="end"/>
            </w:r>
          </w:hyperlink>
        </w:p>
        <w:p w14:paraId="19585315"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21" w:history="1">
            <w:r w:rsidR="00F53B92" w:rsidRPr="00A53DEB">
              <w:rPr>
                <w:rStyle w:val="Hyperlink"/>
                <w:noProof/>
              </w:rPr>
              <w:t>6.3.4</w:t>
            </w:r>
            <w:r w:rsidR="00F53B92">
              <w:rPr>
                <w:rFonts w:asciiTheme="minorHAnsi" w:eastAsiaTheme="minorEastAsia" w:hAnsiTheme="minorHAnsi" w:cstheme="minorBidi"/>
                <w:noProof/>
                <w:szCs w:val="22"/>
                <w:lang w:eastAsia="en-GB"/>
              </w:rPr>
              <w:tab/>
            </w:r>
            <w:r w:rsidR="00F53B92" w:rsidRPr="00A53DEB">
              <w:rPr>
                <w:rStyle w:val="Hyperlink"/>
                <w:noProof/>
              </w:rPr>
              <w:t>Region</w:t>
            </w:r>
            <w:r w:rsidR="00F53B92">
              <w:rPr>
                <w:noProof/>
                <w:webHidden/>
              </w:rPr>
              <w:tab/>
            </w:r>
            <w:r w:rsidR="00F53B92">
              <w:rPr>
                <w:noProof/>
                <w:webHidden/>
              </w:rPr>
              <w:fldChar w:fldCharType="begin"/>
            </w:r>
            <w:r w:rsidR="00F53B92">
              <w:rPr>
                <w:noProof/>
                <w:webHidden/>
              </w:rPr>
              <w:instrText xml:space="preserve"> PAGEREF _Toc467569621 \h </w:instrText>
            </w:r>
            <w:r w:rsidR="00F53B92">
              <w:rPr>
                <w:noProof/>
                <w:webHidden/>
              </w:rPr>
            </w:r>
            <w:r w:rsidR="00F53B92">
              <w:rPr>
                <w:noProof/>
                <w:webHidden/>
              </w:rPr>
              <w:fldChar w:fldCharType="separate"/>
            </w:r>
            <w:r w:rsidR="00F53B92">
              <w:rPr>
                <w:noProof/>
                <w:webHidden/>
              </w:rPr>
              <w:t>50</w:t>
            </w:r>
            <w:r w:rsidR="00F53B92">
              <w:rPr>
                <w:noProof/>
                <w:webHidden/>
              </w:rPr>
              <w:fldChar w:fldCharType="end"/>
            </w:r>
          </w:hyperlink>
        </w:p>
        <w:p w14:paraId="6C77FE27"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22" w:history="1">
            <w:r w:rsidR="00F53B92" w:rsidRPr="00A53DEB">
              <w:rPr>
                <w:rStyle w:val="Hyperlink"/>
                <w:noProof/>
              </w:rPr>
              <w:t>6.4</w:t>
            </w:r>
            <w:r w:rsidR="00F53B92">
              <w:rPr>
                <w:rFonts w:asciiTheme="minorHAnsi" w:eastAsiaTheme="minorEastAsia" w:hAnsiTheme="minorHAnsi" w:cstheme="minorBidi"/>
                <w:noProof/>
                <w:szCs w:val="22"/>
                <w:lang w:eastAsia="en-GB"/>
              </w:rPr>
              <w:tab/>
            </w:r>
            <w:r w:rsidR="00F53B92" w:rsidRPr="00A53DEB">
              <w:rPr>
                <w:rStyle w:val="Hyperlink"/>
                <w:noProof/>
              </w:rPr>
              <w:t>Location advantages</w:t>
            </w:r>
            <w:r w:rsidR="00F53B92">
              <w:rPr>
                <w:noProof/>
                <w:webHidden/>
              </w:rPr>
              <w:tab/>
            </w:r>
            <w:r w:rsidR="00F53B92">
              <w:rPr>
                <w:noProof/>
                <w:webHidden/>
              </w:rPr>
              <w:fldChar w:fldCharType="begin"/>
            </w:r>
            <w:r w:rsidR="00F53B92">
              <w:rPr>
                <w:noProof/>
                <w:webHidden/>
              </w:rPr>
              <w:instrText xml:space="preserve"> PAGEREF _Toc467569622 \h </w:instrText>
            </w:r>
            <w:r w:rsidR="00F53B92">
              <w:rPr>
                <w:noProof/>
                <w:webHidden/>
              </w:rPr>
            </w:r>
            <w:r w:rsidR="00F53B92">
              <w:rPr>
                <w:noProof/>
                <w:webHidden/>
              </w:rPr>
              <w:fldChar w:fldCharType="separate"/>
            </w:r>
            <w:r w:rsidR="00F53B92">
              <w:rPr>
                <w:noProof/>
                <w:webHidden/>
              </w:rPr>
              <w:t>50</w:t>
            </w:r>
            <w:r w:rsidR="00F53B92">
              <w:rPr>
                <w:noProof/>
                <w:webHidden/>
              </w:rPr>
              <w:fldChar w:fldCharType="end"/>
            </w:r>
          </w:hyperlink>
        </w:p>
        <w:p w14:paraId="525E20D8"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23" w:history="1">
            <w:r w:rsidR="00F53B92" w:rsidRPr="00A53DEB">
              <w:rPr>
                <w:rStyle w:val="Hyperlink"/>
                <w:noProof/>
              </w:rPr>
              <w:t>6.4.1</w:t>
            </w:r>
            <w:r w:rsidR="00F53B92">
              <w:rPr>
                <w:rFonts w:asciiTheme="minorHAnsi" w:eastAsiaTheme="minorEastAsia" w:hAnsiTheme="minorHAnsi" w:cstheme="minorBidi"/>
                <w:noProof/>
                <w:szCs w:val="22"/>
                <w:lang w:eastAsia="en-GB"/>
              </w:rPr>
              <w:tab/>
            </w:r>
            <w:r w:rsidR="00F53B92" w:rsidRPr="00A53DEB">
              <w:rPr>
                <w:rStyle w:val="Hyperlink"/>
                <w:noProof/>
              </w:rPr>
              <w:t>Creative Cities and Spaces</w:t>
            </w:r>
            <w:r w:rsidR="00F53B92">
              <w:rPr>
                <w:noProof/>
                <w:webHidden/>
              </w:rPr>
              <w:tab/>
            </w:r>
            <w:r w:rsidR="00F53B92">
              <w:rPr>
                <w:noProof/>
                <w:webHidden/>
              </w:rPr>
              <w:fldChar w:fldCharType="begin"/>
            </w:r>
            <w:r w:rsidR="00F53B92">
              <w:rPr>
                <w:noProof/>
                <w:webHidden/>
              </w:rPr>
              <w:instrText xml:space="preserve"> PAGEREF _Toc467569623 \h </w:instrText>
            </w:r>
            <w:r w:rsidR="00F53B92">
              <w:rPr>
                <w:noProof/>
                <w:webHidden/>
              </w:rPr>
            </w:r>
            <w:r w:rsidR="00F53B92">
              <w:rPr>
                <w:noProof/>
                <w:webHidden/>
              </w:rPr>
              <w:fldChar w:fldCharType="separate"/>
            </w:r>
            <w:r w:rsidR="00F53B92">
              <w:rPr>
                <w:noProof/>
                <w:webHidden/>
              </w:rPr>
              <w:t>52</w:t>
            </w:r>
            <w:r w:rsidR="00F53B92">
              <w:rPr>
                <w:noProof/>
                <w:webHidden/>
              </w:rPr>
              <w:fldChar w:fldCharType="end"/>
            </w:r>
          </w:hyperlink>
        </w:p>
        <w:p w14:paraId="001ECFEC"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24" w:history="1">
            <w:r w:rsidR="00F53B92" w:rsidRPr="00A53DEB">
              <w:rPr>
                <w:rStyle w:val="Hyperlink"/>
                <w:noProof/>
              </w:rPr>
              <w:t>6.5</w:t>
            </w:r>
            <w:r w:rsidR="00F53B92">
              <w:rPr>
                <w:rFonts w:asciiTheme="minorHAnsi" w:eastAsiaTheme="minorEastAsia" w:hAnsiTheme="minorHAnsi" w:cstheme="minorBidi"/>
                <w:noProof/>
                <w:szCs w:val="22"/>
                <w:lang w:eastAsia="en-GB"/>
              </w:rPr>
              <w:tab/>
            </w:r>
            <w:r w:rsidR="00F53B92" w:rsidRPr="00A53DEB">
              <w:rPr>
                <w:rStyle w:val="Hyperlink"/>
                <w:noProof/>
              </w:rPr>
              <w:t>Clusters</w:t>
            </w:r>
            <w:r w:rsidR="00F53B92">
              <w:rPr>
                <w:noProof/>
                <w:webHidden/>
              </w:rPr>
              <w:tab/>
            </w:r>
            <w:r w:rsidR="00F53B92">
              <w:rPr>
                <w:noProof/>
                <w:webHidden/>
              </w:rPr>
              <w:fldChar w:fldCharType="begin"/>
            </w:r>
            <w:r w:rsidR="00F53B92">
              <w:rPr>
                <w:noProof/>
                <w:webHidden/>
              </w:rPr>
              <w:instrText xml:space="preserve"> PAGEREF _Toc467569624 \h </w:instrText>
            </w:r>
            <w:r w:rsidR="00F53B92">
              <w:rPr>
                <w:noProof/>
                <w:webHidden/>
              </w:rPr>
            </w:r>
            <w:r w:rsidR="00F53B92">
              <w:rPr>
                <w:noProof/>
                <w:webHidden/>
              </w:rPr>
              <w:fldChar w:fldCharType="separate"/>
            </w:r>
            <w:r w:rsidR="00F53B92">
              <w:rPr>
                <w:noProof/>
                <w:webHidden/>
              </w:rPr>
              <w:t>53</w:t>
            </w:r>
            <w:r w:rsidR="00F53B92">
              <w:rPr>
                <w:noProof/>
                <w:webHidden/>
              </w:rPr>
              <w:fldChar w:fldCharType="end"/>
            </w:r>
          </w:hyperlink>
        </w:p>
        <w:p w14:paraId="391B2EDB"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25" w:history="1">
            <w:r w:rsidR="00F53B92" w:rsidRPr="00A53DEB">
              <w:rPr>
                <w:rStyle w:val="Hyperlink"/>
                <w:noProof/>
              </w:rPr>
              <w:t>6.5.1</w:t>
            </w:r>
            <w:r w:rsidR="00F53B92">
              <w:rPr>
                <w:rFonts w:asciiTheme="minorHAnsi" w:eastAsiaTheme="minorEastAsia" w:hAnsiTheme="minorHAnsi" w:cstheme="minorBidi"/>
                <w:noProof/>
                <w:szCs w:val="22"/>
                <w:lang w:eastAsia="en-GB"/>
              </w:rPr>
              <w:tab/>
            </w:r>
            <w:r w:rsidR="00F53B92" w:rsidRPr="00A53DEB">
              <w:rPr>
                <w:rStyle w:val="Hyperlink"/>
                <w:noProof/>
              </w:rPr>
              <w:t>District Clusters</w:t>
            </w:r>
            <w:r w:rsidR="00F53B92">
              <w:rPr>
                <w:noProof/>
                <w:webHidden/>
              </w:rPr>
              <w:tab/>
            </w:r>
            <w:r w:rsidR="00F53B92">
              <w:rPr>
                <w:noProof/>
                <w:webHidden/>
              </w:rPr>
              <w:fldChar w:fldCharType="begin"/>
            </w:r>
            <w:r w:rsidR="00F53B92">
              <w:rPr>
                <w:noProof/>
                <w:webHidden/>
              </w:rPr>
              <w:instrText xml:space="preserve"> PAGEREF _Toc467569625 \h </w:instrText>
            </w:r>
            <w:r w:rsidR="00F53B92">
              <w:rPr>
                <w:noProof/>
                <w:webHidden/>
              </w:rPr>
            </w:r>
            <w:r w:rsidR="00F53B92">
              <w:rPr>
                <w:noProof/>
                <w:webHidden/>
              </w:rPr>
              <w:fldChar w:fldCharType="separate"/>
            </w:r>
            <w:r w:rsidR="00F53B92">
              <w:rPr>
                <w:noProof/>
                <w:webHidden/>
              </w:rPr>
              <w:t>55</w:t>
            </w:r>
            <w:r w:rsidR="00F53B92">
              <w:rPr>
                <w:noProof/>
                <w:webHidden/>
              </w:rPr>
              <w:fldChar w:fldCharType="end"/>
            </w:r>
          </w:hyperlink>
        </w:p>
        <w:p w14:paraId="62E16226"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26" w:history="1">
            <w:r w:rsidR="00F53B92" w:rsidRPr="00A53DEB">
              <w:rPr>
                <w:rStyle w:val="Hyperlink"/>
                <w:noProof/>
              </w:rPr>
              <w:t>6.5.2</w:t>
            </w:r>
            <w:r w:rsidR="00F53B92">
              <w:rPr>
                <w:rFonts w:asciiTheme="minorHAnsi" w:eastAsiaTheme="minorEastAsia" w:hAnsiTheme="minorHAnsi" w:cstheme="minorBidi"/>
                <w:noProof/>
                <w:szCs w:val="22"/>
                <w:lang w:eastAsia="en-GB"/>
              </w:rPr>
              <w:tab/>
            </w:r>
            <w:r w:rsidR="00F53B92" w:rsidRPr="00A53DEB">
              <w:rPr>
                <w:rStyle w:val="Hyperlink"/>
                <w:noProof/>
              </w:rPr>
              <w:t>Cultural Districts (USA)</w:t>
            </w:r>
            <w:r w:rsidR="00F53B92">
              <w:rPr>
                <w:noProof/>
                <w:webHidden/>
              </w:rPr>
              <w:tab/>
            </w:r>
            <w:r w:rsidR="00F53B92">
              <w:rPr>
                <w:noProof/>
                <w:webHidden/>
              </w:rPr>
              <w:fldChar w:fldCharType="begin"/>
            </w:r>
            <w:r w:rsidR="00F53B92">
              <w:rPr>
                <w:noProof/>
                <w:webHidden/>
              </w:rPr>
              <w:instrText xml:space="preserve"> PAGEREF _Toc467569626 \h </w:instrText>
            </w:r>
            <w:r w:rsidR="00F53B92">
              <w:rPr>
                <w:noProof/>
                <w:webHidden/>
              </w:rPr>
            </w:r>
            <w:r w:rsidR="00F53B92">
              <w:rPr>
                <w:noProof/>
                <w:webHidden/>
              </w:rPr>
              <w:fldChar w:fldCharType="separate"/>
            </w:r>
            <w:r w:rsidR="00F53B92">
              <w:rPr>
                <w:noProof/>
                <w:webHidden/>
              </w:rPr>
              <w:t>56</w:t>
            </w:r>
            <w:r w:rsidR="00F53B92">
              <w:rPr>
                <w:noProof/>
                <w:webHidden/>
              </w:rPr>
              <w:fldChar w:fldCharType="end"/>
            </w:r>
          </w:hyperlink>
        </w:p>
        <w:p w14:paraId="7B7F24D1"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27" w:history="1">
            <w:r w:rsidR="00F53B92" w:rsidRPr="00A53DEB">
              <w:rPr>
                <w:rStyle w:val="Hyperlink"/>
                <w:noProof/>
              </w:rPr>
              <w:t>6.5.3</w:t>
            </w:r>
            <w:r w:rsidR="00F53B92">
              <w:rPr>
                <w:rFonts w:asciiTheme="minorHAnsi" w:eastAsiaTheme="minorEastAsia" w:hAnsiTheme="minorHAnsi" w:cstheme="minorBidi"/>
                <w:noProof/>
                <w:szCs w:val="22"/>
                <w:lang w:eastAsia="en-GB"/>
              </w:rPr>
              <w:tab/>
            </w:r>
            <w:r w:rsidR="00F53B92" w:rsidRPr="00A53DEB">
              <w:rPr>
                <w:rStyle w:val="Hyperlink"/>
                <w:noProof/>
              </w:rPr>
              <w:t>Consumption (Endogenous) vs. Export-based Impacts</w:t>
            </w:r>
            <w:r w:rsidR="00F53B92">
              <w:rPr>
                <w:noProof/>
                <w:webHidden/>
              </w:rPr>
              <w:tab/>
            </w:r>
            <w:r w:rsidR="00F53B92">
              <w:rPr>
                <w:noProof/>
                <w:webHidden/>
              </w:rPr>
              <w:fldChar w:fldCharType="begin"/>
            </w:r>
            <w:r w:rsidR="00F53B92">
              <w:rPr>
                <w:noProof/>
                <w:webHidden/>
              </w:rPr>
              <w:instrText xml:space="preserve"> PAGEREF _Toc467569627 \h </w:instrText>
            </w:r>
            <w:r w:rsidR="00F53B92">
              <w:rPr>
                <w:noProof/>
                <w:webHidden/>
              </w:rPr>
            </w:r>
            <w:r w:rsidR="00F53B92">
              <w:rPr>
                <w:noProof/>
                <w:webHidden/>
              </w:rPr>
              <w:fldChar w:fldCharType="separate"/>
            </w:r>
            <w:r w:rsidR="00F53B92">
              <w:rPr>
                <w:noProof/>
                <w:webHidden/>
              </w:rPr>
              <w:t>58</w:t>
            </w:r>
            <w:r w:rsidR="00F53B92">
              <w:rPr>
                <w:noProof/>
                <w:webHidden/>
              </w:rPr>
              <w:fldChar w:fldCharType="end"/>
            </w:r>
          </w:hyperlink>
        </w:p>
        <w:p w14:paraId="57B45E09"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28" w:history="1">
            <w:r w:rsidR="00F53B92" w:rsidRPr="00A53DEB">
              <w:rPr>
                <w:rStyle w:val="Hyperlink"/>
                <w:noProof/>
              </w:rPr>
              <w:t>6.5.4</w:t>
            </w:r>
            <w:r w:rsidR="00F53B92">
              <w:rPr>
                <w:rFonts w:asciiTheme="minorHAnsi" w:eastAsiaTheme="minorEastAsia" w:hAnsiTheme="minorHAnsi" w:cstheme="minorBidi"/>
                <w:noProof/>
                <w:szCs w:val="22"/>
                <w:lang w:eastAsia="en-GB"/>
              </w:rPr>
              <w:tab/>
            </w:r>
            <w:r w:rsidR="00F53B92" w:rsidRPr="00A53DEB">
              <w:rPr>
                <w:rStyle w:val="Hyperlink"/>
                <w:noProof/>
              </w:rPr>
              <w:t>UK Cultural Clusters and Creative Economy</w:t>
            </w:r>
            <w:r w:rsidR="00F53B92">
              <w:rPr>
                <w:noProof/>
                <w:webHidden/>
              </w:rPr>
              <w:tab/>
            </w:r>
            <w:r w:rsidR="00F53B92">
              <w:rPr>
                <w:noProof/>
                <w:webHidden/>
              </w:rPr>
              <w:fldChar w:fldCharType="begin"/>
            </w:r>
            <w:r w:rsidR="00F53B92">
              <w:rPr>
                <w:noProof/>
                <w:webHidden/>
              </w:rPr>
              <w:instrText xml:space="preserve"> PAGEREF _Toc467569628 \h </w:instrText>
            </w:r>
            <w:r w:rsidR="00F53B92">
              <w:rPr>
                <w:noProof/>
                <w:webHidden/>
              </w:rPr>
            </w:r>
            <w:r w:rsidR="00F53B92">
              <w:rPr>
                <w:noProof/>
                <w:webHidden/>
              </w:rPr>
              <w:fldChar w:fldCharType="separate"/>
            </w:r>
            <w:r w:rsidR="00F53B92">
              <w:rPr>
                <w:noProof/>
                <w:webHidden/>
              </w:rPr>
              <w:t>60</w:t>
            </w:r>
            <w:r w:rsidR="00F53B92">
              <w:rPr>
                <w:noProof/>
                <w:webHidden/>
              </w:rPr>
              <w:fldChar w:fldCharType="end"/>
            </w:r>
          </w:hyperlink>
        </w:p>
        <w:p w14:paraId="3D885FB4"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29" w:history="1">
            <w:r w:rsidR="00F53B92" w:rsidRPr="00A53DEB">
              <w:rPr>
                <w:rStyle w:val="Hyperlink"/>
                <w:noProof/>
              </w:rPr>
              <w:t>6.5.5</w:t>
            </w:r>
            <w:r w:rsidR="00F53B92">
              <w:rPr>
                <w:rFonts w:asciiTheme="minorHAnsi" w:eastAsiaTheme="minorEastAsia" w:hAnsiTheme="minorHAnsi" w:cstheme="minorBidi"/>
                <w:noProof/>
                <w:szCs w:val="22"/>
                <w:lang w:eastAsia="en-GB"/>
              </w:rPr>
              <w:tab/>
            </w:r>
            <w:r w:rsidR="00F53B92" w:rsidRPr="00A53DEB">
              <w:rPr>
                <w:rStyle w:val="Hyperlink"/>
                <w:noProof/>
              </w:rPr>
              <w:t>Creative Placemaking London</w:t>
            </w:r>
            <w:r w:rsidR="00F53B92">
              <w:rPr>
                <w:noProof/>
                <w:webHidden/>
              </w:rPr>
              <w:tab/>
            </w:r>
            <w:r w:rsidR="00F53B92">
              <w:rPr>
                <w:noProof/>
                <w:webHidden/>
              </w:rPr>
              <w:fldChar w:fldCharType="begin"/>
            </w:r>
            <w:r w:rsidR="00F53B92">
              <w:rPr>
                <w:noProof/>
                <w:webHidden/>
              </w:rPr>
              <w:instrText xml:space="preserve"> PAGEREF _Toc467569629 \h </w:instrText>
            </w:r>
            <w:r w:rsidR="00F53B92">
              <w:rPr>
                <w:noProof/>
                <w:webHidden/>
              </w:rPr>
            </w:r>
            <w:r w:rsidR="00F53B92">
              <w:rPr>
                <w:noProof/>
                <w:webHidden/>
              </w:rPr>
              <w:fldChar w:fldCharType="separate"/>
            </w:r>
            <w:r w:rsidR="00F53B92">
              <w:rPr>
                <w:noProof/>
                <w:webHidden/>
              </w:rPr>
              <w:t>62</w:t>
            </w:r>
            <w:r w:rsidR="00F53B92">
              <w:rPr>
                <w:noProof/>
                <w:webHidden/>
              </w:rPr>
              <w:fldChar w:fldCharType="end"/>
            </w:r>
          </w:hyperlink>
        </w:p>
        <w:p w14:paraId="33CC4D77"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30" w:history="1">
            <w:r w:rsidR="00F53B92" w:rsidRPr="00A53DEB">
              <w:rPr>
                <w:rStyle w:val="Hyperlink"/>
                <w:noProof/>
              </w:rPr>
              <w:t>6.5.6</w:t>
            </w:r>
            <w:r w:rsidR="00F53B92">
              <w:rPr>
                <w:rFonts w:asciiTheme="minorHAnsi" w:eastAsiaTheme="minorEastAsia" w:hAnsiTheme="minorHAnsi" w:cstheme="minorBidi"/>
                <w:noProof/>
                <w:szCs w:val="22"/>
                <w:lang w:eastAsia="en-GB"/>
              </w:rPr>
              <w:tab/>
            </w:r>
            <w:r w:rsidR="00F53B92" w:rsidRPr="00A53DEB">
              <w:rPr>
                <w:rStyle w:val="Hyperlink"/>
                <w:noProof/>
              </w:rPr>
              <w:t>International literature on creative clustering and determinants of location decisions</w:t>
            </w:r>
            <w:r w:rsidR="00F53B92">
              <w:rPr>
                <w:noProof/>
                <w:webHidden/>
              </w:rPr>
              <w:tab/>
            </w:r>
            <w:r w:rsidR="00F53B92">
              <w:rPr>
                <w:noProof/>
                <w:webHidden/>
              </w:rPr>
              <w:fldChar w:fldCharType="begin"/>
            </w:r>
            <w:r w:rsidR="00F53B92">
              <w:rPr>
                <w:noProof/>
                <w:webHidden/>
              </w:rPr>
              <w:instrText xml:space="preserve"> PAGEREF _Toc467569630 \h </w:instrText>
            </w:r>
            <w:r w:rsidR="00F53B92">
              <w:rPr>
                <w:noProof/>
                <w:webHidden/>
              </w:rPr>
            </w:r>
            <w:r w:rsidR="00F53B92">
              <w:rPr>
                <w:noProof/>
                <w:webHidden/>
              </w:rPr>
              <w:fldChar w:fldCharType="separate"/>
            </w:r>
            <w:r w:rsidR="00F53B92">
              <w:rPr>
                <w:noProof/>
                <w:webHidden/>
              </w:rPr>
              <w:t>63</w:t>
            </w:r>
            <w:r w:rsidR="00F53B92">
              <w:rPr>
                <w:noProof/>
                <w:webHidden/>
              </w:rPr>
              <w:fldChar w:fldCharType="end"/>
            </w:r>
          </w:hyperlink>
        </w:p>
        <w:p w14:paraId="3FC4963D"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31" w:history="1">
            <w:r w:rsidR="00F53B92" w:rsidRPr="00A53DEB">
              <w:rPr>
                <w:rStyle w:val="Hyperlink"/>
                <w:noProof/>
              </w:rPr>
              <w:t>6.6</w:t>
            </w:r>
            <w:r w:rsidR="00F53B92">
              <w:rPr>
                <w:rFonts w:asciiTheme="minorHAnsi" w:eastAsiaTheme="minorEastAsia" w:hAnsiTheme="minorHAnsi" w:cstheme="minorBidi"/>
                <w:noProof/>
                <w:szCs w:val="22"/>
                <w:lang w:eastAsia="en-GB"/>
              </w:rPr>
              <w:tab/>
            </w:r>
            <w:r w:rsidR="00F53B92" w:rsidRPr="00A53DEB">
              <w:rPr>
                <w:rStyle w:val="Hyperlink"/>
                <w:noProof/>
              </w:rPr>
              <w:t>Valuing Environmental Assets</w:t>
            </w:r>
            <w:r w:rsidR="00F53B92">
              <w:rPr>
                <w:noProof/>
                <w:webHidden/>
              </w:rPr>
              <w:tab/>
            </w:r>
            <w:r w:rsidR="00F53B92">
              <w:rPr>
                <w:noProof/>
                <w:webHidden/>
              </w:rPr>
              <w:fldChar w:fldCharType="begin"/>
            </w:r>
            <w:r w:rsidR="00F53B92">
              <w:rPr>
                <w:noProof/>
                <w:webHidden/>
              </w:rPr>
              <w:instrText xml:space="preserve"> PAGEREF _Toc467569631 \h </w:instrText>
            </w:r>
            <w:r w:rsidR="00F53B92">
              <w:rPr>
                <w:noProof/>
                <w:webHidden/>
              </w:rPr>
            </w:r>
            <w:r w:rsidR="00F53B92">
              <w:rPr>
                <w:noProof/>
                <w:webHidden/>
              </w:rPr>
              <w:fldChar w:fldCharType="separate"/>
            </w:r>
            <w:r w:rsidR="00F53B92">
              <w:rPr>
                <w:noProof/>
                <w:webHidden/>
              </w:rPr>
              <w:t>64</w:t>
            </w:r>
            <w:r w:rsidR="00F53B92">
              <w:rPr>
                <w:noProof/>
                <w:webHidden/>
              </w:rPr>
              <w:fldChar w:fldCharType="end"/>
            </w:r>
          </w:hyperlink>
        </w:p>
        <w:p w14:paraId="73C46AFD"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32" w:history="1">
            <w:r w:rsidR="00F53B92" w:rsidRPr="00A53DEB">
              <w:rPr>
                <w:rStyle w:val="Hyperlink"/>
                <w:noProof/>
              </w:rPr>
              <w:t>6.6.1</w:t>
            </w:r>
            <w:r w:rsidR="00F53B92">
              <w:rPr>
                <w:rFonts w:asciiTheme="minorHAnsi" w:eastAsiaTheme="minorEastAsia" w:hAnsiTheme="minorHAnsi" w:cstheme="minorBidi"/>
                <w:noProof/>
                <w:szCs w:val="22"/>
                <w:lang w:eastAsia="en-GB"/>
              </w:rPr>
              <w:tab/>
            </w:r>
            <w:r w:rsidR="00F53B92" w:rsidRPr="00A53DEB">
              <w:rPr>
                <w:rStyle w:val="Hyperlink"/>
                <w:noProof/>
              </w:rPr>
              <w:t>Cultural Ecosystems Services</w:t>
            </w:r>
            <w:r w:rsidR="00F53B92">
              <w:rPr>
                <w:noProof/>
                <w:webHidden/>
              </w:rPr>
              <w:tab/>
            </w:r>
            <w:r w:rsidR="00F53B92">
              <w:rPr>
                <w:noProof/>
                <w:webHidden/>
              </w:rPr>
              <w:fldChar w:fldCharType="begin"/>
            </w:r>
            <w:r w:rsidR="00F53B92">
              <w:rPr>
                <w:noProof/>
                <w:webHidden/>
              </w:rPr>
              <w:instrText xml:space="preserve"> PAGEREF _Toc467569632 \h </w:instrText>
            </w:r>
            <w:r w:rsidR="00F53B92">
              <w:rPr>
                <w:noProof/>
                <w:webHidden/>
              </w:rPr>
            </w:r>
            <w:r w:rsidR="00F53B92">
              <w:rPr>
                <w:noProof/>
                <w:webHidden/>
              </w:rPr>
              <w:fldChar w:fldCharType="separate"/>
            </w:r>
            <w:r w:rsidR="00F53B92">
              <w:rPr>
                <w:noProof/>
                <w:webHidden/>
              </w:rPr>
              <w:t>66</w:t>
            </w:r>
            <w:r w:rsidR="00F53B92">
              <w:rPr>
                <w:noProof/>
                <w:webHidden/>
              </w:rPr>
              <w:fldChar w:fldCharType="end"/>
            </w:r>
          </w:hyperlink>
        </w:p>
        <w:p w14:paraId="51495B07"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33" w:history="1">
            <w:r w:rsidR="00F53B92" w:rsidRPr="00A53DEB">
              <w:rPr>
                <w:rStyle w:val="Hyperlink"/>
                <w:noProof/>
              </w:rPr>
              <w:t>6.6.2</w:t>
            </w:r>
            <w:r w:rsidR="00F53B92">
              <w:rPr>
                <w:rFonts w:asciiTheme="minorHAnsi" w:eastAsiaTheme="minorEastAsia" w:hAnsiTheme="minorHAnsi" w:cstheme="minorBidi"/>
                <w:noProof/>
                <w:szCs w:val="22"/>
                <w:lang w:eastAsia="en-GB"/>
              </w:rPr>
              <w:tab/>
            </w:r>
            <w:r w:rsidR="00F53B92" w:rsidRPr="00A53DEB">
              <w:rPr>
                <w:rStyle w:val="Hyperlink"/>
                <w:noProof/>
              </w:rPr>
              <w:t>Quality of Life and ‘Place’</w:t>
            </w:r>
            <w:r w:rsidR="00F53B92">
              <w:rPr>
                <w:noProof/>
                <w:webHidden/>
              </w:rPr>
              <w:tab/>
            </w:r>
            <w:r w:rsidR="00F53B92">
              <w:rPr>
                <w:noProof/>
                <w:webHidden/>
              </w:rPr>
              <w:fldChar w:fldCharType="begin"/>
            </w:r>
            <w:r w:rsidR="00F53B92">
              <w:rPr>
                <w:noProof/>
                <w:webHidden/>
              </w:rPr>
              <w:instrText xml:space="preserve"> PAGEREF _Toc467569633 \h </w:instrText>
            </w:r>
            <w:r w:rsidR="00F53B92">
              <w:rPr>
                <w:noProof/>
                <w:webHidden/>
              </w:rPr>
            </w:r>
            <w:r w:rsidR="00F53B92">
              <w:rPr>
                <w:noProof/>
                <w:webHidden/>
              </w:rPr>
              <w:fldChar w:fldCharType="separate"/>
            </w:r>
            <w:r w:rsidR="00F53B92">
              <w:rPr>
                <w:noProof/>
                <w:webHidden/>
              </w:rPr>
              <w:t>67</w:t>
            </w:r>
            <w:r w:rsidR="00F53B92">
              <w:rPr>
                <w:noProof/>
                <w:webHidden/>
              </w:rPr>
              <w:fldChar w:fldCharType="end"/>
            </w:r>
          </w:hyperlink>
        </w:p>
        <w:p w14:paraId="063603C6"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34" w:history="1">
            <w:r w:rsidR="00F53B92" w:rsidRPr="00A53DEB">
              <w:rPr>
                <w:rStyle w:val="Hyperlink"/>
                <w:noProof/>
              </w:rPr>
              <w:t>6.6.3</w:t>
            </w:r>
            <w:r w:rsidR="00F53B92">
              <w:rPr>
                <w:rFonts w:asciiTheme="minorHAnsi" w:eastAsiaTheme="minorEastAsia" w:hAnsiTheme="minorHAnsi" w:cstheme="minorBidi"/>
                <w:noProof/>
                <w:szCs w:val="22"/>
                <w:lang w:eastAsia="en-GB"/>
              </w:rPr>
              <w:tab/>
            </w:r>
            <w:r w:rsidR="00F53B92" w:rsidRPr="00A53DEB">
              <w:rPr>
                <w:rStyle w:val="Hyperlink"/>
                <w:noProof/>
              </w:rPr>
              <w:t>Night-time Economy</w:t>
            </w:r>
            <w:r w:rsidR="00F53B92">
              <w:rPr>
                <w:noProof/>
                <w:webHidden/>
              </w:rPr>
              <w:tab/>
            </w:r>
            <w:r w:rsidR="00F53B92">
              <w:rPr>
                <w:noProof/>
                <w:webHidden/>
              </w:rPr>
              <w:fldChar w:fldCharType="begin"/>
            </w:r>
            <w:r w:rsidR="00F53B92">
              <w:rPr>
                <w:noProof/>
                <w:webHidden/>
              </w:rPr>
              <w:instrText xml:space="preserve"> PAGEREF _Toc467569634 \h </w:instrText>
            </w:r>
            <w:r w:rsidR="00F53B92">
              <w:rPr>
                <w:noProof/>
                <w:webHidden/>
              </w:rPr>
            </w:r>
            <w:r w:rsidR="00F53B92">
              <w:rPr>
                <w:noProof/>
                <w:webHidden/>
              </w:rPr>
              <w:fldChar w:fldCharType="separate"/>
            </w:r>
            <w:r w:rsidR="00F53B92">
              <w:rPr>
                <w:noProof/>
                <w:webHidden/>
              </w:rPr>
              <w:t>71</w:t>
            </w:r>
            <w:r w:rsidR="00F53B92">
              <w:rPr>
                <w:noProof/>
                <w:webHidden/>
              </w:rPr>
              <w:fldChar w:fldCharType="end"/>
            </w:r>
          </w:hyperlink>
        </w:p>
        <w:p w14:paraId="613B6971" w14:textId="77777777" w:rsidR="00F53B92" w:rsidRDefault="003D0350">
          <w:pPr>
            <w:pStyle w:val="TOC3"/>
            <w:tabs>
              <w:tab w:val="left" w:pos="2149"/>
              <w:tab w:val="right" w:leader="dot" w:pos="9344"/>
            </w:tabs>
            <w:rPr>
              <w:rFonts w:asciiTheme="minorHAnsi" w:eastAsiaTheme="minorEastAsia" w:hAnsiTheme="minorHAnsi" w:cstheme="minorBidi"/>
              <w:noProof/>
              <w:szCs w:val="22"/>
              <w:lang w:eastAsia="en-GB"/>
            </w:rPr>
          </w:pPr>
          <w:hyperlink w:anchor="_Toc467569635" w:history="1">
            <w:r w:rsidR="00F53B92" w:rsidRPr="00A53DEB">
              <w:rPr>
                <w:rStyle w:val="Hyperlink"/>
                <w:noProof/>
              </w:rPr>
              <w:t>6.6.4</w:t>
            </w:r>
            <w:r w:rsidR="00F53B92">
              <w:rPr>
                <w:rFonts w:asciiTheme="minorHAnsi" w:eastAsiaTheme="minorEastAsia" w:hAnsiTheme="minorHAnsi" w:cstheme="minorBidi"/>
                <w:noProof/>
                <w:szCs w:val="22"/>
                <w:lang w:eastAsia="en-GB"/>
              </w:rPr>
              <w:tab/>
            </w:r>
            <w:r w:rsidR="00F53B92" w:rsidRPr="00A53DEB">
              <w:rPr>
                <w:rStyle w:val="Hyperlink"/>
                <w:noProof/>
              </w:rPr>
              <w:t>City Branding and Creative City indices</w:t>
            </w:r>
            <w:r w:rsidR="00F53B92">
              <w:rPr>
                <w:noProof/>
                <w:webHidden/>
              </w:rPr>
              <w:tab/>
            </w:r>
            <w:r w:rsidR="00F53B92">
              <w:rPr>
                <w:noProof/>
                <w:webHidden/>
              </w:rPr>
              <w:fldChar w:fldCharType="begin"/>
            </w:r>
            <w:r w:rsidR="00F53B92">
              <w:rPr>
                <w:noProof/>
                <w:webHidden/>
              </w:rPr>
              <w:instrText xml:space="preserve"> PAGEREF _Toc467569635 \h </w:instrText>
            </w:r>
            <w:r w:rsidR="00F53B92">
              <w:rPr>
                <w:noProof/>
                <w:webHidden/>
              </w:rPr>
            </w:r>
            <w:r w:rsidR="00F53B92">
              <w:rPr>
                <w:noProof/>
                <w:webHidden/>
              </w:rPr>
              <w:fldChar w:fldCharType="separate"/>
            </w:r>
            <w:r w:rsidR="00F53B92">
              <w:rPr>
                <w:noProof/>
                <w:webHidden/>
              </w:rPr>
              <w:t>72</w:t>
            </w:r>
            <w:r w:rsidR="00F53B92">
              <w:rPr>
                <w:noProof/>
                <w:webHidden/>
              </w:rPr>
              <w:fldChar w:fldCharType="end"/>
            </w:r>
          </w:hyperlink>
        </w:p>
        <w:p w14:paraId="3F48FBD4"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36" w:history="1">
            <w:r w:rsidR="00F53B92" w:rsidRPr="00A53DEB">
              <w:rPr>
                <w:rStyle w:val="Hyperlink"/>
                <w:noProof/>
              </w:rPr>
              <w:t>6.7</w:t>
            </w:r>
            <w:r w:rsidR="00F53B92">
              <w:rPr>
                <w:rFonts w:asciiTheme="minorHAnsi" w:eastAsiaTheme="minorEastAsia" w:hAnsiTheme="minorHAnsi" w:cstheme="minorBidi"/>
                <w:noProof/>
                <w:szCs w:val="22"/>
                <w:lang w:eastAsia="en-GB"/>
              </w:rPr>
              <w:tab/>
            </w:r>
            <w:r w:rsidR="00F53B92" w:rsidRPr="00A53DEB">
              <w:rPr>
                <w:rStyle w:val="Hyperlink"/>
                <w:noProof/>
              </w:rPr>
              <w:t>Towards a Conceptual Framework</w:t>
            </w:r>
            <w:r w:rsidR="00F53B92">
              <w:rPr>
                <w:noProof/>
                <w:webHidden/>
              </w:rPr>
              <w:tab/>
            </w:r>
            <w:r w:rsidR="00F53B92">
              <w:rPr>
                <w:noProof/>
                <w:webHidden/>
              </w:rPr>
              <w:fldChar w:fldCharType="begin"/>
            </w:r>
            <w:r w:rsidR="00F53B92">
              <w:rPr>
                <w:noProof/>
                <w:webHidden/>
              </w:rPr>
              <w:instrText xml:space="preserve"> PAGEREF _Toc467569636 \h </w:instrText>
            </w:r>
            <w:r w:rsidR="00F53B92">
              <w:rPr>
                <w:noProof/>
                <w:webHidden/>
              </w:rPr>
            </w:r>
            <w:r w:rsidR="00F53B92">
              <w:rPr>
                <w:noProof/>
                <w:webHidden/>
              </w:rPr>
              <w:fldChar w:fldCharType="separate"/>
            </w:r>
            <w:r w:rsidR="00F53B92">
              <w:rPr>
                <w:noProof/>
                <w:webHidden/>
              </w:rPr>
              <w:t>73</w:t>
            </w:r>
            <w:r w:rsidR="00F53B92">
              <w:rPr>
                <w:noProof/>
                <w:webHidden/>
              </w:rPr>
              <w:fldChar w:fldCharType="end"/>
            </w:r>
          </w:hyperlink>
        </w:p>
        <w:p w14:paraId="6DF1BD71"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637" w:history="1">
            <w:r w:rsidR="00F53B92" w:rsidRPr="00A53DEB">
              <w:rPr>
                <w:rStyle w:val="Hyperlink"/>
                <w:rFonts w:eastAsia="Calibri"/>
                <w:noProof/>
              </w:rPr>
              <w:t>7: Appendix II – Quantitative Analysis options</w:t>
            </w:r>
            <w:r w:rsidR="00F53B92">
              <w:rPr>
                <w:noProof/>
                <w:webHidden/>
              </w:rPr>
              <w:tab/>
            </w:r>
            <w:r w:rsidR="00F53B92">
              <w:rPr>
                <w:noProof/>
                <w:webHidden/>
              </w:rPr>
              <w:fldChar w:fldCharType="begin"/>
            </w:r>
            <w:r w:rsidR="00F53B92">
              <w:rPr>
                <w:noProof/>
                <w:webHidden/>
              </w:rPr>
              <w:instrText xml:space="preserve"> PAGEREF _Toc467569637 \h </w:instrText>
            </w:r>
            <w:r w:rsidR="00F53B92">
              <w:rPr>
                <w:noProof/>
                <w:webHidden/>
              </w:rPr>
            </w:r>
            <w:r w:rsidR="00F53B92">
              <w:rPr>
                <w:noProof/>
                <w:webHidden/>
              </w:rPr>
              <w:fldChar w:fldCharType="separate"/>
            </w:r>
            <w:r w:rsidR="00F53B92">
              <w:rPr>
                <w:noProof/>
                <w:webHidden/>
              </w:rPr>
              <w:t>75</w:t>
            </w:r>
            <w:r w:rsidR="00F53B92">
              <w:rPr>
                <w:noProof/>
                <w:webHidden/>
              </w:rPr>
              <w:fldChar w:fldCharType="end"/>
            </w:r>
          </w:hyperlink>
        </w:p>
        <w:p w14:paraId="6DFD988D"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38" w:history="1">
            <w:r w:rsidR="00F53B92" w:rsidRPr="00A53DEB">
              <w:rPr>
                <w:rStyle w:val="Hyperlink"/>
                <w:noProof/>
              </w:rPr>
              <w:t>7.1</w:t>
            </w:r>
            <w:r w:rsidR="00F53B92">
              <w:rPr>
                <w:rFonts w:asciiTheme="minorHAnsi" w:eastAsiaTheme="minorEastAsia" w:hAnsiTheme="minorHAnsi" w:cstheme="minorBidi"/>
                <w:noProof/>
                <w:szCs w:val="22"/>
                <w:lang w:eastAsia="en-GB"/>
              </w:rPr>
              <w:tab/>
            </w:r>
            <w:r w:rsidR="00F53B92" w:rsidRPr="00A53DEB">
              <w:rPr>
                <w:rStyle w:val="Hyperlink"/>
                <w:noProof/>
              </w:rPr>
              <w:t>Option 1: exploring direct causal links between CS&amp;H infrastructure and competitiveness</w:t>
            </w:r>
            <w:r w:rsidR="00F53B92">
              <w:rPr>
                <w:noProof/>
                <w:webHidden/>
              </w:rPr>
              <w:tab/>
            </w:r>
            <w:r w:rsidR="00F53B92">
              <w:rPr>
                <w:noProof/>
                <w:webHidden/>
              </w:rPr>
              <w:fldChar w:fldCharType="begin"/>
            </w:r>
            <w:r w:rsidR="00F53B92">
              <w:rPr>
                <w:noProof/>
                <w:webHidden/>
              </w:rPr>
              <w:instrText xml:space="preserve"> PAGEREF _Toc467569638 \h </w:instrText>
            </w:r>
            <w:r w:rsidR="00F53B92">
              <w:rPr>
                <w:noProof/>
                <w:webHidden/>
              </w:rPr>
            </w:r>
            <w:r w:rsidR="00F53B92">
              <w:rPr>
                <w:noProof/>
                <w:webHidden/>
              </w:rPr>
              <w:fldChar w:fldCharType="separate"/>
            </w:r>
            <w:r w:rsidR="00F53B92">
              <w:rPr>
                <w:noProof/>
                <w:webHidden/>
              </w:rPr>
              <w:t>75</w:t>
            </w:r>
            <w:r w:rsidR="00F53B92">
              <w:rPr>
                <w:noProof/>
                <w:webHidden/>
              </w:rPr>
              <w:fldChar w:fldCharType="end"/>
            </w:r>
          </w:hyperlink>
        </w:p>
        <w:p w14:paraId="34D246D8"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39" w:history="1">
            <w:r w:rsidR="00F53B92" w:rsidRPr="00A53DEB">
              <w:rPr>
                <w:rStyle w:val="Hyperlink"/>
                <w:noProof/>
              </w:rPr>
              <w:t>7.2</w:t>
            </w:r>
            <w:r w:rsidR="00F53B92">
              <w:rPr>
                <w:rFonts w:asciiTheme="minorHAnsi" w:eastAsiaTheme="minorEastAsia" w:hAnsiTheme="minorHAnsi" w:cstheme="minorBidi"/>
                <w:noProof/>
                <w:szCs w:val="22"/>
                <w:lang w:eastAsia="en-GB"/>
              </w:rPr>
              <w:tab/>
            </w:r>
            <w:r w:rsidR="00F53B92" w:rsidRPr="00A53DEB">
              <w:rPr>
                <w:rStyle w:val="Hyperlink"/>
                <w:noProof/>
              </w:rPr>
              <w:t>Option 2: exploring indirect causal links between CS &amp; H infrastructure and competitiveness</w:t>
            </w:r>
            <w:r w:rsidR="00F53B92">
              <w:rPr>
                <w:noProof/>
                <w:webHidden/>
              </w:rPr>
              <w:tab/>
            </w:r>
            <w:r w:rsidR="00F53B92">
              <w:rPr>
                <w:noProof/>
                <w:webHidden/>
              </w:rPr>
              <w:fldChar w:fldCharType="begin"/>
            </w:r>
            <w:r w:rsidR="00F53B92">
              <w:rPr>
                <w:noProof/>
                <w:webHidden/>
              </w:rPr>
              <w:instrText xml:space="preserve"> PAGEREF _Toc467569639 \h </w:instrText>
            </w:r>
            <w:r w:rsidR="00F53B92">
              <w:rPr>
                <w:noProof/>
                <w:webHidden/>
              </w:rPr>
            </w:r>
            <w:r w:rsidR="00F53B92">
              <w:rPr>
                <w:noProof/>
                <w:webHidden/>
              </w:rPr>
              <w:fldChar w:fldCharType="separate"/>
            </w:r>
            <w:r w:rsidR="00F53B92">
              <w:rPr>
                <w:noProof/>
                <w:webHidden/>
              </w:rPr>
              <w:t>76</w:t>
            </w:r>
            <w:r w:rsidR="00F53B92">
              <w:rPr>
                <w:noProof/>
                <w:webHidden/>
              </w:rPr>
              <w:fldChar w:fldCharType="end"/>
            </w:r>
          </w:hyperlink>
        </w:p>
        <w:p w14:paraId="01F49C6C"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40" w:history="1">
            <w:r w:rsidR="00F53B92" w:rsidRPr="00A53DEB">
              <w:rPr>
                <w:rStyle w:val="Hyperlink"/>
                <w:noProof/>
              </w:rPr>
              <w:t>7.3</w:t>
            </w:r>
            <w:r w:rsidR="00F53B92">
              <w:rPr>
                <w:rFonts w:asciiTheme="minorHAnsi" w:eastAsiaTheme="minorEastAsia" w:hAnsiTheme="minorHAnsi" w:cstheme="minorBidi"/>
                <w:noProof/>
                <w:szCs w:val="22"/>
                <w:lang w:eastAsia="en-GB"/>
              </w:rPr>
              <w:tab/>
            </w:r>
            <w:r w:rsidR="00F53B92" w:rsidRPr="00A53DEB">
              <w:rPr>
                <w:rStyle w:val="Hyperlink"/>
                <w:noProof/>
              </w:rPr>
              <w:t>Option 3: exploring indirect causal links between CS &amp; H infrastructure and competitiveness through a two-stage approach</w:t>
            </w:r>
            <w:r w:rsidR="00F53B92">
              <w:rPr>
                <w:noProof/>
                <w:webHidden/>
              </w:rPr>
              <w:tab/>
            </w:r>
            <w:r w:rsidR="00F53B92">
              <w:rPr>
                <w:noProof/>
                <w:webHidden/>
              </w:rPr>
              <w:fldChar w:fldCharType="begin"/>
            </w:r>
            <w:r w:rsidR="00F53B92">
              <w:rPr>
                <w:noProof/>
                <w:webHidden/>
              </w:rPr>
              <w:instrText xml:space="preserve"> PAGEREF _Toc467569640 \h </w:instrText>
            </w:r>
            <w:r w:rsidR="00F53B92">
              <w:rPr>
                <w:noProof/>
                <w:webHidden/>
              </w:rPr>
            </w:r>
            <w:r w:rsidR="00F53B92">
              <w:rPr>
                <w:noProof/>
                <w:webHidden/>
              </w:rPr>
              <w:fldChar w:fldCharType="separate"/>
            </w:r>
            <w:r w:rsidR="00F53B92">
              <w:rPr>
                <w:noProof/>
                <w:webHidden/>
              </w:rPr>
              <w:t>77</w:t>
            </w:r>
            <w:r w:rsidR="00F53B92">
              <w:rPr>
                <w:noProof/>
                <w:webHidden/>
              </w:rPr>
              <w:fldChar w:fldCharType="end"/>
            </w:r>
          </w:hyperlink>
        </w:p>
        <w:p w14:paraId="20218772"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641" w:history="1">
            <w:r w:rsidR="00F53B92" w:rsidRPr="00A53DEB">
              <w:rPr>
                <w:rStyle w:val="Hyperlink"/>
                <w:noProof/>
                <w:lang w:val="en-US"/>
              </w:rPr>
              <w:t>8: Appendix III – Correlation analysis</w:t>
            </w:r>
            <w:r w:rsidR="00F53B92">
              <w:rPr>
                <w:noProof/>
                <w:webHidden/>
              </w:rPr>
              <w:tab/>
            </w:r>
            <w:r w:rsidR="00F53B92">
              <w:rPr>
                <w:noProof/>
                <w:webHidden/>
              </w:rPr>
              <w:fldChar w:fldCharType="begin"/>
            </w:r>
            <w:r w:rsidR="00F53B92">
              <w:rPr>
                <w:noProof/>
                <w:webHidden/>
              </w:rPr>
              <w:instrText xml:space="preserve"> PAGEREF _Toc467569641 \h </w:instrText>
            </w:r>
            <w:r w:rsidR="00F53B92">
              <w:rPr>
                <w:noProof/>
                <w:webHidden/>
              </w:rPr>
            </w:r>
            <w:r w:rsidR="00F53B92">
              <w:rPr>
                <w:noProof/>
                <w:webHidden/>
              </w:rPr>
              <w:fldChar w:fldCharType="separate"/>
            </w:r>
            <w:r w:rsidR="00F53B92">
              <w:rPr>
                <w:noProof/>
                <w:webHidden/>
              </w:rPr>
              <w:t>78</w:t>
            </w:r>
            <w:r w:rsidR="00F53B92">
              <w:rPr>
                <w:noProof/>
                <w:webHidden/>
              </w:rPr>
              <w:fldChar w:fldCharType="end"/>
            </w:r>
          </w:hyperlink>
        </w:p>
        <w:p w14:paraId="4155DA56"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42" w:history="1">
            <w:r w:rsidR="00F53B92" w:rsidRPr="00A53DEB">
              <w:rPr>
                <w:rStyle w:val="Hyperlink"/>
                <w:noProof/>
              </w:rPr>
              <w:t>8.1</w:t>
            </w:r>
            <w:r w:rsidR="00F53B92">
              <w:rPr>
                <w:rFonts w:asciiTheme="minorHAnsi" w:eastAsiaTheme="minorEastAsia" w:hAnsiTheme="minorHAnsi" w:cstheme="minorBidi"/>
                <w:noProof/>
                <w:szCs w:val="22"/>
                <w:lang w:eastAsia="en-GB"/>
              </w:rPr>
              <w:tab/>
            </w:r>
            <w:r w:rsidR="00F53B92" w:rsidRPr="00A53DEB">
              <w:rPr>
                <w:rStyle w:val="Hyperlink"/>
                <w:noProof/>
              </w:rPr>
              <w:t>Key findings</w:t>
            </w:r>
            <w:r w:rsidR="00F53B92">
              <w:rPr>
                <w:noProof/>
                <w:webHidden/>
              </w:rPr>
              <w:tab/>
            </w:r>
            <w:r w:rsidR="00F53B92">
              <w:rPr>
                <w:noProof/>
                <w:webHidden/>
              </w:rPr>
              <w:fldChar w:fldCharType="begin"/>
            </w:r>
            <w:r w:rsidR="00F53B92">
              <w:rPr>
                <w:noProof/>
                <w:webHidden/>
              </w:rPr>
              <w:instrText xml:space="preserve"> PAGEREF _Toc467569642 \h </w:instrText>
            </w:r>
            <w:r w:rsidR="00F53B92">
              <w:rPr>
                <w:noProof/>
                <w:webHidden/>
              </w:rPr>
            </w:r>
            <w:r w:rsidR="00F53B92">
              <w:rPr>
                <w:noProof/>
                <w:webHidden/>
              </w:rPr>
              <w:fldChar w:fldCharType="separate"/>
            </w:r>
            <w:r w:rsidR="00F53B92">
              <w:rPr>
                <w:noProof/>
                <w:webHidden/>
              </w:rPr>
              <w:t>78</w:t>
            </w:r>
            <w:r w:rsidR="00F53B92">
              <w:rPr>
                <w:noProof/>
                <w:webHidden/>
              </w:rPr>
              <w:fldChar w:fldCharType="end"/>
            </w:r>
          </w:hyperlink>
        </w:p>
        <w:p w14:paraId="15A5EF62"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43" w:history="1">
            <w:r w:rsidR="00F53B92" w:rsidRPr="00A53DEB">
              <w:rPr>
                <w:rStyle w:val="Hyperlink"/>
                <w:noProof/>
              </w:rPr>
              <w:t>8.2</w:t>
            </w:r>
            <w:r w:rsidR="00F53B92">
              <w:rPr>
                <w:rFonts w:asciiTheme="minorHAnsi" w:eastAsiaTheme="minorEastAsia" w:hAnsiTheme="minorHAnsi" w:cstheme="minorBidi"/>
                <w:noProof/>
                <w:szCs w:val="22"/>
                <w:lang w:eastAsia="en-GB"/>
              </w:rPr>
              <w:tab/>
            </w:r>
            <w:r w:rsidR="00F53B92" w:rsidRPr="00A53DEB">
              <w:rPr>
                <w:rStyle w:val="Hyperlink"/>
                <w:noProof/>
              </w:rPr>
              <w:t>Conclusions</w:t>
            </w:r>
            <w:r w:rsidR="00F53B92">
              <w:rPr>
                <w:noProof/>
                <w:webHidden/>
              </w:rPr>
              <w:tab/>
            </w:r>
            <w:r w:rsidR="00F53B92">
              <w:rPr>
                <w:noProof/>
                <w:webHidden/>
              </w:rPr>
              <w:fldChar w:fldCharType="begin"/>
            </w:r>
            <w:r w:rsidR="00F53B92">
              <w:rPr>
                <w:noProof/>
                <w:webHidden/>
              </w:rPr>
              <w:instrText xml:space="preserve"> PAGEREF _Toc467569643 \h </w:instrText>
            </w:r>
            <w:r w:rsidR="00F53B92">
              <w:rPr>
                <w:noProof/>
                <w:webHidden/>
              </w:rPr>
            </w:r>
            <w:r w:rsidR="00F53B92">
              <w:rPr>
                <w:noProof/>
                <w:webHidden/>
              </w:rPr>
              <w:fldChar w:fldCharType="separate"/>
            </w:r>
            <w:r w:rsidR="00F53B92">
              <w:rPr>
                <w:noProof/>
                <w:webHidden/>
              </w:rPr>
              <w:t>82</w:t>
            </w:r>
            <w:r w:rsidR="00F53B92">
              <w:rPr>
                <w:noProof/>
                <w:webHidden/>
              </w:rPr>
              <w:fldChar w:fldCharType="end"/>
            </w:r>
          </w:hyperlink>
        </w:p>
        <w:p w14:paraId="19DD49C9"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644" w:history="1">
            <w:r w:rsidR="00F53B92" w:rsidRPr="00A53DEB">
              <w:rPr>
                <w:rStyle w:val="Hyperlink"/>
                <w:rFonts w:eastAsia="Calibri"/>
                <w:noProof/>
              </w:rPr>
              <w:t>9: Appendix IV – Data review</w:t>
            </w:r>
            <w:r w:rsidR="00F53B92">
              <w:rPr>
                <w:noProof/>
                <w:webHidden/>
              </w:rPr>
              <w:tab/>
            </w:r>
            <w:r w:rsidR="00F53B92">
              <w:rPr>
                <w:noProof/>
                <w:webHidden/>
              </w:rPr>
              <w:fldChar w:fldCharType="begin"/>
            </w:r>
            <w:r w:rsidR="00F53B92">
              <w:rPr>
                <w:noProof/>
                <w:webHidden/>
              </w:rPr>
              <w:instrText xml:space="preserve"> PAGEREF _Toc467569644 \h </w:instrText>
            </w:r>
            <w:r w:rsidR="00F53B92">
              <w:rPr>
                <w:noProof/>
                <w:webHidden/>
              </w:rPr>
            </w:r>
            <w:r w:rsidR="00F53B92">
              <w:rPr>
                <w:noProof/>
                <w:webHidden/>
              </w:rPr>
              <w:fldChar w:fldCharType="separate"/>
            </w:r>
            <w:r w:rsidR="00F53B92">
              <w:rPr>
                <w:noProof/>
                <w:webHidden/>
              </w:rPr>
              <w:t>83</w:t>
            </w:r>
            <w:r w:rsidR="00F53B92">
              <w:rPr>
                <w:noProof/>
                <w:webHidden/>
              </w:rPr>
              <w:fldChar w:fldCharType="end"/>
            </w:r>
          </w:hyperlink>
        </w:p>
        <w:p w14:paraId="59646CEC"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45" w:history="1">
            <w:r w:rsidR="00F53B92" w:rsidRPr="00A53DEB">
              <w:rPr>
                <w:rStyle w:val="Hyperlink"/>
                <w:noProof/>
              </w:rPr>
              <w:t>9.1</w:t>
            </w:r>
            <w:r w:rsidR="00F53B92">
              <w:rPr>
                <w:rFonts w:asciiTheme="minorHAnsi" w:eastAsiaTheme="minorEastAsia" w:hAnsiTheme="minorHAnsi" w:cstheme="minorBidi"/>
                <w:noProof/>
                <w:szCs w:val="22"/>
                <w:lang w:eastAsia="en-GB"/>
              </w:rPr>
              <w:tab/>
            </w:r>
            <w:r w:rsidR="00F53B92" w:rsidRPr="00A53DEB">
              <w:rPr>
                <w:rStyle w:val="Hyperlink"/>
                <w:noProof/>
              </w:rPr>
              <w:t>Assets</w:t>
            </w:r>
            <w:r w:rsidR="00F53B92">
              <w:rPr>
                <w:noProof/>
                <w:webHidden/>
              </w:rPr>
              <w:tab/>
            </w:r>
            <w:r w:rsidR="00F53B92">
              <w:rPr>
                <w:noProof/>
                <w:webHidden/>
              </w:rPr>
              <w:fldChar w:fldCharType="begin"/>
            </w:r>
            <w:r w:rsidR="00F53B92">
              <w:rPr>
                <w:noProof/>
                <w:webHidden/>
              </w:rPr>
              <w:instrText xml:space="preserve"> PAGEREF _Toc467569645 \h </w:instrText>
            </w:r>
            <w:r w:rsidR="00F53B92">
              <w:rPr>
                <w:noProof/>
                <w:webHidden/>
              </w:rPr>
            </w:r>
            <w:r w:rsidR="00F53B92">
              <w:rPr>
                <w:noProof/>
                <w:webHidden/>
              </w:rPr>
              <w:fldChar w:fldCharType="separate"/>
            </w:r>
            <w:r w:rsidR="00F53B92">
              <w:rPr>
                <w:noProof/>
                <w:webHidden/>
              </w:rPr>
              <w:t>84</w:t>
            </w:r>
            <w:r w:rsidR="00F53B92">
              <w:rPr>
                <w:noProof/>
                <w:webHidden/>
              </w:rPr>
              <w:fldChar w:fldCharType="end"/>
            </w:r>
          </w:hyperlink>
        </w:p>
        <w:p w14:paraId="7CB38FD1"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46" w:history="1">
            <w:r w:rsidR="00F53B92" w:rsidRPr="00A53DEB">
              <w:rPr>
                <w:rStyle w:val="Hyperlink"/>
                <w:noProof/>
              </w:rPr>
              <w:t>9.2</w:t>
            </w:r>
            <w:r w:rsidR="00F53B92">
              <w:rPr>
                <w:rFonts w:asciiTheme="minorHAnsi" w:eastAsiaTheme="minorEastAsia" w:hAnsiTheme="minorHAnsi" w:cstheme="minorBidi"/>
                <w:noProof/>
                <w:szCs w:val="22"/>
                <w:lang w:eastAsia="en-GB"/>
              </w:rPr>
              <w:tab/>
            </w:r>
            <w:r w:rsidR="00F53B92" w:rsidRPr="00A53DEB">
              <w:rPr>
                <w:rStyle w:val="Hyperlink"/>
                <w:noProof/>
              </w:rPr>
              <w:t>Investment</w:t>
            </w:r>
            <w:r w:rsidR="00F53B92">
              <w:rPr>
                <w:noProof/>
                <w:webHidden/>
              </w:rPr>
              <w:tab/>
            </w:r>
            <w:r w:rsidR="00F53B92">
              <w:rPr>
                <w:noProof/>
                <w:webHidden/>
              </w:rPr>
              <w:fldChar w:fldCharType="begin"/>
            </w:r>
            <w:r w:rsidR="00F53B92">
              <w:rPr>
                <w:noProof/>
                <w:webHidden/>
              </w:rPr>
              <w:instrText xml:space="preserve"> PAGEREF _Toc467569646 \h </w:instrText>
            </w:r>
            <w:r w:rsidR="00F53B92">
              <w:rPr>
                <w:noProof/>
                <w:webHidden/>
              </w:rPr>
            </w:r>
            <w:r w:rsidR="00F53B92">
              <w:rPr>
                <w:noProof/>
                <w:webHidden/>
              </w:rPr>
              <w:fldChar w:fldCharType="separate"/>
            </w:r>
            <w:r w:rsidR="00F53B92">
              <w:rPr>
                <w:noProof/>
                <w:webHidden/>
              </w:rPr>
              <w:t>85</w:t>
            </w:r>
            <w:r w:rsidR="00F53B92">
              <w:rPr>
                <w:noProof/>
                <w:webHidden/>
              </w:rPr>
              <w:fldChar w:fldCharType="end"/>
            </w:r>
          </w:hyperlink>
        </w:p>
        <w:p w14:paraId="0FA14F52"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47" w:history="1">
            <w:r w:rsidR="00F53B92" w:rsidRPr="00A53DEB">
              <w:rPr>
                <w:rStyle w:val="Hyperlink"/>
                <w:noProof/>
              </w:rPr>
              <w:t>9.3</w:t>
            </w:r>
            <w:r w:rsidR="00F53B92">
              <w:rPr>
                <w:rFonts w:asciiTheme="minorHAnsi" w:eastAsiaTheme="minorEastAsia" w:hAnsiTheme="minorHAnsi" w:cstheme="minorBidi"/>
                <w:noProof/>
                <w:szCs w:val="22"/>
                <w:lang w:eastAsia="en-GB"/>
              </w:rPr>
              <w:tab/>
            </w:r>
            <w:r w:rsidR="00F53B92" w:rsidRPr="00A53DEB">
              <w:rPr>
                <w:rStyle w:val="Hyperlink"/>
                <w:noProof/>
              </w:rPr>
              <w:t>Dependent variables</w:t>
            </w:r>
            <w:r w:rsidR="00F53B92">
              <w:rPr>
                <w:noProof/>
                <w:webHidden/>
              </w:rPr>
              <w:tab/>
            </w:r>
            <w:r w:rsidR="00F53B92">
              <w:rPr>
                <w:noProof/>
                <w:webHidden/>
              </w:rPr>
              <w:fldChar w:fldCharType="begin"/>
            </w:r>
            <w:r w:rsidR="00F53B92">
              <w:rPr>
                <w:noProof/>
                <w:webHidden/>
              </w:rPr>
              <w:instrText xml:space="preserve"> PAGEREF _Toc467569647 \h </w:instrText>
            </w:r>
            <w:r w:rsidR="00F53B92">
              <w:rPr>
                <w:noProof/>
                <w:webHidden/>
              </w:rPr>
            </w:r>
            <w:r w:rsidR="00F53B92">
              <w:rPr>
                <w:noProof/>
                <w:webHidden/>
              </w:rPr>
              <w:fldChar w:fldCharType="separate"/>
            </w:r>
            <w:r w:rsidR="00F53B92">
              <w:rPr>
                <w:noProof/>
                <w:webHidden/>
              </w:rPr>
              <w:t>85</w:t>
            </w:r>
            <w:r w:rsidR="00F53B92">
              <w:rPr>
                <w:noProof/>
                <w:webHidden/>
              </w:rPr>
              <w:fldChar w:fldCharType="end"/>
            </w:r>
          </w:hyperlink>
        </w:p>
        <w:p w14:paraId="3A6CC326"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48" w:history="1">
            <w:r w:rsidR="00F53B92" w:rsidRPr="00A53DEB">
              <w:rPr>
                <w:rStyle w:val="Hyperlink"/>
                <w:noProof/>
              </w:rPr>
              <w:t>9.4</w:t>
            </w:r>
            <w:r w:rsidR="00F53B92">
              <w:rPr>
                <w:rFonts w:asciiTheme="minorHAnsi" w:eastAsiaTheme="minorEastAsia" w:hAnsiTheme="minorHAnsi" w:cstheme="minorBidi"/>
                <w:noProof/>
                <w:szCs w:val="22"/>
                <w:lang w:eastAsia="en-GB"/>
              </w:rPr>
              <w:tab/>
            </w:r>
            <w:r w:rsidR="00F53B92" w:rsidRPr="00A53DEB">
              <w:rPr>
                <w:rStyle w:val="Hyperlink"/>
                <w:noProof/>
              </w:rPr>
              <w:t>Conclusions</w:t>
            </w:r>
            <w:r w:rsidR="00F53B92">
              <w:rPr>
                <w:noProof/>
                <w:webHidden/>
              </w:rPr>
              <w:tab/>
            </w:r>
            <w:r w:rsidR="00F53B92">
              <w:rPr>
                <w:noProof/>
                <w:webHidden/>
              </w:rPr>
              <w:fldChar w:fldCharType="begin"/>
            </w:r>
            <w:r w:rsidR="00F53B92">
              <w:rPr>
                <w:noProof/>
                <w:webHidden/>
              </w:rPr>
              <w:instrText xml:space="preserve"> PAGEREF _Toc467569648 \h </w:instrText>
            </w:r>
            <w:r w:rsidR="00F53B92">
              <w:rPr>
                <w:noProof/>
                <w:webHidden/>
              </w:rPr>
            </w:r>
            <w:r w:rsidR="00F53B92">
              <w:rPr>
                <w:noProof/>
                <w:webHidden/>
              </w:rPr>
              <w:fldChar w:fldCharType="separate"/>
            </w:r>
            <w:r w:rsidR="00F53B92">
              <w:rPr>
                <w:noProof/>
                <w:webHidden/>
              </w:rPr>
              <w:t>86</w:t>
            </w:r>
            <w:r w:rsidR="00F53B92">
              <w:rPr>
                <w:noProof/>
                <w:webHidden/>
              </w:rPr>
              <w:fldChar w:fldCharType="end"/>
            </w:r>
          </w:hyperlink>
        </w:p>
        <w:p w14:paraId="798751C8"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649" w:history="1">
            <w:r w:rsidR="00F53B92" w:rsidRPr="00A53DEB">
              <w:rPr>
                <w:rStyle w:val="Hyperlink"/>
                <w:rFonts w:eastAsia="Calibri"/>
                <w:noProof/>
              </w:rPr>
              <w:t>10: Appendix V – Sector definitions</w:t>
            </w:r>
            <w:r w:rsidR="00F53B92">
              <w:rPr>
                <w:noProof/>
                <w:webHidden/>
              </w:rPr>
              <w:tab/>
            </w:r>
            <w:r w:rsidR="00F53B92">
              <w:rPr>
                <w:noProof/>
                <w:webHidden/>
              </w:rPr>
              <w:fldChar w:fldCharType="begin"/>
            </w:r>
            <w:r w:rsidR="00F53B92">
              <w:rPr>
                <w:noProof/>
                <w:webHidden/>
              </w:rPr>
              <w:instrText xml:space="preserve"> PAGEREF _Toc467569649 \h </w:instrText>
            </w:r>
            <w:r w:rsidR="00F53B92">
              <w:rPr>
                <w:noProof/>
                <w:webHidden/>
              </w:rPr>
            </w:r>
            <w:r w:rsidR="00F53B92">
              <w:rPr>
                <w:noProof/>
                <w:webHidden/>
              </w:rPr>
              <w:fldChar w:fldCharType="separate"/>
            </w:r>
            <w:r w:rsidR="00F53B92">
              <w:rPr>
                <w:noProof/>
                <w:webHidden/>
              </w:rPr>
              <w:t>87</w:t>
            </w:r>
            <w:r w:rsidR="00F53B92">
              <w:rPr>
                <w:noProof/>
                <w:webHidden/>
              </w:rPr>
              <w:fldChar w:fldCharType="end"/>
            </w:r>
          </w:hyperlink>
        </w:p>
        <w:p w14:paraId="575962B6"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50" w:history="1">
            <w:r w:rsidR="00F53B92" w:rsidRPr="00A53DEB">
              <w:rPr>
                <w:rStyle w:val="Hyperlink"/>
                <w:noProof/>
              </w:rPr>
              <w:t>10.1</w:t>
            </w:r>
            <w:r w:rsidR="00F53B92">
              <w:rPr>
                <w:rFonts w:asciiTheme="minorHAnsi" w:eastAsiaTheme="minorEastAsia" w:hAnsiTheme="minorHAnsi" w:cstheme="minorBidi"/>
                <w:noProof/>
                <w:szCs w:val="22"/>
                <w:lang w:eastAsia="en-GB"/>
              </w:rPr>
              <w:tab/>
            </w:r>
            <w:r w:rsidR="00F53B92" w:rsidRPr="00A53DEB">
              <w:rPr>
                <w:rStyle w:val="Hyperlink"/>
                <w:noProof/>
              </w:rPr>
              <w:t>Creative Industries</w:t>
            </w:r>
            <w:r w:rsidR="00F53B92">
              <w:rPr>
                <w:noProof/>
                <w:webHidden/>
              </w:rPr>
              <w:tab/>
            </w:r>
            <w:r w:rsidR="00F53B92">
              <w:rPr>
                <w:noProof/>
                <w:webHidden/>
              </w:rPr>
              <w:fldChar w:fldCharType="begin"/>
            </w:r>
            <w:r w:rsidR="00F53B92">
              <w:rPr>
                <w:noProof/>
                <w:webHidden/>
              </w:rPr>
              <w:instrText xml:space="preserve"> PAGEREF _Toc467569650 \h </w:instrText>
            </w:r>
            <w:r w:rsidR="00F53B92">
              <w:rPr>
                <w:noProof/>
                <w:webHidden/>
              </w:rPr>
            </w:r>
            <w:r w:rsidR="00F53B92">
              <w:rPr>
                <w:noProof/>
                <w:webHidden/>
              </w:rPr>
              <w:fldChar w:fldCharType="separate"/>
            </w:r>
            <w:r w:rsidR="00F53B92">
              <w:rPr>
                <w:noProof/>
                <w:webHidden/>
              </w:rPr>
              <w:t>87</w:t>
            </w:r>
            <w:r w:rsidR="00F53B92">
              <w:rPr>
                <w:noProof/>
                <w:webHidden/>
              </w:rPr>
              <w:fldChar w:fldCharType="end"/>
            </w:r>
          </w:hyperlink>
        </w:p>
        <w:p w14:paraId="1B2CC01A"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51" w:history="1">
            <w:r w:rsidR="00F53B92" w:rsidRPr="00A53DEB">
              <w:rPr>
                <w:rStyle w:val="Hyperlink"/>
                <w:rFonts w:eastAsia="Calibri"/>
                <w:noProof/>
              </w:rPr>
              <w:t>10.2</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Knowledge Industries</w:t>
            </w:r>
            <w:r w:rsidR="00F53B92">
              <w:rPr>
                <w:noProof/>
                <w:webHidden/>
              </w:rPr>
              <w:tab/>
            </w:r>
            <w:r w:rsidR="00F53B92">
              <w:rPr>
                <w:noProof/>
                <w:webHidden/>
              </w:rPr>
              <w:fldChar w:fldCharType="begin"/>
            </w:r>
            <w:r w:rsidR="00F53B92">
              <w:rPr>
                <w:noProof/>
                <w:webHidden/>
              </w:rPr>
              <w:instrText xml:space="preserve"> PAGEREF _Toc467569651 \h </w:instrText>
            </w:r>
            <w:r w:rsidR="00F53B92">
              <w:rPr>
                <w:noProof/>
                <w:webHidden/>
              </w:rPr>
            </w:r>
            <w:r w:rsidR="00F53B92">
              <w:rPr>
                <w:noProof/>
                <w:webHidden/>
              </w:rPr>
              <w:fldChar w:fldCharType="separate"/>
            </w:r>
            <w:r w:rsidR="00F53B92">
              <w:rPr>
                <w:noProof/>
                <w:webHidden/>
              </w:rPr>
              <w:t>89</w:t>
            </w:r>
            <w:r w:rsidR="00F53B92">
              <w:rPr>
                <w:noProof/>
                <w:webHidden/>
              </w:rPr>
              <w:fldChar w:fldCharType="end"/>
            </w:r>
          </w:hyperlink>
        </w:p>
        <w:p w14:paraId="1ED27313" w14:textId="77777777" w:rsidR="00F53B92" w:rsidRDefault="003D0350">
          <w:pPr>
            <w:pStyle w:val="TOC2"/>
            <w:tabs>
              <w:tab w:val="left" w:pos="1440"/>
              <w:tab w:val="right" w:leader="dot" w:pos="9344"/>
            </w:tabs>
            <w:rPr>
              <w:rFonts w:asciiTheme="minorHAnsi" w:eastAsiaTheme="minorEastAsia" w:hAnsiTheme="minorHAnsi" w:cstheme="minorBidi"/>
              <w:noProof/>
              <w:szCs w:val="22"/>
              <w:lang w:eastAsia="en-GB"/>
            </w:rPr>
          </w:pPr>
          <w:hyperlink w:anchor="_Toc467569652" w:history="1">
            <w:r w:rsidR="00F53B92" w:rsidRPr="00A53DEB">
              <w:rPr>
                <w:rStyle w:val="Hyperlink"/>
                <w:rFonts w:eastAsia="Calibri"/>
                <w:noProof/>
              </w:rPr>
              <w:t>10.3</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Tourism</w:t>
            </w:r>
            <w:r w:rsidR="00F53B92">
              <w:rPr>
                <w:noProof/>
                <w:webHidden/>
              </w:rPr>
              <w:tab/>
            </w:r>
            <w:r w:rsidR="00F53B92">
              <w:rPr>
                <w:noProof/>
                <w:webHidden/>
              </w:rPr>
              <w:fldChar w:fldCharType="begin"/>
            </w:r>
            <w:r w:rsidR="00F53B92">
              <w:rPr>
                <w:noProof/>
                <w:webHidden/>
              </w:rPr>
              <w:instrText xml:space="preserve"> PAGEREF _Toc467569652 \h </w:instrText>
            </w:r>
            <w:r w:rsidR="00F53B92">
              <w:rPr>
                <w:noProof/>
                <w:webHidden/>
              </w:rPr>
            </w:r>
            <w:r w:rsidR="00F53B92">
              <w:rPr>
                <w:noProof/>
                <w:webHidden/>
              </w:rPr>
              <w:fldChar w:fldCharType="separate"/>
            </w:r>
            <w:r w:rsidR="00F53B92">
              <w:rPr>
                <w:noProof/>
                <w:webHidden/>
              </w:rPr>
              <w:t>92</w:t>
            </w:r>
            <w:r w:rsidR="00F53B92">
              <w:rPr>
                <w:noProof/>
                <w:webHidden/>
              </w:rPr>
              <w:fldChar w:fldCharType="end"/>
            </w:r>
          </w:hyperlink>
        </w:p>
        <w:p w14:paraId="0A955A46" w14:textId="77777777" w:rsidR="00F53B92" w:rsidRDefault="003D0350">
          <w:pPr>
            <w:pStyle w:val="TOC3"/>
            <w:tabs>
              <w:tab w:val="left" w:pos="2272"/>
              <w:tab w:val="right" w:leader="dot" w:pos="9344"/>
            </w:tabs>
            <w:rPr>
              <w:rFonts w:asciiTheme="minorHAnsi" w:eastAsiaTheme="minorEastAsia" w:hAnsiTheme="minorHAnsi" w:cstheme="minorBidi"/>
              <w:noProof/>
              <w:szCs w:val="22"/>
              <w:lang w:eastAsia="en-GB"/>
            </w:rPr>
          </w:pPr>
          <w:hyperlink w:anchor="_Toc467569653" w:history="1">
            <w:r w:rsidR="00F53B92" w:rsidRPr="00A53DEB">
              <w:rPr>
                <w:rStyle w:val="Hyperlink"/>
                <w:rFonts w:eastAsia="Calibri"/>
                <w:noProof/>
              </w:rPr>
              <w:t>10.3.2</w:t>
            </w:r>
            <w:r w:rsidR="00F53B92">
              <w:rPr>
                <w:rFonts w:asciiTheme="minorHAnsi" w:eastAsiaTheme="minorEastAsia" w:hAnsiTheme="minorHAnsi" w:cstheme="minorBidi"/>
                <w:noProof/>
                <w:szCs w:val="22"/>
                <w:lang w:eastAsia="en-GB"/>
              </w:rPr>
              <w:tab/>
            </w:r>
            <w:r w:rsidR="00F53B92" w:rsidRPr="00A53DEB">
              <w:rPr>
                <w:rStyle w:val="Hyperlink"/>
                <w:rFonts w:eastAsia="Calibri"/>
                <w:noProof/>
              </w:rPr>
              <w:t>Professional Services</w:t>
            </w:r>
            <w:r w:rsidR="00F53B92">
              <w:rPr>
                <w:noProof/>
                <w:webHidden/>
              </w:rPr>
              <w:tab/>
            </w:r>
            <w:r w:rsidR="00F53B92">
              <w:rPr>
                <w:noProof/>
                <w:webHidden/>
              </w:rPr>
              <w:fldChar w:fldCharType="begin"/>
            </w:r>
            <w:r w:rsidR="00F53B92">
              <w:rPr>
                <w:noProof/>
                <w:webHidden/>
              </w:rPr>
              <w:instrText xml:space="preserve"> PAGEREF _Toc467569653 \h </w:instrText>
            </w:r>
            <w:r w:rsidR="00F53B92">
              <w:rPr>
                <w:noProof/>
                <w:webHidden/>
              </w:rPr>
            </w:r>
            <w:r w:rsidR="00F53B92">
              <w:rPr>
                <w:noProof/>
                <w:webHidden/>
              </w:rPr>
              <w:fldChar w:fldCharType="separate"/>
            </w:r>
            <w:r w:rsidR="00F53B92">
              <w:rPr>
                <w:noProof/>
                <w:webHidden/>
              </w:rPr>
              <w:t>94</w:t>
            </w:r>
            <w:r w:rsidR="00F53B92">
              <w:rPr>
                <w:noProof/>
                <w:webHidden/>
              </w:rPr>
              <w:fldChar w:fldCharType="end"/>
            </w:r>
          </w:hyperlink>
        </w:p>
        <w:p w14:paraId="1EB4F604"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654" w:history="1">
            <w:r w:rsidR="00F53B92" w:rsidRPr="00A53DEB">
              <w:rPr>
                <w:rStyle w:val="Hyperlink"/>
                <w:noProof/>
              </w:rPr>
              <w:t>11: Appendix VI – Data sources and details of variables</w:t>
            </w:r>
            <w:r w:rsidR="00F53B92">
              <w:rPr>
                <w:noProof/>
                <w:webHidden/>
              </w:rPr>
              <w:tab/>
            </w:r>
            <w:r w:rsidR="00F53B92">
              <w:rPr>
                <w:noProof/>
                <w:webHidden/>
              </w:rPr>
              <w:fldChar w:fldCharType="begin"/>
            </w:r>
            <w:r w:rsidR="00F53B92">
              <w:rPr>
                <w:noProof/>
                <w:webHidden/>
              </w:rPr>
              <w:instrText xml:space="preserve"> PAGEREF _Toc467569654 \h </w:instrText>
            </w:r>
            <w:r w:rsidR="00F53B92">
              <w:rPr>
                <w:noProof/>
                <w:webHidden/>
              </w:rPr>
            </w:r>
            <w:r w:rsidR="00F53B92">
              <w:rPr>
                <w:noProof/>
                <w:webHidden/>
              </w:rPr>
              <w:fldChar w:fldCharType="separate"/>
            </w:r>
            <w:r w:rsidR="00F53B92">
              <w:rPr>
                <w:noProof/>
                <w:webHidden/>
              </w:rPr>
              <w:t>95</w:t>
            </w:r>
            <w:r w:rsidR="00F53B92">
              <w:rPr>
                <w:noProof/>
                <w:webHidden/>
              </w:rPr>
              <w:fldChar w:fldCharType="end"/>
            </w:r>
          </w:hyperlink>
        </w:p>
        <w:p w14:paraId="1F4EAEFA" w14:textId="77777777" w:rsidR="00F53B92" w:rsidRDefault="003D0350">
          <w:pPr>
            <w:pStyle w:val="TOC1"/>
            <w:tabs>
              <w:tab w:val="right" w:leader="dot" w:pos="9344"/>
            </w:tabs>
            <w:rPr>
              <w:rFonts w:asciiTheme="minorHAnsi" w:eastAsiaTheme="minorEastAsia" w:hAnsiTheme="minorHAnsi" w:cstheme="minorBidi"/>
              <w:b w:val="0"/>
              <w:noProof/>
              <w:szCs w:val="22"/>
              <w:lang w:eastAsia="en-GB"/>
            </w:rPr>
          </w:pPr>
          <w:hyperlink w:anchor="_Toc467569655" w:history="1">
            <w:r w:rsidR="00F53B92" w:rsidRPr="00A53DEB">
              <w:rPr>
                <w:rStyle w:val="Hyperlink"/>
                <w:noProof/>
              </w:rPr>
              <w:t>12: Appendix VII – References</w:t>
            </w:r>
            <w:r w:rsidR="00F53B92">
              <w:rPr>
                <w:noProof/>
                <w:webHidden/>
              </w:rPr>
              <w:tab/>
            </w:r>
            <w:r w:rsidR="00F53B92">
              <w:rPr>
                <w:noProof/>
                <w:webHidden/>
              </w:rPr>
              <w:fldChar w:fldCharType="begin"/>
            </w:r>
            <w:r w:rsidR="00F53B92">
              <w:rPr>
                <w:noProof/>
                <w:webHidden/>
              </w:rPr>
              <w:instrText xml:space="preserve"> PAGEREF _Toc467569655 \h </w:instrText>
            </w:r>
            <w:r w:rsidR="00F53B92">
              <w:rPr>
                <w:noProof/>
                <w:webHidden/>
              </w:rPr>
            </w:r>
            <w:r w:rsidR="00F53B92">
              <w:rPr>
                <w:noProof/>
                <w:webHidden/>
              </w:rPr>
              <w:fldChar w:fldCharType="separate"/>
            </w:r>
            <w:r w:rsidR="00F53B92">
              <w:rPr>
                <w:noProof/>
                <w:webHidden/>
              </w:rPr>
              <w:t>99</w:t>
            </w:r>
            <w:r w:rsidR="00F53B92">
              <w:rPr>
                <w:noProof/>
                <w:webHidden/>
              </w:rPr>
              <w:fldChar w:fldCharType="end"/>
            </w:r>
          </w:hyperlink>
        </w:p>
        <w:p w14:paraId="74928831" w14:textId="77777777" w:rsidR="00FA21CC" w:rsidRPr="00514EFA" w:rsidRDefault="00404FEF">
          <w:pPr>
            <w:rPr>
              <w:rFonts w:cs="Arial"/>
            </w:rPr>
          </w:pPr>
          <w:r w:rsidRPr="00514EFA">
            <w:rPr>
              <w:rFonts w:cs="Arial"/>
              <w:b/>
              <w:bCs/>
              <w:noProof/>
            </w:rPr>
            <w:fldChar w:fldCharType="end"/>
          </w:r>
        </w:p>
      </w:sdtContent>
    </w:sdt>
    <w:p w14:paraId="74928832" w14:textId="77777777" w:rsidR="00C64C00" w:rsidRPr="00514EFA" w:rsidRDefault="00C64C00" w:rsidP="00A02758">
      <w:pPr>
        <w:rPr>
          <w:rFonts w:cs="Arial"/>
          <w:color w:val="673561"/>
        </w:rPr>
      </w:pPr>
    </w:p>
    <w:p w14:paraId="74928833" w14:textId="77777777" w:rsidR="00C63793" w:rsidRPr="00514EFA" w:rsidRDefault="00C64C00" w:rsidP="00F9372E">
      <w:pPr>
        <w:spacing w:before="0"/>
        <w:ind w:left="0"/>
        <w:rPr>
          <w:rFonts w:cs="Arial"/>
        </w:rPr>
      </w:pPr>
      <w:r w:rsidRPr="00514EFA">
        <w:rPr>
          <w:rFonts w:cs="Arial"/>
          <w:color w:val="673561"/>
        </w:rPr>
        <w:br w:type="page"/>
      </w:r>
    </w:p>
    <w:p w14:paraId="74928834" w14:textId="77777777" w:rsidR="00F9372E" w:rsidRPr="00514EFA" w:rsidRDefault="00F9372E" w:rsidP="00F9372E">
      <w:pPr>
        <w:ind w:left="0" w:right="-754"/>
        <w:rPr>
          <w:rFonts w:cs="Arial"/>
          <w:b/>
          <w:bCs/>
        </w:rPr>
      </w:pPr>
      <w:r w:rsidRPr="00514EFA">
        <w:rPr>
          <w:rFonts w:cs="Arial"/>
          <w:b/>
          <w:bCs/>
        </w:rPr>
        <w:lastRenderedPageBreak/>
        <w:t>Figures</w:t>
      </w:r>
    </w:p>
    <w:p w14:paraId="16191757" w14:textId="77777777" w:rsidR="00F53B92" w:rsidRDefault="00AD0C23">
      <w:pPr>
        <w:pStyle w:val="TableofFigures"/>
        <w:tabs>
          <w:tab w:val="right" w:leader="dot" w:pos="9344"/>
        </w:tabs>
        <w:rPr>
          <w:rFonts w:asciiTheme="minorHAnsi" w:eastAsiaTheme="minorEastAsia" w:hAnsiTheme="minorHAnsi" w:cstheme="minorBidi"/>
          <w:noProof/>
          <w:szCs w:val="22"/>
          <w:lang w:eastAsia="en-GB"/>
        </w:rPr>
      </w:pPr>
      <w:r w:rsidRPr="00514EFA">
        <w:rPr>
          <w:rFonts w:cs="Arial"/>
        </w:rPr>
        <w:fldChar w:fldCharType="begin"/>
      </w:r>
      <w:r w:rsidRPr="00514EFA">
        <w:rPr>
          <w:rFonts w:cs="Arial"/>
        </w:rPr>
        <w:instrText xml:space="preserve"> TOC \h \z \c "Figure" </w:instrText>
      </w:r>
      <w:r w:rsidRPr="00514EFA">
        <w:rPr>
          <w:rFonts w:cs="Arial"/>
        </w:rPr>
        <w:fldChar w:fldCharType="separate"/>
      </w:r>
      <w:hyperlink w:anchor="_Toc467569668" w:history="1">
        <w:r w:rsidR="00F53B92" w:rsidRPr="00B00586">
          <w:rPr>
            <w:rStyle w:val="Hyperlink"/>
            <w:noProof/>
          </w:rPr>
          <w:t>Figure 1: Impact ecosystem</w:t>
        </w:r>
        <w:r w:rsidR="00F53B92">
          <w:rPr>
            <w:noProof/>
            <w:webHidden/>
          </w:rPr>
          <w:tab/>
        </w:r>
        <w:r w:rsidR="00F53B92">
          <w:rPr>
            <w:noProof/>
            <w:webHidden/>
          </w:rPr>
          <w:fldChar w:fldCharType="begin"/>
        </w:r>
        <w:r w:rsidR="00F53B92">
          <w:rPr>
            <w:noProof/>
            <w:webHidden/>
          </w:rPr>
          <w:instrText xml:space="preserve"> PAGEREF _Toc467569668 \h </w:instrText>
        </w:r>
        <w:r w:rsidR="00F53B92">
          <w:rPr>
            <w:noProof/>
            <w:webHidden/>
          </w:rPr>
        </w:r>
        <w:r w:rsidR="00F53B92">
          <w:rPr>
            <w:noProof/>
            <w:webHidden/>
          </w:rPr>
          <w:fldChar w:fldCharType="separate"/>
        </w:r>
        <w:r w:rsidR="00F53B92">
          <w:rPr>
            <w:noProof/>
            <w:webHidden/>
          </w:rPr>
          <w:t>13</w:t>
        </w:r>
        <w:r w:rsidR="00F53B92">
          <w:rPr>
            <w:noProof/>
            <w:webHidden/>
          </w:rPr>
          <w:fldChar w:fldCharType="end"/>
        </w:r>
      </w:hyperlink>
    </w:p>
    <w:p w14:paraId="5BA1300F"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69" w:history="1">
        <w:r w:rsidR="00F53B92" w:rsidRPr="00B00586">
          <w:rPr>
            <w:rStyle w:val="Hyperlink"/>
            <w:noProof/>
          </w:rPr>
          <w:t>Figure 2: London wide map showing performing arts venue distribution and audience penetration</w:t>
        </w:r>
        <w:r w:rsidR="00F53B92">
          <w:rPr>
            <w:noProof/>
            <w:webHidden/>
          </w:rPr>
          <w:tab/>
        </w:r>
        <w:r w:rsidR="00F53B92">
          <w:rPr>
            <w:noProof/>
            <w:webHidden/>
          </w:rPr>
          <w:fldChar w:fldCharType="begin"/>
        </w:r>
        <w:r w:rsidR="00F53B92">
          <w:rPr>
            <w:noProof/>
            <w:webHidden/>
          </w:rPr>
          <w:instrText xml:space="preserve"> PAGEREF _Toc467569669 \h </w:instrText>
        </w:r>
        <w:r w:rsidR="00F53B92">
          <w:rPr>
            <w:noProof/>
            <w:webHidden/>
          </w:rPr>
        </w:r>
        <w:r w:rsidR="00F53B92">
          <w:rPr>
            <w:noProof/>
            <w:webHidden/>
          </w:rPr>
          <w:fldChar w:fldCharType="separate"/>
        </w:r>
        <w:r w:rsidR="00F53B92">
          <w:rPr>
            <w:noProof/>
            <w:webHidden/>
          </w:rPr>
          <w:t>45</w:t>
        </w:r>
        <w:r w:rsidR="00F53B92">
          <w:rPr>
            <w:noProof/>
            <w:webHidden/>
          </w:rPr>
          <w:fldChar w:fldCharType="end"/>
        </w:r>
      </w:hyperlink>
    </w:p>
    <w:p w14:paraId="51BD85EA"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70" w:history="1">
        <w:r w:rsidR="00F53B92" w:rsidRPr="00B00586">
          <w:rPr>
            <w:rStyle w:val="Hyperlink"/>
            <w:noProof/>
          </w:rPr>
          <w:t>Figure 3: Gateshead Library Usage</w:t>
        </w:r>
        <w:r w:rsidR="00F53B92">
          <w:rPr>
            <w:noProof/>
            <w:webHidden/>
          </w:rPr>
          <w:tab/>
        </w:r>
        <w:r w:rsidR="00F53B92">
          <w:rPr>
            <w:noProof/>
            <w:webHidden/>
          </w:rPr>
          <w:fldChar w:fldCharType="begin"/>
        </w:r>
        <w:r w:rsidR="00F53B92">
          <w:rPr>
            <w:noProof/>
            <w:webHidden/>
          </w:rPr>
          <w:instrText xml:space="preserve"> PAGEREF _Toc467569670 \h </w:instrText>
        </w:r>
        <w:r w:rsidR="00F53B92">
          <w:rPr>
            <w:noProof/>
            <w:webHidden/>
          </w:rPr>
        </w:r>
        <w:r w:rsidR="00F53B92">
          <w:rPr>
            <w:noProof/>
            <w:webHidden/>
          </w:rPr>
          <w:fldChar w:fldCharType="separate"/>
        </w:r>
        <w:r w:rsidR="00F53B92">
          <w:rPr>
            <w:noProof/>
            <w:webHidden/>
          </w:rPr>
          <w:t>46</w:t>
        </w:r>
        <w:r w:rsidR="00F53B92">
          <w:rPr>
            <w:noProof/>
            <w:webHidden/>
          </w:rPr>
          <w:fldChar w:fldCharType="end"/>
        </w:r>
      </w:hyperlink>
    </w:p>
    <w:p w14:paraId="6EC7535F"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71" w:history="1">
        <w:r w:rsidR="00F53B92" w:rsidRPr="00B00586">
          <w:rPr>
            <w:rStyle w:val="Hyperlink"/>
            <w:noProof/>
          </w:rPr>
          <w:t>Figure 4: Correlation between number of creative industries firms per capita and Lottery investment, by local authority</w:t>
        </w:r>
        <w:r w:rsidR="00F53B92">
          <w:rPr>
            <w:noProof/>
            <w:webHidden/>
          </w:rPr>
          <w:tab/>
        </w:r>
        <w:r w:rsidR="00F53B92">
          <w:rPr>
            <w:noProof/>
            <w:webHidden/>
          </w:rPr>
          <w:fldChar w:fldCharType="begin"/>
        </w:r>
        <w:r w:rsidR="00F53B92">
          <w:rPr>
            <w:noProof/>
            <w:webHidden/>
          </w:rPr>
          <w:instrText xml:space="preserve"> PAGEREF _Toc467569671 \h </w:instrText>
        </w:r>
        <w:r w:rsidR="00F53B92">
          <w:rPr>
            <w:noProof/>
            <w:webHidden/>
          </w:rPr>
        </w:r>
        <w:r w:rsidR="00F53B92">
          <w:rPr>
            <w:noProof/>
            <w:webHidden/>
          </w:rPr>
          <w:fldChar w:fldCharType="separate"/>
        </w:r>
        <w:r w:rsidR="00F53B92">
          <w:rPr>
            <w:noProof/>
            <w:webHidden/>
          </w:rPr>
          <w:t>79</w:t>
        </w:r>
        <w:r w:rsidR="00F53B92">
          <w:rPr>
            <w:noProof/>
            <w:webHidden/>
          </w:rPr>
          <w:fldChar w:fldCharType="end"/>
        </w:r>
      </w:hyperlink>
    </w:p>
    <w:p w14:paraId="6FD65CE5"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72" w:history="1">
        <w:r w:rsidR="00F53B92" w:rsidRPr="00B00586">
          <w:rPr>
            <w:rStyle w:val="Hyperlink"/>
            <w:noProof/>
          </w:rPr>
          <w:t>Figure 5: Correlation between number of creative industries firms per capita and Lottery CS&amp;H investment, by local authority (excluding Isles of Scilly and City of London)</w:t>
        </w:r>
        <w:r w:rsidR="00F53B92">
          <w:rPr>
            <w:noProof/>
            <w:webHidden/>
          </w:rPr>
          <w:tab/>
        </w:r>
        <w:r w:rsidR="00F53B92">
          <w:rPr>
            <w:noProof/>
            <w:webHidden/>
          </w:rPr>
          <w:fldChar w:fldCharType="begin"/>
        </w:r>
        <w:r w:rsidR="00F53B92">
          <w:rPr>
            <w:noProof/>
            <w:webHidden/>
          </w:rPr>
          <w:instrText xml:space="preserve"> PAGEREF _Toc467569672 \h </w:instrText>
        </w:r>
        <w:r w:rsidR="00F53B92">
          <w:rPr>
            <w:noProof/>
            <w:webHidden/>
          </w:rPr>
        </w:r>
        <w:r w:rsidR="00F53B92">
          <w:rPr>
            <w:noProof/>
            <w:webHidden/>
          </w:rPr>
          <w:fldChar w:fldCharType="separate"/>
        </w:r>
        <w:r w:rsidR="00F53B92">
          <w:rPr>
            <w:noProof/>
            <w:webHidden/>
          </w:rPr>
          <w:t>79</w:t>
        </w:r>
        <w:r w:rsidR="00F53B92">
          <w:rPr>
            <w:noProof/>
            <w:webHidden/>
          </w:rPr>
          <w:fldChar w:fldCharType="end"/>
        </w:r>
      </w:hyperlink>
    </w:p>
    <w:p w14:paraId="0DB6A0ED"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73" w:history="1">
        <w:r w:rsidR="00F53B92" w:rsidRPr="00B00586">
          <w:rPr>
            <w:rStyle w:val="Hyperlink"/>
            <w:noProof/>
          </w:rPr>
          <w:t>Figure 6: Correlation between turnover growth in creative industries firms and CS&amp;H investment, by local authority</w:t>
        </w:r>
        <w:r w:rsidR="00F53B92">
          <w:rPr>
            <w:noProof/>
            <w:webHidden/>
          </w:rPr>
          <w:tab/>
        </w:r>
        <w:r w:rsidR="00F53B92">
          <w:rPr>
            <w:noProof/>
            <w:webHidden/>
          </w:rPr>
          <w:fldChar w:fldCharType="begin"/>
        </w:r>
        <w:r w:rsidR="00F53B92">
          <w:rPr>
            <w:noProof/>
            <w:webHidden/>
          </w:rPr>
          <w:instrText xml:space="preserve"> PAGEREF _Toc467569673 \h </w:instrText>
        </w:r>
        <w:r w:rsidR="00F53B92">
          <w:rPr>
            <w:noProof/>
            <w:webHidden/>
          </w:rPr>
        </w:r>
        <w:r w:rsidR="00F53B92">
          <w:rPr>
            <w:noProof/>
            <w:webHidden/>
          </w:rPr>
          <w:fldChar w:fldCharType="separate"/>
        </w:r>
        <w:r w:rsidR="00F53B92">
          <w:rPr>
            <w:noProof/>
            <w:webHidden/>
          </w:rPr>
          <w:t>80</w:t>
        </w:r>
        <w:r w:rsidR="00F53B92">
          <w:rPr>
            <w:noProof/>
            <w:webHidden/>
          </w:rPr>
          <w:fldChar w:fldCharType="end"/>
        </w:r>
      </w:hyperlink>
    </w:p>
    <w:p w14:paraId="7492884C" w14:textId="77777777" w:rsidR="00F9372E" w:rsidRPr="00514EFA" w:rsidRDefault="00AD0C23" w:rsidP="00F9372E">
      <w:pPr>
        <w:ind w:left="0" w:right="-754"/>
        <w:rPr>
          <w:rFonts w:cs="Arial"/>
        </w:rPr>
      </w:pPr>
      <w:r w:rsidRPr="00514EFA">
        <w:rPr>
          <w:rFonts w:cs="Arial"/>
        </w:rPr>
        <w:fldChar w:fldCharType="end"/>
      </w:r>
    </w:p>
    <w:p w14:paraId="7492884D" w14:textId="77777777" w:rsidR="00F9372E" w:rsidRPr="00514EFA" w:rsidRDefault="00F9372E" w:rsidP="00F9372E">
      <w:pPr>
        <w:ind w:left="0" w:right="-754"/>
        <w:rPr>
          <w:rFonts w:cs="Arial"/>
          <w:b/>
          <w:bCs/>
        </w:rPr>
      </w:pPr>
      <w:r w:rsidRPr="00514EFA">
        <w:rPr>
          <w:rFonts w:cs="Arial"/>
          <w:b/>
          <w:bCs/>
        </w:rPr>
        <w:t>Tables</w:t>
      </w:r>
    </w:p>
    <w:p w14:paraId="548A6D00" w14:textId="77777777" w:rsidR="00F53B92" w:rsidRDefault="00AD0C23">
      <w:pPr>
        <w:pStyle w:val="TableofFigures"/>
        <w:tabs>
          <w:tab w:val="right" w:leader="dot" w:pos="9344"/>
        </w:tabs>
        <w:rPr>
          <w:rFonts w:asciiTheme="minorHAnsi" w:eastAsiaTheme="minorEastAsia" w:hAnsiTheme="minorHAnsi" w:cstheme="minorBidi"/>
          <w:noProof/>
          <w:szCs w:val="22"/>
          <w:lang w:eastAsia="en-GB"/>
        </w:rPr>
      </w:pPr>
      <w:r w:rsidRPr="00514EFA">
        <w:rPr>
          <w:rFonts w:cs="Arial"/>
          <w:b/>
          <w:bCs/>
        </w:rPr>
        <w:fldChar w:fldCharType="begin"/>
      </w:r>
      <w:r w:rsidRPr="00514EFA">
        <w:rPr>
          <w:rFonts w:cs="Arial"/>
          <w:b/>
          <w:bCs/>
        </w:rPr>
        <w:instrText xml:space="preserve"> TOC \h \z \c "Table" </w:instrText>
      </w:r>
      <w:r w:rsidRPr="00514EFA">
        <w:rPr>
          <w:rFonts w:cs="Arial"/>
          <w:b/>
          <w:bCs/>
        </w:rPr>
        <w:fldChar w:fldCharType="separate"/>
      </w:r>
      <w:hyperlink w:anchor="_Toc467569656" w:history="1">
        <w:r w:rsidR="00F53B92" w:rsidRPr="00836100">
          <w:rPr>
            <w:rStyle w:val="Hyperlink"/>
            <w:noProof/>
          </w:rPr>
          <w:t>Table 1: Data types</w:t>
        </w:r>
        <w:r w:rsidR="00F53B92">
          <w:rPr>
            <w:noProof/>
            <w:webHidden/>
          </w:rPr>
          <w:tab/>
        </w:r>
        <w:r w:rsidR="00F53B92">
          <w:rPr>
            <w:noProof/>
            <w:webHidden/>
          </w:rPr>
          <w:fldChar w:fldCharType="begin"/>
        </w:r>
        <w:r w:rsidR="00F53B92">
          <w:rPr>
            <w:noProof/>
            <w:webHidden/>
          </w:rPr>
          <w:instrText xml:space="preserve"> PAGEREF _Toc467569656 \h </w:instrText>
        </w:r>
        <w:r w:rsidR="00F53B92">
          <w:rPr>
            <w:noProof/>
            <w:webHidden/>
          </w:rPr>
        </w:r>
        <w:r w:rsidR="00F53B92">
          <w:rPr>
            <w:noProof/>
            <w:webHidden/>
          </w:rPr>
          <w:fldChar w:fldCharType="separate"/>
        </w:r>
        <w:r w:rsidR="00F53B92">
          <w:rPr>
            <w:noProof/>
            <w:webHidden/>
          </w:rPr>
          <w:t>26</w:t>
        </w:r>
        <w:r w:rsidR="00F53B92">
          <w:rPr>
            <w:noProof/>
            <w:webHidden/>
          </w:rPr>
          <w:fldChar w:fldCharType="end"/>
        </w:r>
      </w:hyperlink>
    </w:p>
    <w:p w14:paraId="5D848BDD"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57" w:history="1">
        <w:r w:rsidR="00F53B92" w:rsidRPr="00836100">
          <w:rPr>
            <w:rStyle w:val="Hyperlink"/>
            <w:noProof/>
          </w:rPr>
          <w:t xml:space="preserve">Table 2: </w:t>
        </w:r>
        <w:r w:rsidR="00F53B92" w:rsidRPr="00836100">
          <w:rPr>
            <w:rStyle w:val="Hyperlink"/>
            <w:rFonts w:eastAsia="Calibri"/>
            <w:noProof/>
          </w:rPr>
          <w:t>All firms and CS&amp;H assets and investment</w:t>
        </w:r>
        <w:r w:rsidR="00F53B92">
          <w:rPr>
            <w:noProof/>
            <w:webHidden/>
          </w:rPr>
          <w:tab/>
        </w:r>
        <w:r w:rsidR="00F53B92">
          <w:rPr>
            <w:noProof/>
            <w:webHidden/>
          </w:rPr>
          <w:fldChar w:fldCharType="begin"/>
        </w:r>
        <w:r w:rsidR="00F53B92">
          <w:rPr>
            <w:noProof/>
            <w:webHidden/>
          </w:rPr>
          <w:instrText xml:space="preserve"> PAGEREF _Toc467569657 \h </w:instrText>
        </w:r>
        <w:r w:rsidR="00F53B92">
          <w:rPr>
            <w:noProof/>
            <w:webHidden/>
          </w:rPr>
        </w:r>
        <w:r w:rsidR="00F53B92">
          <w:rPr>
            <w:noProof/>
            <w:webHidden/>
          </w:rPr>
          <w:fldChar w:fldCharType="separate"/>
        </w:r>
        <w:r w:rsidR="00F53B92">
          <w:rPr>
            <w:noProof/>
            <w:webHidden/>
          </w:rPr>
          <w:t>28</w:t>
        </w:r>
        <w:r w:rsidR="00F53B92">
          <w:rPr>
            <w:noProof/>
            <w:webHidden/>
          </w:rPr>
          <w:fldChar w:fldCharType="end"/>
        </w:r>
      </w:hyperlink>
    </w:p>
    <w:p w14:paraId="40F68895"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58" w:history="1">
        <w:r w:rsidR="00F53B92" w:rsidRPr="00836100">
          <w:rPr>
            <w:rStyle w:val="Hyperlink"/>
            <w:noProof/>
          </w:rPr>
          <w:t xml:space="preserve">Table 3: </w:t>
        </w:r>
        <w:r w:rsidR="00F53B92" w:rsidRPr="00836100">
          <w:rPr>
            <w:rStyle w:val="Hyperlink"/>
            <w:rFonts w:eastAsia="Calibri"/>
            <w:noProof/>
          </w:rPr>
          <w:t>CS&amp;H investment and all firms</w:t>
        </w:r>
        <w:r w:rsidR="00F53B92">
          <w:rPr>
            <w:noProof/>
            <w:webHidden/>
          </w:rPr>
          <w:tab/>
        </w:r>
        <w:r w:rsidR="00F53B92">
          <w:rPr>
            <w:noProof/>
            <w:webHidden/>
          </w:rPr>
          <w:fldChar w:fldCharType="begin"/>
        </w:r>
        <w:r w:rsidR="00F53B92">
          <w:rPr>
            <w:noProof/>
            <w:webHidden/>
          </w:rPr>
          <w:instrText xml:space="preserve"> PAGEREF _Toc467569658 \h </w:instrText>
        </w:r>
        <w:r w:rsidR="00F53B92">
          <w:rPr>
            <w:noProof/>
            <w:webHidden/>
          </w:rPr>
        </w:r>
        <w:r w:rsidR="00F53B92">
          <w:rPr>
            <w:noProof/>
            <w:webHidden/>
          </w:rPr>
          <w:fldChar w:fldCharType="separate"/>
        </w:r>
        <w:r w:rsidR="00F53B92">
          <w:rPr>
            <w:noProof/>
            <w:webHidden/>
          </w:rPr>
          <w:t>29</w:t>
        </w:r>
        <w:r w:rsidR="00F53B92">
          <w:rPr>
            <w:noProof/>
            <w:webHidden/>
          </w:rPr>
          <w:fldChar w:fldCharType="end"/>
        </w:r>
      </w:hyperlink>
    </w:p>
    <w:p w14:paraId="4CE29A2A"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59" w:history="1">
        <w:r w:rsidR="00F53B92" w:rsidRPr="00836100">
          <w:rPr>
            <w:rStyle w:val="Hyperlink"/>
            <w:noProof/>
          </w:rPr>
          <w:t>Table 4: R</w:t>
        </w:r>
        <w:r w:rsidR="00F53B92" w:rsidRPr="00836100">
          <w:rPr>
            <w:rStyle w:val="Hyperlink"/>
            <w:rFonts w:eastAsia="Calibri"/>
            <w:noProof/>
          </w:rPr>
          <w:t>elationships between creative firms and CS&amp;H assets and investment</w:t>
        </w:r>
        <w:r w:rsidR="00F53B92">
          <w:rPr>
            <w:noProof/>
            <w:webHidden/>
          </w:rPr>
          <w:tab/>
        </w:r>
        <w:r w:rsidR="00F53B92">
          <w:rPr>
            <w:noProof/>
            <w:webHidden/>
          </w:rPr>
          <w:fldChar w:fldCharType="begin"/>
        </w:r>
        <w:r w:rsidR="00F53B92">
          <w:rPr>
            <w:noProof/>
            <w:webHidden/>
          </w:rPr>
          <w:instrText xml:space="preserve"> PAGEREF _Toc467569659 \h </w:instrText>
        </w:r>
        <w:r w:rsidR="00F53B92">
          <w:rPr>
            <w:noProof/>
            <w:webHidden/>
          </w:rPr>
        </w:r>
        <w:r w:rsidR="00F53B92">
          <w:rPr>
            <w:noProof/>
            <w:webHidden/>
          </w:rPr>
          <w:fldChar w:fldCharType="separate"/>
        </w:r>
        <w:r w:rsidR="00F53B92">
          <w:rPr>
            <w:noProof/>
            <w:webHidden/>
          </w:rPr>
          <w:t>30</w:t>
        </w:r>
        <w:r w:rsidR="00F53B92">
          <w:rPr>
            <w:noProof/>
            <w:webHidden/>
          </w:rPr>
          <w:fldChar w:fldCharType="end"/>
        </w:r>
      </w:hyperlink>
    </w:p>
    <w:p w14:paraId="2C411586"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60" w:history="1">
        <w:r w:rsidR="00F53B92" w:rsidRPr="00836100">
          <w:rPr>
            <w:rStyle w:val="Hyperlink"/>
            <w:noProof/>
          </w:rPr>
          <w:t>Table 5: CS&amp;H investment and the location quotient of creative firms</w:t>
        </w:r>
        <w:r w:rsidR="00F53B92">
          <w:rPr>
            <w:noProof/>
            <w:webHidden/>
          </w:rPr>
          <w:tab/>
        </w:r>
        <w:r w:rsidR="00F53B92">
          <w:rPr>
            <w:noProof/>
            <w:webHidden/>
          </w:rPr>
          <w:fldChar w:fldCharType="begin"/>
        </w:r>
        <w:r w:rsidR="00F53B92">
          <w:rPr>
            <w:noProof/>
            <w:webHidden/>
          </w:rPr>
          <w:instrText xml:space="preserve"> PAGEREF _Toc467569660 \h </w:instrText>
        </w:r>
        <w:r w:rsidR="00F53B92">
          <w:rPr>
            <w:noProof/>
            <w:webHidden/>
          </w:rPr>
        </w:r>
        <w:r w:rsidR="00F53B92">
          <w:rPr>
            <w:noProof/>
            <w:webHidden/>
          </w:rPr>
          <w:fldChar w:fldCharType="separate"/>
        </w:r>
        <w:r w:rsidR="00F53B92">
          <w:rPr>
            <w:noProof/>
            <w:webHidden/>
          </w:rPr>
          <w:t>30</w:t>
        </w:r>
        <w:r w:rsidR="00F53B92">
          <w:rPr>
            <w:noProof/>
            <w:webHidden/>
          </w:rPr>
          <w:fldChar w:fldCharType="end"/>
        </w:r>
      </w:hyperlink>
    </w:p>
    <w:p w14:paraId="57E38E78"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61" w:history="1">
        <w:r w:rsidR="00F53B92" w:rsidRPr="00836100">
          <w:rPr>
            <w:rStyle w:val="Hyperlink"/>
            <w:noProof/>
          </w:rPr>
          <w:t xml:space="preserve">Table 6: </w:t>
        </w:r>
        <w:r w:rsidR="00F53B92" w:rsidRPr="00836100">
          <w:rPr>
            <w:rStyle w:val="Hyperlink"/>
            <w:rFonts w:eastAsia="Calibri"/>
            <w:noProof/>
          </w:rPr>
          <w:t>CS&amp;H investment and net migration of creative firms</w:t>
        </w:r>
        <w:r w:rsidR="00F53B92">
          <w:rPr>
            <w:noProof/>
            <w:webHidden/>
          </w:rPr>
          <w:tab/>
        </w:r>
        <w:r w:rsidR="00F53B92">
          <w:rPr>
            <w:noProof/>
            <w:webHidden/>
          </w:rPr>
          <w:fldChar w:fldCharType="begin"/>
        </w:r>
        <w:r w:rsidR="00F53B92">
          <w:rPr>
            <w:noProof/>
            <w:webHidden/>
          </w:rPr>
          <w:instrText xml:space="preserve"> PAGEREF _Toc467569661 \h </w:instrText>
        </w:r>
        <w:r w:rsidR="00F53B92">
          <w:rPr>
            <w:noProof/>
            <w:webHidden/>
          </w:rPr>
        </w:r>
        <w:r w:rsidR="00F53B92">
          <w:rPr>
            <w:noProof/>
            <w:webHidden/>
          </w:rPr>
          <w:fldChar w:fldCharType="separate"/>
        </w:r>
        <w:r w:rsidR="00F53B92">
          <w:rPr>
            <w:noProof/>
            <w:webHidden/>
          </w:rPr>
          <w:t>31</w:t>
        </w:r>
        <w:r w:rsidR="00F53B92">
          <w:rPr>
            <w:noProof/>
            <w:webHidden/>
          </w:rPr>
          <w:fldChar w:fldCharType="end"/>
        </w:r>
      </w:hyperlink>
    </w:p>
    <w:p w14:paraId="4FDD74CC"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62" w:history="1">
        <w:r w:rsidR="00F53B92" w:rsidRPr="00836100">
          <w:rPr>
            <w:rStyle w:val="Hyperlink"/>
            <w:noProof/>
          </w:rPr>
          <w:t>Table 7: CS&amp;H investment and creative firms’ turnover</w:t>
        </w:r>
        <w:r w:rsidR="00F53B92">
          <w:rPr>
            <w:noProof/>
            <w:webHidden/>
          </w:rPr>
          <w:tab/>
        </w:r>
        <w:r w:rsidR="00F53B92">
          <w:rPr>
            <w:noProof/>
            <w:webHidden/>
          </w:rPr>
          <w:fldChar w:fldCharType="begin"/>
        </w:r>
        <w:r w:rsidR="00F53B92">
          <w:rPr>
            <w:noProof/>
            <w:webHidden/>
          </w:rPr>
          <w:instrText xml:space="preserve"> PAGEREF _Toc467569662 \h </w:instrText>
        </w:r>
        <w:r w:rsidR="00F53B92">
          <w:rPr>
            <w:noProof/>
            <w:webHidden/>
          </w:rPr>
        </w:r>
        <w:r w:rsidR="00F53B92">
          <w:rPr>
            <w:noProof/>
            <w:webHidden/>
          </w:rPr>
          <w:fldChar w:fldCharType="separate"/>
        </w:r>
        <w:r w:rsidR="00F53B92">
          <w:rPr>
            <w:noProof/>
            <w:webHidden/>
          </w:rPr>
          <w:t>31</w:t>
        </w:r>
        <w:r w:rsidR="00F53B92">
          <w:rPr>
            <w:noProof/>
            <w:webHidden/>
          </w:rPr>
          <w:fldChar w:fldCharType="end"/>
        </w:r>
      </w:hyperlink>
    </w:p>
    <w:p w14:paraId="7DD6A2D4"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63" w:history="1">
        <w:r w:rsidR="00F53B92" w:rsidRPr="00836100">
          <w:rPr>
            <w:rStyle w:val="Hyperlink"/>
            <w:noProof/>
          </w:rPr>
          <w:t>Table 8: R</w:t>
        </w:r>
        <w:r w:rsidR="00F53B92" w:rsidRPr="00836100">
          <w:rPr>
            <w:rStyle w:val="Hyperlink"/>
            <w:rFonts w:eastAsia="Calibri"/>
            <w:noProof/>
          </w:rPr>
          <w:t>elationships between other industries and CS&amp;H assets and investment</w:t>
        </w:r>
        <w:r w:rsidR="00F53B92">
          <w:rPr>
            <w:noProof/>
            <w:webHidden/>
          </w:rPr>
          <w:tab/>
        </w:r>
        <w:r w:rsidR="00F53B92">
          <w:rPr>
            <w:noProof/>
            <w:webHidden/>
          </w:rPr>
          <w:fldChar w:fldCharType="begin"/>
        </w:r>
        <w:r w:rsidR="00F53B92">
          <w:rPr>
            <w:noProof/>
            <w:webHidden/>
          </w:rPr>
          <w:instrText xml:space="preserve"> PAGEREF _Toc467569663 \h </w:instrText>
        </w:r>
        <w:r w:rsidR="00F53B92">
          <w:rPr>
            <w:noProof/>
            <w:webHidden/>
          </w:rPr>
        </w:r>
        <w:r w:rsidR="00F53B92">
          <w:rPr>
            <w:noProof/>
            <w:webHidden/>
          </w:rPr>
          <w:fldChar w:fldCharType="separate"/>
        </w:r>
        <w:r w:rsidR="00F53B92">
          <w:rPr>
            <w:noProof/>
            <w:webHidden/>
          </w:rPr>
          <w:t>33</w:t>
        </w:r>
        <w:r w:rsidR="00F53B92">
          <w:rPr>
            <w:noProof/>
            <w:webHidden/>
          </w:rPr>
          <w:fldChar w:fldCharType="end"/>
        </w:r>
      </w:hyperlink>
    </w:p>
    <w:p w14:paraId="2E318E5C"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64" w:history="1">
        <w:r w:rsidR="00F53B92" w:rsidRPr="00836100">
          <w:rPr>
            <w:rStyle w:val="Hyperlink"/>
            <w:noProof/>
          </w:rPr>
          <w:t>Table 9: Location decision factors and post-relocation value</w:t>
        </w:r>
        <w:r w:rsidR="00F53B92">
          <w:rPr>
            <w:noProof/>
            <w:webHidden/>
          </w:rPr>
          <w:tab/>
        </w:r>
        <w:r w:rsidR="00F53B92">
          <w:rPr>
            <w:noProof/>
            <w:webHidden/>
          </w:rPr>
          <w:fldChar w:fldCharType="begin"/>
        </w:r>
        <w:r w:rsidR="00F53B92">
          <w:rPr>
            <w:noProof/>
            <w:webHidden/>
          </w:rPr>
          <w:instrText xml:space="preserve"> PAGEREF _Toc467569664 \h </w:instrText>
        </w:r>
        <w:r w:rsidR="00F53B92">
          <w:rPr>
            <w:noProof/>
            <w:webHidden/>
          </w:rPr>
        </w:r>
        <w:r w:rsidR="00F53B92">
          <w:rPr>
            <w:noProof/>
            <w:webHidden/>
          </w:rPr>
          <w:fldChar w:fldCharType="separate"/>
        </w:r>
        <w:r w:rsidR="00F53B92">
          <w:rPr>
            <w:noProof/>
            <w:webHidden/>
          </w:rPr>
          <w:t>51</w:t>
        </w:r>
        <w:r w:rsidR="00F53B92">
          <w:rPr>
            <w:noProof/>
            <w:webHidden/>
          </w:rPr>
          <w:fldChar w:fldCharType="end"/>
        </w:r>
      </w:hyperlink>
    </w:p>
    <w:p w14:paraId="3E2F3644"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65" w:history="1">
        <w:r w:rsidR="00F53B92" w:rsidRPr="00836100">
          <w:rPr>
            <w:rStyle w:val="Hyperlink"/>
            <w:noProof/>
          </w:rPr>
          <w:t>Table 10: Selected correlations between CS&amp;H investment and economic indicators, 2013</w:t>
        </w:r>
        <w:r w:rsidR="00F53B92">
          <w:rPr>
            <w:noProof/>
            <w:webHidden/>
          </w:rPr>
          <w:tab/>
        </w:r>
        <w:r w:rsidR="00F53B92">
          <w:rPr>
            <w:noProof/>
            <w:webHidden/>
          </w:rPr>
          <w:fldChar w:fldCharType="begin"/>
        </w:r>
        <w:r w:rsidR="00F53B92">
          <w:rPr>
            <w:noProof/>
            <w:webHidden/>
          </w:rPr>
          <w:instrText xml:space="preserve"> PAGEREF _Toc467569665 \h </w:instrText>
        </w:r>
        <w:r w:rsidR="00F53B92">
          <w:rPr>
            <w:noProof/>
            <w:webHidden/>
          </w:rPr>
        </w:r>
        <w:r w:rsidR="00F53B92">
          <w:rPr>
            <w:noProof/>
            <w:webHidden/>
          </w:rPr>
          <w:fldChar w:fldCharType="separate"/>
        </w:r>
        <w:r w:rsidR="00F53B92">
          <w:rPr>
            <w:noProof/>
            <w:webHidden/>
          </w:rPr>
          <w:t>78</w:t>
        </w:r>
        <w:r w:rsidR="00F53B92">
          <w:rPr>
            <w:noProof/>
            <w:webHidden/>
          </w:rPr>
          <w:fldChar w:fldCharType="end"/>
        </w:r>
      </w:hyperlink>
    </w:p>
    <w:p w14:paraId="34419630"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66" w:history="1">
        <w:r w:rsidR="00F53B92" w:rsidRPr="00836100">
          <w:rPr>
            <w:rStyle w:val="Hyperlink"/>
            <w:noProof/>
          </w:rPr>
          <w:t>Table 11: Selected correlations between CS&amp;H assets and economic indicators, 2013</w:t>
        </w:r>
        <w:r w:rsidR="00F53B92">
          <w:rPr>
            <w:noProof/>
            <w:webHidden/>
          </w:rPr>
          <w:tab/>
        </w:r>
        <w:r w:rsidR="00F53B92">
          <w:rPr>
            <w:noProof/>
            <w:webHidden/>
          </w:rPr>
          <w:fldChar w:fldCharType="begin"/>
        </w:r>
        <w:r w:rsidR="00F53B92">
          <w:rPr>
            <w:noProof/>
            <w:webHidden/>
          </w:rPr>
          <w:instrText xml:space="preserve"> PAGEREF _Toc467569666 \h </w:instrText>
        </w:r>
        <w:r w:rsidR="00F53B92">
          <w:rPr>
            <w:noProof/>
            <w:webHidden/>
          </w:rPr>
        </w:r>
        <w:r w:rsidR="00F53B92">
          <w:rPr>
            <w:noProof/>
            <w:webHidden/>
          </w:rPr>
          <w:fldChar w:fldCharType="separate"/>
        </w:r>
        <w:r w:rsidR="00F53B92">
          <w:rPr>
            <w:noProof/>
            <w:webHidden/>
          </w:rPr>
          <w:t>81</w:t>
        </w:r>
        <w:r w:rsidR="00F53B92">
          <w:rPr>
            <w:noProof/>
            <w:webHidden/>
          </w:rPr>
          <w:fldChar w:fldCharType="end"/>
        </w:r>
      </w:hyperlink>
    </w:p>
    <w:p w14:paraId="532B6DDA" w14:textId="77777777" w:rsidR="00F53B92" w:rsidRDefault="003D0350">
      <w:pPr>
        <w:pStyle w:val="TableofFigures"/>
        <w:tabs>
          <w:tab w:val="right" w:leader="dot" w:pos="9344"/>
        </w:tabs>
        <w:rPr>
          <w:rFonts w:asciiTheme="minorHAnsi" w:eastAsiaTheme="minorEastAsia" w:hAnsiTheme="minorHAnsi" w:cstheme="minorBidi"/>
          <w:noProof/>
          <w:szCs w:val="22"/>
          <w:lang w:eastAsia="en-GB"/>
        </w:rPr>
      </w:pPr>
      <w:hyperlink w:anchor="_Toc467569667" w:history="1">
        <w:r w:rsidR="00F53B92" w:rsidRPr="00836100">
          <w:rPr>
            <w:rStyle w:val="Hyperlink"/>
            <w:noProof/>
          </w:rPr>
          <w:t>Table 12: Assets and investment datasets reviewed</w:t>
        </w:r>
        <w:r w:rsidR="00F53B92">
          <w:rPr>
            <w:noProof/>
            <w:webHidden/>
          </w:rPr>
          <w:tab/>
        </w:r>
        <w:r w:rsidR="00F53B92">
          <w:rPr>
            <w:noProof/>
            <w:webHidden/>
          </w:rPr>
          <w:fldChar w:fldCharType="begin"/>
        </w:r>
        <w:r w:rsidR="00F53B92">
          <w:rPr>
            <w:noProof/>
            <w:webHidden/>
          </w:rPr>
          <w:instrText xml:space="preserve"> PAGEREF _Toc467569667 \h </w:instrText>
        </w:r>
        <w:r w:rsidR="00F53B92">
          <w:rPr>
            <w:noProof/>
            <w:webHidden/>
          </w:rPr>
        </w:r>
        <w:r w:rsidR="00F53B92">
          <w:rPr>
            <w:noProof/>
            <w:webHidden/>
          </w:rPr>
          <w:fldChar w:fldCharType="separate"/>
        </w:r>
        <w:r w:rsidR="00F53B92">
          <w:rPr>
            <w:noProof/>
            <w:webHidden/>
          </w:rPr>
          <w:t>83</w:t>
        </w:r>
        <w:r w:rsidR="00F53B92">
          <w:rPr>
            <w:noProof/>
            <w:webHidden/>
          </w:rPr>
          <w:fldChar w:fldCharType="end"/>
        </w:r>
      </w:hyperlink>
    </w:p>
    <w:p w14:paraId="1618AEA9" w14:textId="77777777" w:rsidR="00C22878" w:rsidRPr="00514EFA" w:rsidRDefault="00AD0C23" w:rsidP="00F9372E">
      <w:pPr>
        <w:ind w:left="0" w:right="-754"/>
        <w:rPr>
          <w:rFonts w:cs="Arial"/>
          <w:b/>
          <w:bCs/>
        </w:rPr>
      </w:pPr>
      <w:r w:rsidRPr="00514EFA">
        <w:rPr>
          <w:rFonts w:cs="Arial"/>
          <w:b/>
          <w:bCs/>
        </w:rPr>
        <w:fldChar w:fldCharType="end"/>
      </w:r>
    </w:p>
    <w:p w14:paraId="4BF133CE" w14:textId="77777777" w:rsidR="00C22878" w:rsidRPr="00514EFA" w:rsidRDefault="00C22878" w:rsidP="00F9372E">
      <w:pPr>
        <w:ind w:left="0" w:right="-754"/>
        <w:rPr>
          <w:rFonts w:cs="Arial"/>
          <w:b/>
          <w:bCs/>
        </w:rPr>
      </w:pPr>
    </w:p>
    <w:p w14:paraId="5A2CBB6B" w14:textId="77777777" w:rsidR="00C22878" w:rsidRPr="00514EFA" w:rsidRDefault="00C22878" w:rsidP="00F9372E">
      <w:pPr>
        <w:ind w:left="0" w:right="-754"/>
        <w:rPr>
          <w:rFonts w:cs="Arial"/>
          <w:b/>
          <w:bCs/>
        </w:rPr>
        <w:sectPr w:rsidR="00C22878" w:rsidRPr="00514EFA" w:rsidSect="00796D8C">
          <w:headerReference w:type="default" r:id="rId22"/>
          <w:pgSz w:w="11906" w:h="16838" w:code="9"/>
          <w:pgMar w:top="1134" w:right="1134" w:bottom="1418" w:left="1418" w:header="709" w:footer="408" w:gutter="0"/>
          <w:pgNumType w:start="1"/>
          <w:cols w:space="708"/>
          <w:docGrid w:linePitch="360"/>
        </w:sectPr>
      </w:pPr>
    </w:p>
    <w:p w14:paraId="74928852" w14:textId="522C35B2" w:rsidR="00C41C54" w:rsidRPr="003C72B4" w:rsidRDefault="00C41C54" w:rsidP="00F87951">
      <w:pPr>
        <w:pStyle w:val="Heading1Numbered"/>
      </w:pPr>
      <w:bookmarkStart w:id="1" w:name="_Ref460315620"/>
      <w:bookmarkStart w:id="2" w:name="_Toc467569574"/>
      <w:r w:rsidRPr="003C72B4">
        <w:lastRenderedPageBreak/>
        <w:t>Executive Summary</w:t>
      </w:r>
      <w:bookmarkEnd w:id="1"/>
      <w:bookmarkEnd w:id="2"/>
    </w:p>
    <w:p w14:paraId="6ACA6763" w14:textId="24A3A546" w:rsidR="008E5314" w:rsidRPr="00514EFA" w:rsidRDefault="008E5314" w:rsidP="00176CC9">
      <w:pPr>
        <w:pStyle w:val="Heading2Numbered"/>
      </w:pPr>
      <w:bookmarkStart w:id="3" w:name="_Toc467569575"/>
      <w:r w:rsidRPr="00514EFA">
        <w:t>Study aims and objectives</w:t>
      </w:r>
      <w:bookmarkEnd w:id="3"/>
    </w:p>
    <w:p w14:paraId="606B91C8" w14:textId="42B25A54" w:rsidR="00176CC9" w:rsidRPr="00514EFA" w:rsidRDefault="00176CC9" w:rsidP="00176CC9">
      <w:pPr>
        <w:rPr>
          <w:rFonts w:cs="Arial"/>
        </w:rPr>
      </w:pPr>
      <w:r w:rsidRPr="00514EFA">
        <w:rPr>
          <w:rFonts w:cs="Arial"/>
        </w:rPr>
        <w:t>The CASE programme is a joint strategic research programme led by the Department for Culture, Media and Sport (DCMS) and its sector leading arms-length bodies: Arts Council England, Historic England and Sport England. CASE use</w:t>
      </w:r>
      <w:r w:rsidR="000B13F1">
        <w:rPr>
          <w:rFonts w:cs="Arial"/>
        </w:rPr>
        <w:t>s</w:t>
      </w:r>
      <w:r w:rsidRPr="00514EFA">
        <w:rPr>
          <w:rFonts w:cs="Arial"/>
        </w:rPr>
        <w:t xml:space="preserve"> interdisciplinary research methods and analysis to inform the development of policy in culture and sport. </w:t>
      </w:r>
    </w:p>
    <w:p w14:paraId="0DB47F8C" w14:textId="39308F4E" w:rsidR="00176CC9" w:rsidRPr="00514EFA" w:rsidRDefault="00176CC9" w:rsidP="00176CC9">
      <w:pPr>
        <w:rPr>
          <w:rFonts w:cs="Arial"/>
        </w:rPr>
      </w:pPr>
      <w:r w:rsidRPr="00514EFA">
        <w:rPr>
          <w:rFonts w:cs="Arial"/>
        </w:rPr>
        <w:t>As part of its commitment to build an evidence base regarding the role that culture, sport and heritage (CS&amp;H) play in driving positive economic and social outcomes in local places, in 2015 the CASE programme commissioned a partnership led by Trends Business Research Ltd (TBR)</w:t>
      </w:r>
      <w:r w:rsidR="00AC2448" w:rsidRPr="00514EFA">
        <w:rPr>
          <w:rFonts w:cs="Arial"/>
        </w:rPr>
        <w:t xml:space="preserve"> </w:t>
      </w:r>
      <w:r w:rsidRPr="00514EFA">
        <w:rPr>
          <w:rFonts w:cs="Arial"/>
        </w:rPr>
        <w:t xml:space="preserve">and including NEF Consulting </w:t>
      </w:r>
      <w:r w:rsidR="000B13F1">
        <w:rPr>
          <w:rFonts w:cs="Arial"/>
        </w:rPr>
        <w:t xml:space="preserve">Ltd </w:t>
      </w:r>
      <w:r w:rsidRPr="00514EFA">
        <w:rPr>
          <w:rFonts w:cs="Arial"/>
        </w:rPr>
        <w:t>and Middlesex University to undertake this study.</w:t>
      </w:r>
    </w:p>
    <w:p w14:paraId="20A21B81" w14:textId="0CF22741" w:rsidR="004E4628" w:rsidRPr="00514EFA" w:rsidRDefault="004E4628" w:rsidP="004E4628">
      <w:pPr>
        <w:rPr>
          <w:rFonts w:cs="Arial"/>
        </w:rPr>
      </w:pPr>
      <w:r w:rsidRPr="00514EFA">
        <w:rPr>
          <w:rFonts w:cs="Arial"/>
        </w:rPr>
        <w:t xml:space="preserve">This study focuses on generating evidence </w:t>
      </w:r>
      <w:r w:rsidR="002759AD">
        <w:rPr>
          <w:rFonts w:cs="Arial"/>
        </w:rPr>
        <w:t xml:space="preserve">in relation to whether </w:t>
      </w:r>
      <w:r w:rsidR="000B13F1" w:rsidRPr="00514EFA">
        <w:rPr>
          <w:rFonts w:cs="Arial"/>
        </w:rPr>
        <w:t xml:space="preserve">culture, sport and heritage </w:t>
      </w:r>
      <w:r w:rsidRPr="00514EFA">
        <w:rPr>
          <w:rFonts w:cs="Arial"/>
        </w:rPr>
        <w:t xml:space="preserve">infrastructure and investment have the ability to promote and drive positive economic and social outcomes at the local level. </w:t>
      </w:r>
      <w:r w:rsidR="000B13F1">
        <w:rPr>
          <w:rFonts w:cs="Arial"/>
        </w:rPr>
        <w:t>It</w:t>
      </w:r>
      <w:r w:rsidRPr="00514EFA">
        <w:rPr>
          <w:rFonts w:cs="Arial"/>
        </w:rPr>
        <w:t xml:space="preserve"> </w:t>
      </w:r>
      <w:r w:rsidR="000B13F1">
        <w:rPr>
          <w:rFonts w:cs="Arial"/>
        </w:rPr>
        <w:t>aim</w:t>
      </w:r>
      <w:r w:rsidRPr="00514EFA">
        <w:rPr>
          <w:rFonts w:cs="Arial"/>
        </w:rPr>
        <w:t xml:space="preserve">s to examine the extent to which </w:t>
      </w:r>
      <w:r w:rsidR="000B13F1" w:rsidRPr="00514EFA">
        <w:rPr>
          <w:rFonts w:cs="Arial"/>
        </w:rPr>
        <w:t xml:space="preserve">culture, sport and heritage </w:t>
      </w:r>
      <w:r w:rsidRPr="00514EFA">
        <w:rPr>
          <w:rFonts w:cs="Arial"/>
        </w:rPr>
        <w:t>infrastructure and investment within a place influence (through direct and indirect impacts, tangible and intangible) the economy and society of that place.</w:t>
      </w:r>
      <w:r w:rsidR="00A033C6">
        <w:rPr>
          <w:rFonts w:cs="Arial"/>
        </w:rPr>
        <w:t xml:space="preserve"> </w:t>
      </w:r>
      <w:r>
        <w:rPr>
          <w:rFonts w:cs="Arial"/>
        </w:rPr>
        <w:t>Crucially, the study focuses on a range of potential economic</w:t>
      </w:r>
      <w:r w:rsidR="00A033C6">
        <w:rPr>
          <w:rFonts w:cs="Arial"/>
        </w:rPr>
        <w:t xml:space="preserve"> </w:t>
      </w:r>
      <w:r>
        <w:rPr>
          <w:rFonts w:cs="Arial"/>
        </w:rPr>
        <w:t xml:space="preserve">indicators and linkages to the presence of CS&amp;H </w:t>
      </w:r>
      <w:r w:rsidR="000B13F1">
        <w:rPr>
          <w:rFonts w:cs="Arial"/>
        </w:rPr>
        <w:t>infrastructure (‘</w:t>
      </w:r>
      <w:r>
        <w:rPr>
          <w:rFonts w:cs="Arial"/>
        </w:rPr>
        <w:t>assets</w:t>
      </w:r>
      <w:r w:rsidR="000B13F1">
        <w:rPr>
          <w:rFonts w:cs="Arial"/>
        </w:rPr>
        <w:t>’)</w:t>
      </w:r>
      <w:r>
        <w:rPr>
          <w:rFonts w:cs="Arial"/>
        </w:rPr>
        <w:t xml:space="preserve"> and investment.</w:t>
      </w:r>
    </w:p>
    <w:p w14:paraId="039D1091" w14:textId="10A8ED98" w:rsidR="004E4628" w:rsidRPr="00514EFA" w:rsidRDefault="004E4628" w:rsidP="004E4628">
      <w:pPr>
        <w:rPr>
          <w:rFonts w:cs="Arial"/>
          <w:szCs w:val="22"/>
        </w:rPr>
      </w:pPr>
      <w:r>
        <w:rPr>
          <w:rFonts w:cs="Arial"/>
        </w:rPr>
        <w:t xml:space="preserve">The study therefore represents </w:t>
      </w:r>
      <w:r w:rsidRPr="00980CF7">
        <w:rPr>
          <w:rFonts w:cs="Arial"/>
        </w:rPr>
        <w:t>a</w:t>
      </w:r>
      <w:r w:rsidR="00980CF7" w:rsidRPr="00980CF7">
        <w:rPr>
          <w:rFonts w:cs="Arial"/>
        </w:rPr>
        <w:t xml:space="preserve"> starting</w:t>
      </w:r>
      <w:r w:rsidRPr="00980CF7">
        <w:rPr>
          <w:rFonts w:cs="Arial"/>
        </w:rPr>
        <w:t xml:space="preserve"> point</w:t>
      </w:r>
      <w:r>
        <w:rPr>
          <w:rFonts w:cs="Arial"/>
        </w:rPr>
        <w:t xml:space="preserve"> for research which seeks to resolve the wider question of the role of CS&amp;H assets and investment in place-shaping.</w:t>
      </w:r>
    </w:p>
    <w:p w14:paraId="10F53518" w14:textId="40D89559" w:rsidR="00236F8E" w:rsidRPr="00514EFA" w:rsidRDefault="00236F8E" w:rsidP="00236F8E">
      <w:pPr>
        <w:rPr>
          <w:rFonts w:cs="Arial"/>
        </w:rPr>
      </w:pPr>
      <w:r w:rsidRPr="00514EFA">
        <w:rPr>
          <w:rFonts w:cs="Arial"/>
        </w:rPr>
        <w:t>The study is by its nature exploratory.</w:t>
      </w:r>
      <w:r w:rsidR="00A033C6">
        <w:rPr>
          <w:rFonts w:cs="Arial"/>
        </w:rPr>
        <w:t xml:space="preserve"> </w:t>
      </w:r>
      <w:r w:rsidRPr="00514EFA">
        <w:rPr>
          <w:rFonts w:cs="Arial"/>
        </w:rPr>
        <w:t xml:space="preserve">It </w:t>
      </w:r>
      <w:r w:rsidR="00753A00">
        <w:rPr>
          <w:rFonts w:cs="Arial"/>
        </w:rPr>
        <w:t>builds</w:t>
      </w:r>
      <w:r w:rsidR="00753A00" w:rsidRPr="00514EFA">
        <w:rPr>
          <w:rFonts w:cs="Arial"/>
        </w:rPr>
        <w:t xml:space="preserve"> </w:t>
      </w:r>
      <w:r w:rsidRPr="00514EFA">
        <w:rPr>
          <w:rFonts w:cs="Arial"/>
        </w:rPr>
        <w:t xml:space="preserve">on a feasibility study published by </w:t>
      </w:r>
      <w:r w:rsidRPr="00A90680">
        <w:rPr>
          <w:rFonts w:cs="Arial"/>
        </w:rPr>
        <w:t xml:space="preserve">the CASE programme in 2011 – </w:t>
      </w:r>
      <w:r w:rsidRPr="00A90680">
        <w:rPr>
          <w:rFonts w:cs="Arial"/>
          <w:i/>
        </w:rPr>
        <w:t>The Art of the Possible</w:t>
      </w:r>
      <w:r w:rsidR="008A3A4A" w:rsidRPr="00A90680">
        <w:rPr>
          <w:rFonts w:cs="Arial"/>
          <w:i/>
        </w:rPr>
        <w:t xml:space="preserve"> </w:t>
      </w:r>
      <w:r w:rsidR="008A3A4A" w:rsidRPr="00A90680">
        <w:rPr>
          <w:rFonts w:cs="Arial"/>
        </w:rPr>
        <w:t>(TBR &amp; Cities Institute, 2011)</w:t>
      </w:r>
      <w:r w:rsidR="00A033C6" w:rsidRPr="00A90680">
        <w:rPr>
          <w:rFonts w:cs="Arial"/>
        </w:rPr>
        <w:t xml:space="preserve"> </w:t>
      </w:r>
      <w:r w:rsidRPr="00514EFA">
        <w:rPr>
          <w:rFonts w:cs="Arial"/>
        </w:rPr>
        <w:t>– which identified techniques and data sources that would support an empirical approach to measuring and evidencing economic and social impacts arising from culture, sport and heritage assets and investment.</w:t>
      </w:r>
    </w:p>
    <w:p w14:paraId="71ED260A" w14:textId="71696940" w:rsidR="008E5314" w:rsidRPr="00514EFA" w:rsidRDefault="008E5314" w:rsidP="00511EC8">
      <w:pPr>
        <w:pStyle w:val="Heading2Numbered"/>
      </w:pPr>
      <w:bookmarkStart w:id="4" w:name="_Toc467569576"/>
      <w:r w:rsidRPr="00514EFA">
        <w:t>Methodology</w:t>
      </w:r>
      <w:bookmarkEnd w:id="4"/>
    </w:p>
    <w:p w14:paraId="12035E64" w14:textId="3CD2DED7" w:rsidR="004E4628" w:rsidRPr="004E4628" w:rsidRDefault="004E4628" w:rsidP="004E4628">
      <w:pPr>
        <w:rPr>
          <w:rFonts w:cs="Arial"/>
          <w:szCs w:val="22"/>
        </w:rPr>
      </w:pPr>
      <w:r w:rsidRPr="004E4628">
        <w:rPr>
          <w:rFonts w:cs="Arial"/>
          <w:szCs w:val="22"/>
        </w:rPr>
        <w:t xml:space="preserve">Previous studies </w:t>
      </w:r>
      <w:r w:rsidR="00753A00">
        <w:rPr>
          <w:rFonts w:cs="Arial"/>
          <w:szCs w:val="22"/>
        </w:rPr>
        <w:t xml:space="preserve">in the UK and internationally </w:t>
      </w:r>
      <w:r w:rsidRPr="004E4628">
        <w:rPr>
          <w:rFonts w:cs="Arial"/>
          <w:szCs w:val="22"/>
        </w:rPr>
        <w:t>have focused on quantifying the links between public and private investment in CS&amp;H and the creation of productive creative industries clusters.</w:t>
      </w:r>
      <w:r w:rsidR="00A033C6">
        <w:rPr>
          <w:rFonts w:cs="Arial"/>
          <w:szCs w:val="22"/>
        </w:rPr>
        <w:t xml:space="preserve"> </w:t>
      </w:r>
      <w:r w:rsidRPr="004E4628">
        <w:rPr>
          <w:rFonts w:cs="Arial"/>
          <w:szCs w:val="22"/>
        </w:rPr>
        <w:t xml:space="preserve">This study builds on this approach and examines first, the links between CS&amp;H assets and investment and local </w:t>
      </w:r>
      <w:r w:rsidR="003C72B4" w:rsidRPr="004E4628">
        <w:rPr>
          <w:rFonts w:cs="Arial"/>
          <w:szCs w:val="22"/>
        </w:rPr>
        <w:t>econom</w:t>
      </w:r>
      <w:r w:rsidR="003C72B4">
        <w:rPr>
          <w:rFonts w:cs="Arial"/>
          <w:szCs w:val="22"/>
        </w:rPr>
        <w:t>ic</w:t>
      </w:r>
      <w:r w:rsidR="003C72B4" w:rsidRPr="004E4628">
        <w:rPr>
          <w:rFonts w:cs="Arial"/>
          <w:szCs w:val="22"/>
        </w:rPr>
        <w:t xml:space="preserve"> </w:t>
      </w:r>
      <w:r w:rsidRPr="004E4628">
        <w:rPr>
          <w:rFonts w:cs="Arial"/>
          <w:szCs w:val="22"/>
        </w:rPr>
        <w:t xml:space="preserve">performance more generally and </w:t>
      </w:r>
      <w:r w:rsidRPr="00C17BF2">
        <w:rPr>
          <w:rFonts w:cs="Arial"/>
          <w:szCs w:val="22"/>
        </w:rPr>
        <w:t>secon</w:t>
      </w:r>
      <w:r w:rsidRPr="004E4628">
        <w:rPr>
          <w:rFonts w:cs="Arial"/>
          <w:szCs w:val="22"/>
        </w:rPr>
        <w:t>d, links between CS&amp;H asset</w:t>
      </w:r>
      <w:r w:rsidR="00D44C4D">
        <w:rPr>
          <w:rFonts w:cs="Arial"/>
          <w:szCs w:val="22"/>
        </w:rPr>
        <w:t>s</w:t>
      </w:r>
      <w:r w:rsidRPr="004E4628">
        <w:rPr>
          <w:rFonts w:cs="Arial"/>
          <w:szCs w:val="22"/>
        </w:rPr>
        <w:t xml:space="preserve"> and investment and </w:t>
      </w:r>
      <w:r w:rsidRPr="00C17BF2">
        <w:rPr>
          <w:rFonts w:cs="Arial"/>
          <w:szCs w:val="22"/>
        </w:rPr>
        <w:t>creative industry clusters.</w:t>
      </w:r>
    </w:p>
    <w:p w14:paraId="3FBBC615" w14:textId="3C9AEFF1" w:rsidR="00176CC9" w:rsidRPr="00514EFA" w:rsidRDefault="00D44C4D" w:rsidP="00176CC9">
      <w:pPr>
        <w:rPr>
          <w:rFonts w:cs="Arial"/>
          <w:szCs w:val="22"/>
        </w:rPr>
      </w:pPr>
      <w:r>
        <w:rPr>
          <w:rFonts w:cs="Arial"/>
          <w:szCs w:val="22"/>
        </w:rPr>
        <w:t>D</w:t>
      </w:r>
      <w:r w:rsidR="00E7503E" w:rsidRPr="00514EFA">
        <w:rPr>
          <w:rFonts w:cs="Arial"/>
          <w:szCs w:val="22"/>
        </w:rPr>
        <w:t>ecisions on methodological approach were driven by a number of factors: consideration of the existing literature</w:t>
      </w:r>
      <w:r w:rsidR="003C72B4">
        <w:rPr>
          <w:rFonts w:cs="Arial"/>
          <w:szCs w:val="22"/>
        </w:rPr>
        <w:t>,</w:t>
      </w:r>
      <w:r w:rsidR="003C72B4" w:rsidRPr="00514EFA">
        <w:rPr>
          <w:rFonts w:cs="Arial"/>
          <w:szCs w:val="22"/>
        </w:rPr>
        <w:t xml:space="preserve"> </w:t>
      </w:r>
      <w:r w:rsidR="00E7503E" w:rsidRPr="00514EFA">
        <w:rPr>
          <w:rFonts w:cs="Arial"/>
          <w:szCs w:val="22"/>
        </w:rPr>
        <w:t xml:space="preserve">an assessment of available data for use in any econometric model, and discussions with the client steering group around </w:t>
      </w:r>
      <w:r>
        <w:rPr>
          <w:rFonts w:cs="Arial"/>
          <w:szCs w:val="22"/>
        </w:rPr>
        <w:t>the</w:t>
      </w:r>
      <w:r w:rsidRPr="00514EFA">
        <w:rPr>
          <w:rFonts w:cs="Arial"/>
          <w:szCs w:val="22"/>
        </w:rPr>
        <w:t xml:space="preserve"> </w:t>
      </w:r>
      <w:r w:rsidR="00E7503E" w:rsidRPr="00514EFA">
        <w:rPr>
          <w:rFonts w:cs="Arial"/>
          <w:szCs w:val="22"/>
        </w:rPr>
        <w:t>impact areas to focus on (taking feasibility, evidence gaps and client preference</w:t>
      </w:r>
      <w:r>
        <w:rPr>
          <w:rFonts w:cs="Arial"/>
          <w:szCs w:val="22"/>
        </w:rPr>
        <w:t>s</w:t>
      </w:r>
      <w:r w:rsidR="00E7503E" w:rsidRPr="00514EFA">
        <w:rPr>
          <w:rFonts w:cs="Arial"/>
          <w:szCs w:val="22"/>
        </w:rPr>
        <w:t xml:space="preserve"> into account).</w:t>
      </w:r>
    </w:p>
    <w:p w14:paraId="7D7533CA" w14:textId="30CB8FD9" w:rsidR="003A2B2C" w:rsidRPr="00514EFA" w:rsidRDefault="003A2B2C" w:rsidP="003318C7">
      <w:r w:rsidRPr="00514EFA">
        <w:lastRenderedPageBreak/>
        <w:t xml:space="preserve">The study has generated a </w:t>
      </w:r>
      <w:r w:rsidR="00D44C4D">
        <w:t>large</w:t>
      </w:r>
      <w:r w:rsidRPr="00514EFA">
        <w:t xml:space="preserve">, longitudinal dataset containing </w:t>
      </w:r>
      <w:r w:rsidR="003C72B4">
        <w:t>multiple</w:t>
      </w:r>
      <w:r w:rsidR="003C72B4" w:rsidRPr="00514EFA">
        <w:t xml:space="preserve"> </w:t>
      </w:r>
      <w:r w:rsidRPr="00514EFA">
        <w:t>variables.</w:t>
      </w:r>
      <w:r w:rsidR="00A033C6">
        <w:t xml:space="preserve"> </w:t>
      </w:r>
      <w:r w:rsidRPr="00514EFA">
        <w:t>These were employed in the econometric models as either independent variables (i.e. CS&amp;H assets, CS&amp;H investments), dependent variables (</w:t>
      </w:r>
      <w:r w:rsidR="00D44C4D">
        <w:t>e.g</w:t>
      </w:r>
      <w:r w:rsidR="003C72B4">
        <w:t>.</w:t>
      </w:r>
      <w:r w:rsidRPr="00514EFA">
        <w:t xml:space="preserve"> firm density per capita, turnover, net firm migration) or control variables (e.g. transport infrastructure, population).</w:t>
      </w:r>
      <w:r w:rsidR="00A033C6">
        <w:t xml:space="preserve"> </w:t>
      </w:r>
      <w:r w:rsidR="0049684A" w:rsidRPr="00514EFA">
        <w:t>The dataset cover</w:t>
      </w:r>
      <w:r w:rsidR="003C72B4">
        <w:t>s</w:t>
      </w:r>
      <w:r w:rsidR="0049684A" w:rsidRPr="00514EFA">
        <w:t xml:space="preserve"> the time period 2003</w:t>
      </w:r>
      <w:r w:rsidR="003C72B4">
        <w:t>–</w:t>
      </w:r>
      <w:r w:rsidR="0049684A" w:rsidRPr="00514EFA">
        <w:t>2013 and the data are collected at the local authority level.</w:t>
      </w:r>
    </w:p>
    <w:p w14:paraId="5B259F73" w14:textId="369C4A2D" w:rsidR="006F4AA8" w:rsidRPr="00514EFA" w:rsidRDefault="006169F7" w:rsidP="003318C7">
      <w:r w:rsidRPr="00514EFA">
        <w:t xml:space="preserve">We exploited </w:t>
      </w:r>
      <w:r w:rsidR="003C72B4">
        <w:t>this</w:t>
      </w:r>
      <w:r w:rsidR="003C72B4" w:rsidRPr="00514EFA">
        <w:t xml:space="preserve"> </w:t>
      </w:r>
      <w:r w:rsidRPr="00514EFA">
        <w:t xml:space="preserve">rich dataset to conduct an econometric analysis, </w:t>
      </w:r>
      <w:r w:rsidR="00980CF7" w:rsidRPr="00980CF7">
        <w:t xml:space="preserve">exploring </w:t>
      </w:r>
      <w:r w:rsidRPr="00980CF7">
        <w:t>these links</w:t>
      </w:r>
      <w:r w:rsidRPr="00514EFA">
        <w:t xml:space="preserve"> both cross-sectionally and longitudinally over the last ten years.</w:t>
      </w:r>
      <w:r w:rsidR="006F4AA8" w:rsidRPr="00514EFA">
        <w:t xml:space="preserve"> Our general strategy has been highly exploratory, controlling for as many determinants of outcomes as possible </w:t>
      </w:r>
      <w:r w:rsidR="006E235A">
        <w:t xml:space="preserve">in order </w:t>
      </w:r>
      <w:r w:rsidR="006F4AA8" w:rsidRPr="00514EFA">
        <w:t xml:space="preserve">to identify push/pull factors of location and economic success. These </w:t>
      </w:r>
      <w:r w:rsidR="006E235A">
        <w:t xml:space="preserve">factors </w:t>
      </w:r>
      <w:r w:rsidR="006F4AA8" w:rsidRPr="00514EFA">
        <w:t xml:space="preserve">are </w:t>
      </w:r>
      <w:r w:rsidR="006E235A">
        <w:t>identified in</w:t>
      </w:r>
      <w:r w:rsidR="006F4AA8" w:rsidRPr="00514EFA">
        <w:t xml:space="preserve"> multiple studies as </w:t>
      </w:r>
      <w:r w:rsidR="006E235A">
        <w:t>cited</w:t>
      </w:r>
      <w:r w:rsidR="006E235A" w:rsidRPr="00514EFA">
        <w:t xml:space="preserve"> </w:t>
      </w:r>
      <w:r w:rsidR="006F4AA8" w:rsidRPr="00514EFA">
        <w:t>in Arzauzo-Carod et al</w:t>
      </w:r>
      <w:r w:rsidR="00AC2448">
        <w:t xml:space="preserve"> (2009)</w:t>
      </w:r>
      <w:r w:rsidR="006F4AA8" w:rsidRPr="00514EFA">
        <w:t>, and Lazzeretti et al</w:t>
      </w:r>
      <w:r w:rsidR="00AC2448">
        <w:t xml:space="preserve"> (2009)</w:t>
      </w:r>
      <w:r w:rsidR="006F4AA8" w:rsidRPr="00514EFA">
        <w:t>, combining multidisciplinary approaches based on cultural economics, evolutionary geography and urban economics.</w:t>
      </w:r>
    </w:p>
    <w:p w14:paraId="61EBC34A" w14:textId="71737483" w:rsidR="00F23430" w:rsidRPr="00514EFA" w:rsidRDefault="00F23430" w:rsidP="00F23430">
      <w:pPr>
        <w:pStyle w:val="Heading2Numbered"/>
      </w:pPr>
      <w:bookmarkStart w:id="5" w:name="_Toc467569577"/>
      <w:r w:rsidRPr="00514EFA">
        <w:t>Key findings – all firms</w:t>
      </w:r>
      <w:bookmarkEnd w:id="5"/>
    </w:p>
    <w:p w14:paraId="31A5399E" w14:textId="6E27D6DF" w:rsidR="008377F6" w:rsidRDefault="00980CF7" w:rsidP="008377F6">
      <w:pPr>
        <w:rPr>
          <w:rFonts w:cs="Arial"/>
        </w:rPr>
      </w:pPr>
      <w:r w:rsidRPr="00980CF7">
        <w:rPr>
          <w:rFonts w:cs="Arial"/>
        </w:rPr>
        <w:t xml:space="preserve">This section presents </w:t>
      </w:r>
      <w:r w:rsidR="008377F6" w:rsidRPr="00980CF7">
        <w:rPr>
          <w:rFonts w:cs="Arial"/>
        </w:rPr>
        <w:t xml:space="preserve">key findings from the econometric estimation and analysis of the links between CS&amp;H assets and investment and </w:t>
      </w:r>
      <w:r w:rsidR="001A215D" w:rsidRPr="000F6B69">
        <w:rPr>
          <w:rFonts w:cs="Arial"/>
        </w:rPr>
        <w:t>local economic performance</w:t>
      </w:r>
      <w:r w:rsidRPr="00BB0A2F">
        <w:rPr>
          <w:rFonts w:cs="Arial"/>
        </w:rPr>
        <w:t>.</w:t>
      </w:r>
    </w:p>
    <w:p w14:paraId="62EDA024" w14:textId="40C154B7" w:rsidR="00D262DC" w:rsidRPr="00C138AC" w:rsidRDefault="00D262DC" w:rsidP="008377F6">
      <w:pPr>
        <w:rPr>
          <w:rFonts w:cs="Arial"/>
          <w:b/>
        </w:rPr>
      </w:pPr>
      <w:r>
        <w:rPr>
          <w:rFonts w:cs="Arial"/>
          <w:b/>
        </w:rPr>
        <w:t>CS&amp;H assets</w:t>
      </w:r>
    </w:p>
    <w:p w14:paraId="24BEEE7A" w14:textId="714CCD74" w:rsidR="00500A2B" w:rsidRPr="00500A2B" w:rsidRDefault="00500A2B" w:rsidP="00F65463">
      <w:pPr>
        <w:pStyle w:val="Bullet"/>
      </w:pPr>
      <w:r>
        <w:rPr>
          <w:rFonts w:eastAsia="Calibri"/>
        </w:rPr>
        <w:t>T</w:t>
      </w:r>
      <w:r w:rsidRPr="00514EFA">
        <w:rPr>
          <w:rFonts w:eastAsia="Calibri"/>
        </w:rPr>
        <w:t xml:space="preserve">he density of cultural and heritage assets </w:t>
      </w:r>
      <w:r>
        <w:rPr>
          <w:rFonts w:eastAsia="Calibri"/>
        </w:rPr>
        <w:t>is</w:t>
      </w:r>
      <w:r w:rsidRPr="00514EFA">
        <w:rPr>
          <w:rFonts w:eastAsia="Calibri"/>
        </w:rPr>
        <w:t xml:space="preserve"> highly and positively related to the density of firms in a local economy, indicating that where there are high densities of theatres, museums, monuments and so on, we tend to find concentrations of economic activity</w:t>
      </w:r>
      <w:r w:rsidR="003C63DF">
        <w:rPr>
          <w:rFonts w:eastAsia="Calibri"/>
        </w:rPr>
        <w:t>.</w:t>
      </w:r>
    </w:p>
    <w:p w14:paraId="0DF6B3C1" w14:textId="005611BD" w:rsidR="00500A2B" w:rsidRPr="00500A2B" w:rsidRDefault="00500A2B" w:rsidP="00F65463">
      <w:pPr>
        <w:pStyle w:val="Bullet"/>
      </w:pPr>
      <w:r>
        <w:rPr>
          <w:rFonts w:eastAsia="Calibri"/>
        </w:rPr>
        <w:t>T</w:t>
      </w:r>
      <w:r w:rsidRPr="00514EFA">
        <w:rPr>
          <w:rFonts w:eastAsia="Calibri"/>
        </w:rPr>
        <w:t xml:space="preserve">he density of cultural assets is found to be positively and strongly related to the </w:t>
      </w:r>
      <w:r>
        <w:rPr>
          <w:rFonts w:eastAsia="Calibri"/>
        </w:rPr>
        <w:t xml:space="preserve">net </w:t>
      </w:r>
      <w:r w:rsidRPr="00514EFA">
        <w:rPr>
          <w:rFonts w:eastAsia="Calibri"/>
        </w:rPr>
        <w:t>in-migration of businesses, which suggests that such assets are important ‘pull’ factors which influence location decisions.</w:t>
      </w:r>
      <w:r>
        <w:rPr>
          <w:rFonts w:eastAsia="Calibri"/>
        </w:rPr>
        <w:t xml:space="preserve"> </w:t>
      </w:r>
    </w:p>
    <w:p w14:paraId="7FE727B8" w14:textId="0A9A7FC0" w:rsidR="00F23430" w:rsidRDefault="00F31DEE" w:rsidP="00F65463">
      <w:pPr>
        <w:pStyle w:val="Bullet"/>
      </w:pPr>
      <w:r w:rsidRPr="00514EFA">
        <w:rPr>
          <w:rFonts w:eastAsia="Calibri"/>
        </w:rPr>
        <w:t>These findings hold regardless of the urban scale at which they are examined: cultural assets are equally important as attractors in non-major urban areas as in major urban area</w:t>
      </w:r>
      <w:r>
        <w:rPr>
          <w:rFonts w:eastAsia="Calibri"/>
        </w:rPr>
        <w:t xml:space="preserve">s.  </w:t>
      </w:r>
      <w:r w:rsidR="00F21970" w:rsidRPr="00514EFA">
        <w:t>T</w:t>
      </w:r>
      <w:r w:rsidR="00F23430" w:rsidRPr="00514EFA">
        <w:t xml:space="preserve">his is an important result as </w:t>
      </w:r>
      <w:r w:rsidR="00F21970" w:rsidRPr="00514EFA">
        <w:t xml:space="preserve">it </w:t>
      </w:r>
      <w:r w:rsidR="00F23430" w:rsidRPr="00514EFA">
        <w:t xml:space="preserve">suggests </w:t>
      </w:r>
      <w:r w:rsidR="001A215D">
        <w:t xml:space="preserve">a direct relationship, and </w:t>
      </w:r>
      <w:r w:rsidR="00F23430" w:rsidRPr="00514EFA">
        <w:t>not simply that agglomeration is driving a high level of both cultural events and a greater concentration of industry.</w:t>
      </w:r>
    </w:p>
    <w:p w14:paraId="188B4ABE" w14:textId="5C34CFE5" w:rsidR="00D262DC" w:rsidRPr="00514EFA" w:rsidRDefault="00D262DC" w:rsidP="00BB7156">
      <w:pPr>
        <w:pStyle w:val="Bullet"/>
        <w:rPr>
          <w:rFonts w:eastAsia="Calibri"/>
        </w:rPr>
      </w:pPr>
      <w:r w:rsidRPr="00514EFA">
        <w:rPr>
          <w:rFonts w:eastAsia="Calibri"/>
        </w:rPr>
        <w:t xml:space="preserve">Turnover of all firms per capita is associated positively with </w:t>
      </w:r>
      <w:r>
        <w:rPr>
          <w:rFonts w:eastAsia="Calibri"/>
        </w:rPr>
        <w:t>heritage</w:t>
      </w:r>
      <w:r w:rsidRPr="00514EFA">
        <w:rPr>
          <w:rFonts w:eastAsia="Calibri"/>
        </w:rPr>
        <w:t xml:space="preserve"> assets density, and more weakly with population</w:t>
      </w:r>
      <w:r w:rsidR="001A215D">
        <w:rPr>
          <w:rFonts w:eastAsia="Calibri"/>
        </w:rPr>
        <w:t xml:space="preserve"> size</w:t>
      </w:r>
      <w:r w:rsidRPr="00514EFA">
        <w:rPr>
          <w:rFonts w:eastAsia="Calibri"/>
        </w:rPr>
        <w:t>. It is also very strongly associated with GVA per capita, although as with number of firms per capita, this result may be subject to simultaneity bias.</w:t>
      </w:r>
    </w:p>
    <w:p w14:paraId="2A3E0CD3" w14:textId="297ECFFF" w:rsidR="00D262DC" w:rsidRPr="00C138AC" w:rsidRDefault="00D262DC" w:rsidP="00C138AC">
      <w:pPr>
        <w:rPr>
          <w:rFonts w:eastAsia="Calibri" w:cs="Arial"/>
          <w:b/>
        </w:rPr>
      </w:pPr>
      <w:r>
        <w:rPr>
          <w:rFonts w:eastAsia="Calibri" w:cs="Arial"/>
          <w:b/>
        </w:rPr>
        <w:t>CS&amp;H investment</w:t>
      </w:r>
    </w:p>
    <w:p w14:paraId="2D9473EC" w14:textId="253A2301" w:rsidR="008377F6" w:rsidRPr="00F53B92" w:rsidRDefault="009173DF" w:rsidP="00BB7156">
      <w:pPr>
        <w:pStyle w:val="Bullet"/>
        <w:rPr>
          <w:rFonts w:eastAsia="Calibri"/>
        </w:rPr>
      </w:pPr>
      <w:r>
        <w:rPr>
          <w:rFonts w:eastAsia="Calibri"/>
        </w:rPr>
        <w:t>Per capita i</w:t>
      </w:r>
      <w:r w:rsidR="008377F6" w:rsidRPr="00514EFA">
        <w:rPr>
          <w:rFonts w:eastAsia="Calibri"/>
        </w:rPr>
        <w:t>nvestment in CS&amp;H is</w:t>
      </w:r>
      <w:r w:rsidR="003C63DF">
        <w:rPr>
          <w:rFonts w:eastAsia="Calibri"/>
        </w:rPr>
        <w:t>,</w:t>
      </w:r>
      <w:r w:rsidR="008377F6" w:rsidRPr="00514EFA">
        <w:rPr>
          <w:rFonts w:eastAsia="Calibri"/>
        </w:rPr>
        <w:t xml:space="preserve"> in general</w:t>
      </w:r>
      <w:r w:rsidR="003C63DF">
        <w:rPr>
          <w:rFonts w:eastAsia="Calibri"/>
        </w:rPr>
        <w:t>,</w:t>
      </w:r>
      <w:r w:rsidR="008377F6" w:rsidRPr="00514EFA">
        <w:rPr>
          <w:rFonts w:eastAsia="Calibri"/>
        </w:rPr>
        <w:t xml:space="preserve"> negatively associated with </w:t>
      </w:r>
      <w:r>
        <w:rPr>
          <w:rFonts w:eastAsia="Calibri"/>
        </w:rPr>
        <w:t xml:space="preserve">the three </w:t>
      </w:r>
      <w:r w:rsidR="008377F6" w:rsidRPr="00514EFA">
        <w:rPr>
          <w:rFonts w:eastAsia="Calibri"/>
        </w:rPr>
        <w:t xml:space="preserve">indicators of </w:t>
      </w:r>
      <w:r w:rsidR="003C63DF">
        <w:rPr>
          <w:rFonts w:eastAsia="Calibri"/>
        </w:rPr>
        <w:t>local</w:t>
      </w:r>
      <w:r w:rsidR="008377F6" w:rsidRPr="00514EFA">
        <w:rPr>
          <w:rFonts w:eastAsia="Calibri"/>
        </w:rPr>
        <w:t xml:space="preserve"> economic performance</w:t>
      </w:r>
      <w:r>
        <w:rPr>
          <w:rFonts w:eastAsia="Calibri"/>
        </w:rPr>
        <w:t xml:space="preserve">.  However, the results are only </w:t>
      </w:r>
      <w:r w:rsidR="008377F6" w:rsidRPr="00514EFA">
        <w:rPr>
          <w:rFonts w:eastAsia="Calibri"/>
        </w:rPr>
        <w:t xml:space="preserve">significant for </w:t>
      </w:r>
      <w:r>
        <w:rPr>
          <w:rFonts w:eastAsia="Calibri"/>
        </w:rPr>
        <w:t xml:space="preserve">the relationship between </w:t>
      </w:r>
      <w:r w:rsidR="008377F6" w:rsidRPr="00514EFA">
        <w:rPr>
          <w:rFonts w:eastAsia="Calibri"/>
        </w:rPr>
        <w:t>local authority investment and number of firms per capita.</w:t>
      </w:r>
      <w:r>
        <w:rPr>
          <w:rFonts w:eastAsia="Calibri"/>
        </w:rPr>
        <w:t xml:space="preserve">  </w:t>
      </w:r>
      <w:r w:rsidRPr="00F53B92">
        <w:rPr>
          <w:rFonts w:eastAsia="Calibri"/>
        </w:rPr>
        <w:t>The evidence therefore suggests that investment do</w:t>
      </w:r>
      <w:r w:rsidR="00602361" w:rsidRPr="00F53B92">
        <w:rPr>
          <w:rFonts w:eastAsia="Calibri"/>
        </w:rPr>
        <w:t>es</w:t>
      </w:r>
      <w:r w:rsidRPr="00F53B92">
        <w:rPr>
          <w:rFonts w:eastAsia="Calibri"/>
        </w:rPr>
        <w:t xml:space="preserve"> not immediately </w:t>
      </w:r>
      <w:r w:rsidR="003C63DF">
        <w:rPr>
          <w:rFonts w:eastAsia="Calibri"/>
        </w:rPr>
        <w:t>act as an attractor or stimulant of economic performance</w:t>
      </w:r>
      <w:r w:rsidRPr="00F53B92">
        <w:rPr>
          <w:rFonts w:eastAsia="Calibri"/>
        </w:rPr>
        <w:t>.</w:t>
      </w:r>
    </w:p>
    <w:p w14:paraId="73C88699" w14:textId="6C4B1A63" w:rsidR="00A033C6" w:rsidRPr="00F53B92" w:rsidRDefault="009173DF" w:rsidP="00BB7156">
      <w:pPr>
        <w:pStyle w:val="Bullet"/>
        <w:rPr>
          <w:rFonts w:eastAsia="Calibri"/>
          <w:b/>
        </w:rPr>
      </w:pPr>
      <w:r w:rsidRPr="00F53B92">
        <w:rPr>
          <w:rFonts w:eastAsia="Calibri"/>
        </w:rPr>
        <w:t>However, l</w:t>
      </w:r>
      <w:r w:rsidR="00D262DC" w:rsidRPr="00F53B92">
        <w:rPr>
          <w:rFonts w:eastAsia="Calibri"/>
        </w:rPr>
        <w:t xml:space="preserve">agged investment in CS&amp;H per capita is positively associated with number of firms per capita and net migration of firms. </w:t>
      </w:r>
      <w:r w:rsidRPr="00F53B92">
        <w:rPr>
          <w:rFonts w:eastAsia="Calibri"/>
        </w:rPr>
        <w:t xml:space="preserve">These results indicate that in the years that follow the investment, </w:t>
      </w:r>
      <w:r w:rsidR="00602361" w:rsidRPr="00F53B92">
        <w:rPr>
          <w:rFonts w:eastAsia="Calibri"/>
        </w:rPr>
        <w:t xml:space="preserve">those </w:t>
      </w:r>
      <w:r w:rsidRPr="00F53B92">
        <w:rPr>
          <w:rFonts w:eastAsia="Calibri"/>
        </w:rPr>
        <w:t xml:space="preserve">areas </w:t>
      </w:r>
      <w:r w:rsidR="003C63DF">
        <w:rPr>
          <w:rFonts w:eastAsia="Calibri"/>
        </w:rPr>
        <w:t>have a higher</w:t>
      </w:r>
      <w:r w:rsidRPr="00F53B92">
        <w:rPr>
          <w:rFonts w:eastAsia="Calibri"/>
        </w:rPr>
        <w:t xml:space="preserve"> firm density </w:t>
      </w:r>
      <w:r w:rsidR="000865E0" w:rsidRPr="00F53B92">
        <w:rPr>
          <w:rFonts w:eastAsia="Calibri"/>
        </w:rPr>
        <w:t xml:space="preserve">and </w:t>
      </w:r>
      <w:r w:rsidRPr="00F53B92">
        <w:rPr>
          <w:rFonts w:eastAsia="Calibri"/>
        </w:rPr>
        <w:t>net firm migration.</w:t>
      </w:r>
      <w:r w:rsidR="003C63DF">
        <w:rPr>
          <w:rFonts w:eastAsia="Calibri"/>
        </w:rPr>
        <w:t xml:space="preserve">  This study therefore provides evidence that investment in CS&amp;H assets generates a delayed but positive </w:t>
      </w:r>
      <w:r w:rsidR="003C63DF">
        <w:rPr>
          <w:rFonts w:eastAsia="Calibri"/>
        </w:rPr>
        <w:lastRenderedPageBreak/>
        <w:t>impact on firm density and net migration arising in the areas receiving investment.</w:t>
      </w:r>
    </w:p>
    <w:p w14:paraId="00FE3F36" w14:textId="698A255E" w:rsidR="00D262DC" w:rsidRPr="00C138AC" w:rsidRDefault="00D262DC" w:rsidP="000A0E5D">
      <w:pPr>
        <w:rPr>
          <w:rFonts w:eastAsia="Calibri" w:cs="Arial"/>
          <w:b/>
        </w:rPr>
      </w:pPr>
      <w:r>
        <w:rPr>
          <w:rFonts w:eastAsia="Calibri" w:cs="Arial"/>
          <w:b/>
        </w:rPr>
        <w:t>Other variables</w:t>
      </w:r>
    </w:p>
    <w:p w14:paraId="537F9C7D" w14:textId="3E64EE79" w:rsidR="008377F6" w:rsidRPr="00514EFA" w:rsidRDefault="003C63DF" w:rsidP="00BB7156">
      <w:pPr>
        <w:pStyle w:val="Bullet"/>
        <w:rPr>
          <w:rFonts w:eastAsia="Calibri"/>
        </w:rPr>
      </w:pPr>
      <w:r>
        <w:rPr>
          <w:rFonts w:eastAsia="Calibri"/>
        </w:rPr>
        <w:t>The n</w:t>
      </w:r>
      <w:r w:rsidR="008377F6" w:rsidRPr="00514EFA">
        <w:rPr>
          <w:rFonts w:eastAsia="Calibri"/>
        </w:rPr>
        <w:t xml:space="preserve">umber of firms per capita is also significantly associated with the employment rate, the availability of skilled labour, housing density, transport infrastructure, GVA per capita and population. The most significant variable is GVA per capita – however, this variable might be subject to </w:t>
      </w:r>
      <w:r w:rsidR="00945747" w:rsidRPr="00514EFA">
        <w:rPr>
          <w:rFonts w:eastAsia="Calibri"/>
        </w:rPr>
        <w:t xml:space="preserve">simultaneity </w:t>
      </w:r>
      <w:r w:rsidR="008377F6" w:rsidRPr="00514EFA">
        <w:rPr>
          <w:rFonts w:eastAsia="Calibri"/>
        </w:rPr>
        <w:t>bias as it is reasonable to assume the number of firms per capita may contribute to GVA per capita.</w:t>
      </w:r>
    </w:p>
    <w:p w14:paraId="02A5D13A" w14:textId="7EFFC2FF" w:rsidR="008377F6" w:rsidRPr="00514EFA" w:rsidRDefault="008377F6" w:rsidP="00BB7156">
      <w:pPr>
        <w:pStyle w:val="Bullet"/>
        <w:rPr>
          <w:rFonts w:eastAsia="Calibri"/>
        </w:rPr>
      </w:pPr>
      <w:r w:rsidRPr="00514EFA">
        <w:rPr>
          <w:rFonts w:eastAsia="Calibri"/>
        </w:rPr>
        <w:t xml:space="preserve">Net migration of firms is positively associated with employment rate, </w:t>
      </w:r>
      <w:r w:rsidR="00945747">
        <w:rPr>
          <w:rFonts w:eastAsia="Calibri"/>
        </w:rPr>
        <w:t xml:space="preserve">the availability of </w:t>
      </w:r>
      <w:r w:rsidRPr="00514EFA">
        <w:rPr>
          <w:rFonts w:eastAsia="Calibri"/>
        </w:rPr>
        <w:t xml:space="preserve">skilled labour, life satisfaction and population. </w:t>
      </w:r>
      <w:r w:rsidR="000865E0">
        <w:rPr>
          <w:rFonts w:eastAsia="Calibri"/>
        </w:rPr>
        <w:t>Therefore, t</w:t>
      </w:r>
      <w:r w:rsidRPr="00514EFA">
        <w:rPr>
          <w:rFonts w:eastAsia="Calibri"/>
        </w:rPr>
        <w:t>hese may effectively be thought of as factors that directly attract firms.</w:t>
      </w:r>
    </w:p>
    <w:p w14:paraId="5FC79ED6" w14:textId="77777777" w:rsidR="00236F8E" w:rsidRPr="00514EFA" w:rsidRDefault="00236F8E" w:rsidP="00236F8E">
      <w:pPr>
        <w:pStyle w:val="Heading2Numbered"/>
      </w:pPr>
      <w:bookmarkStart w:id="6" w:name="_Toc467569578"/>
      <w:r w:rsidRPr="00514EFA">
        <w:t>Key findings – creative industries</w:t>
      </w:r>
      <w:bookmarkEnd w:id="6"/>
    </w:p>
    <w:p w14:paraId="08255329" w14:textId="01761E4F" w:rsidR="00236F8E" w:rsidRDefault="00980CF7" w:rsidP="00236F8E">
      <w:pPr>
        <w:rPr>
          <w:rFonts w:cs="Arial"/>
        </w:rPr>
      </w:pPr>
      <w:r w:rsidRPr="00980CF7">
        <w:rPr>
          <w:rFonts w:cs="Arial"/>
        </w:rPr>
        <w:t xml:space="preserve">This section presents </w:t>
      </w:r>
      <w:r w:rsidR="00236F8E" w:rsidRPr="00980CF7">
        <w:rPr>
          <w:rFonts w:cs="Arial"/>
        </w:rPr>
        <w:t xml:space="preserve">key findings from the econometric estimation and analysis of the links between CS&amp;H assets and investment and </w:t>
      </w:r>
      <w:r w:rsidR="006D4A97" w:rsidRPr="000F6B69">
        <w:rPr>
          <w:rFonts w:cs="Arial"/>
        </w:rPr>
        <w:t>econ</w:t>
      </w:r>
      <w:r w:rsidR="006D4A97" w:rsidRPr="00A43B85">
        <w:rPr>
          <w:rFonts w:cs="Arial"/>
        </w:rPr>
        <w:t xml:space="preserve">omic performance </w:t>
      </w:r>
      <w:r w:rsidR="00236F8E" w:rsidRPr="00804037">
        <w:rPr>
          <w:rFonts w:cs="Arial"/>
        </w:rPr>
        <w:t>of the creative industries</w:t>
      </w:r>
      <w:r w:rsidRPr="00BB0A2F">
        <w:rPr>
          <w:rFonts w:cs="Arial"/>
        </w:rPr>
        <w:t>.</w:t>
      </w:r>
    </w:p>
    <w:p w14:paraId="1AF3F016" w14:textId="2B756024" w:rsidR="00236F8E" w:rsidRPr="004A56C1" w:rsidRDefault="00236F8E" w:rsidP="00236F8E">
      <w:pPr>
        <w:rPr>
          <w:rFonts w:cs="Arial"/>
          <w:b/>
        </w:rPr>
      </w:pPr>
      <w:r>
        <w:rPr>
          <w:rFonts w:cs="Arial"/>
          <w:b/>
        </w:rPr>
        <w:t xml:space="preserve">CS&amp;H </w:t>
      </w:r>
      <w:r w:rsidR="005034DE">
        <w:rPr>
          <w:rFonts w:cs="Arial"/>
          <w:b/>
        </w:rPr>
        <w:t>assets</w:t>
      </w:r>
    </w:p>
    <w:p w14:paraId="16BA49FF" w14:textId="446391B3" w:rsidR="000865E0" w:rsidRDefault="00236F8E" w:rsidP="00BB7156">
      <w:pPr>
        <w:pStyle w:val="Bullet"/>
        <w:rPr>
          <w:rFonts w:eastAsia="Calibri"/>
        </w:rPr>
      </w:pPr>
      <w:r w:rsidRPr="00AC2448">
        <w:rPr>
          <w:rFonts w:eastAsia="Calibri"/>
        </w:rPr>
        <w:t xml:space="preserve">Both creative firms’ location quotient </w:t>
      </w:r>
      <w:r w:rsidR="000865E0">
        <w:rPr>
          <w:rFonts w:eastAsia="Calibri"/>
        </w:rPr>
        <w:t xml:space="preserve">(i.e. local economies that are more specialised towards creative industries) </w:t>
      </w:r>
      <w:r w:rsidRPr="00AC2448">
        <w:rPr>
          <w:rFonts w:eastAsia="Calibri"/>
        </w:rPr>
        <w:t xml:space="preserve">and turnover </w:t>
      </w:r>
      <w:r w:rsidR="000865E0">
        <w:rPr>
          <w:rFonts w:eastAsia="Calibri"/>
        </w:rPr>
        <w:t>are</w:t>
      </w:r>
      <w:r w:rsidRPr="00AC2448">
        <w:rPr>
          <w:rFonts w:eastAsia="Calibri"/>
        </w:rPr>
        <w:t xml:space="preserve"> positively and significantly associated with the density of heritage assets and the number of cultural events listings per capita (i.e. cultural assets). </w:t>
      </w:r>
      <w:r w:rsidR="000865E0">
        <w:rPr>
          <w:rFonts w:eastAsia="Calibri"/>
        </w:rPr>
        <w:t xml:space="preserve"> This means that the greater the density of cultural and heritage assets, the better the performance of the creative industries.  </w:t>
      </w:r>
    </w:p>
    <w:p w14:paraId="415BF42C" w14:textId="0CBA064E" w:rsidR="00602361" w:rsidRPr="00514EFA" w:rsidRDefault="00602361" w:rsidP="005E0A35">
      <w:pPr>
        <w:pStyle w:val="Bullet"/>
        <w:rPr>
          <w:rFonts w:eastAsia="Calibri"/>
        </w:rPr>
      </w:pPr>
      <w:r w:rsidRPr="00514EFA">
        <w:rPr>
          <w:rFonts w:eastAsia="Calibri"/>
        </w:rPr>
        <w:t>Both relative concentration of creative firms and creative firms’ turnover are negatively associated with density of sports assets. In other words, the higher the density of sporting assets, the lower the density and turnover of the creative industries.</w:t>
      </w:r>
      <w:r w:rsidR="005E0A35">
        <w:rPr>
          <w:rFonts w:eastAsia="Calibri"/>
        </w:rPr>
        <w:t xml:space="preserve">  </w:t>
      </w:r>
      <w:r w:rsidR="005E0A35" w:rsidRPr="005E0A35">
        <w:rPr>
          <w:rFonts w:eastAsia="Calibri"/>
        </w:rPr>
        <w:t>This makes intuitive sense</w:t>
      </w:r>
      <w:r w:rsidR="005E0A35">
        <w:rPr>
          <w:rFonts w:eastAsia="Calibri"/>
        </w:rPr>
        <w:t xml:space="preserve"> - </w:t>
      </w:r>
      <w:r w:rsidR="005E0A35" w:rsidRPr="005E0A35">
        <w:rPr>
          <w:rFonts w:eastAsia="Calibri"/>
        </w:rPr>
        <w:t xml:space="preserve">sporting infrastructure can often be of large scale and </w:t>
      </w:r>
      <w:r w:rsidR="005E0A35">
        <w:rPr>
          <w:rFonts w:eastAsia="Calibri"/>
        </w:rPr>
        <w:t xml:space="preserve">requiring green space, meaning it is often </w:t>
      </w:r>
      <w:r w:rsidR="005E0A35" w:rsidRPr="005E0A35">
        <w:rPr>
          <w:rFonts w:eastAsia="Calibri"/>
        </w:rPr>
        <w:t>located away from commercial/urban centres, which would reduce the likelihood of attracting the creative (or other) industries.</w:t>
      </w:r>
    </w:p>
    <w:p w14:paraId="1B4E4B92" w14:textId="2E657E7A" w:rsidR="00236F8E" w:rsidRPr="00AC2448" w:rsidRDefault="00236F8E" w:rsidP="00BB7156">
      <w:pPr>
        <w:pStyle w:val="Bullet"/>
        <w:rPr>
          <w:rFonts w:eastAsia="Calibri"/>
        </w:rPr>
      </w:pPr>
      <w:r w:rsidRPr="00AC2448">
        <w:rPr>
          <w:rFonts w:eastAsia="Calibri"/>
        </w:rPr>
        <w:t>It should be noted that, particularly with cultural events listings and turnover, there is a risk of reverse causality</w:t>
      </w:r>
      <w:r w:rsidR="000865E0">
        <w:rPr>
          <w:rFonts w:eastAsia="Calibri"/>
        </w:rPr>
        <w:t xml:space="preserve"> in this analysis</w:t>
      </w:r>
      <w:r w:rsidRPr="00AC2448">
        <w:rPr>
          <w:rFonts w:eastAsia="Calibri"/>
        </w:rPr>
        <w:t>:</w:t>
      </w:r>
      <w:r w:rsidR="000865E0">
        <w:rPr>
          <w:rFonts w:eastAsia="Calibri"/>
        </w:rPr>
        <w:t xml:space="preserve"> i.e.</w:t>
      </w:r>
      <w:r w:rsidRPr="00AC2448">
        <w:rPr>
          <w:rFonts w:eastAsia="Calibri"/>
        </w:rPr>
        <w:t xml:space="preserve"> if creative firms hold cultural events, this would likely increase turnover. </w:t>
      </w:r>
    </w:p>
    <w:p w14:paraId="4AF08717" w14:textId="4020C546" w:rsidR="00236F8E" w:rsidRPr="004A56C1" w:rsidRDefault="00236F8E" w:rsidP="00236F8E">
      <w:pPr>
        <w:tabs>
          <w:tab w:val="left" w:pos="2655"/>
        </w:tabs>
        <w:rPr>
          <w:rFonts w:cs="Arial"/>
        </w:rPr>
      </w:pPr>
      <w:r>
        <w:rPr>
          <w:rFonts w:cs="Arial"/>
          <w:b/>
        </w:rPr>
        <w:t xml:space="preserve">CS&amp;H </w:t>
      </w:r>
      <w:r w:rsidR="005034DE">
        <w:rPr>
          <w:rFonts w:cs="Arial"/>
          <w:b/>
        </w:rPr>
        <w:t>i</w:t>
      </w:r>
      <w:r>
        <w:rPr>
          <w:rFonts w:cs="Arial"/>
          <w:b/>
        </w:rPr>
        <w:t>nvestment</w:t>
      </w:r>
    </w:p>
    <w:p w14:paraId="43A15A2D" w14:textId="7FD41A96" w:rsidR="000865E0" w:rsidRPr="000865E0" w:rsidRDefault="00236F8E" w:rsidP="00BB7156">
      <w:pPr>
        <w:pStyle w:val="Bullet"/>
      </w:pPr>
      <w:r w:rsidRPr="00514EFA">
        <w:rPr>
          <w:rFonts w:eastAsia="Calibri"/>
        </w:rPr>
        <w:t xml:space="preserve">Per capita investment in CS&amp;H is strongly and positively associated with the relative concentration of creative firms, both within and </w:t>
      </w:r>
      <w:r w:rsidR="00C751BA">
        <w:rPr>
          <w:rFonts w:eastAsia="Calibri"/>
        </w:rPr>
        <w:t>outside</w:t>
      </w:r>
      <w:r w:rsidRPr="00514EFA">
        <w:rPr>
          <w:rFonts w:eastAsia="Calibri"/>
        </w:rPr>
        <w:t xml:space="preserve"> major urban centres. </w:t>
      </w:r>
      <w:r w:rsidR="000865E0">
        <w:rPr>
          <w:rFonts w:eastAsia="Calibri"/>
        </w:rPr>
        <w:t xml:space="preserve"> This suggest</w:t>
      </w:r>
      <w:r w:rsidR="003C63DF">
        <w:rPr>
          <w:rFonts w:eastAsia="Calibri"/>
        </w:rPr>
        <w:t>s</w:t>
      </w:r>
      <w:r w:rsidR="000865E0">
        <w:rPr>
          <w:rFonts w:eastAsia="Calibri"/>
        </w:rPr>
        <w:t xml:space="preserve"> that </w:t>
      </w:r>
      <w:r w:rsidR="00F53B92">
        <w:rPr>
          <w:rFonts w:eastAsia="Calibri"/>
        </w:rPr>
        <w:t xml:space="preserve">investment </w:t>
      </w:r>
      <w:r w:rsidR="003C63DF">
        <w:rPr>
          <w:rFonts w:eastAsia="Calibri"/>
        </w:rPr>
        <w:t>stimulates a</w:t>
      </w:r>
      <w:r w:rsidR="00F53B92">
        <w:rPr>
          <w:rFonts w:eastAsia="Calibri"/>
        </w:rPr>
        <w:t xml:space="preserve"> simultaneous </w:t>
      </w:r>
      <w:r w:rsidR="000865E0">
        <w:rPr>
          <w:rFonts w:eastAsia="Calibri"/>
        </w:rPr>
        <w:t>impact on the density of the creative industries</w:t>
      </w:r>
      <w:r w:rsidR="00F53B92">
        <w:rPr>
          <w:rFonts w:eastAsia="Calibri"/>
        </w:rPr>
        <w:t xml:space="preserve"> in the location receiv</w:t>
      </w:r>
      <w:r w:rsidR="003C63DF">
        <w:rPr>
          <w:rFonts w:eastAsia="Calibri"/>
        </w:rPr>
        <w:t>ing that</w:t>
      </w:r>
      <w:r w:rsidR="00F53B92">
        <w:rPr>
          <w:rFonts w:eastAsia="Calibri"/>
        </w:rPr>
        <w:t xml:space="preserve"> investment</w:t>
      </w:r>
      <w:r w:rsidR="000865E0">
        <w:rPr>
          <w:rFonts w:eastAsia="Calibri"/>
        </w:rPr>
        <w:t>.</w:t>
      </w:r>
      <w:r w:rsidR="003C63DF">
        <w:rPr>
          <w:rFonts w:eastAsia="Calibri"/>
        </w:rPr>
        <w:t xml:space="preserve">  It also indicates that this effect is present regardless of the scale of the urban centre in a particular area.</w:t>
      </w:r>
    </w:p>
    <w:p w14:paraId="087B64FC" w14:textId="138E351C" w:rsidR="00236F8E" w:rsidRPr="00514EFA" w:rsidRDefault="005034DE" w:rsidP="00BB7156">
      <w:pPr>
        <w:pStyle w:val="Bullet"/>
      </w:pPr>
      <w:r w:rsidRPr="00514EFA">
        <w:rPr>
          <w:rFonts w:eastAsia="Calibri"/>
        </w:rPr>
        <w:t>Two</w:t>
      </w:r>
      <w:r>
        <w:rPr>
          <w:rFonts w:eastAsia="Calibri"/>
        </w:rPr>
        <w:t>-</w:t>
      </w:r>
      <w:r w:rsidR="00236F8E" w:rsidRPr="00514EFA">
        <w:rPr>
          <w:rFonts w:eastAsia="Calibri"/>
        </w:rPr>
        <w:t>year lagged investment per capita in CS&amp;H is also strongly associated with the location quotient of creative f</w:t>
      </w:r>
      <w:r w:rsidR="000865E0">
        <w:rPr>
          <w:rFonts w:eastAsia="Calibri"/>
        </w:rPr>
        <w:t>irms, which indicates that areas receiving investment are likely to be</w:t>
      </w:r>
      <w:r w:rsidR="003C63DF">
        <w:rPr>
          <w:rFonts w:eastAsia="Calibri"/>
        </w:rPr>
        <w:t>come</w:t>
      </w:r>
      <w:r w:rsidR="000865E0">
        <w:rPr>
          <w:rFonts w:eastAsia="Calibri"/>
        </w:rPr>
        <w:t xml:space="preserve"> more specialised in the creative industries in the post-investment period.</w:t>
      </w:r>
    </w:p>
    <w:p w14:paraId="00DDD30B" w14:textId="4E3B3B13" w:rsidR="00236F8E" w:rsidRDefault="00236F8E" w:rsidP="00BB7156">
      <w:pPr>
        <w:pStyle w:val="Bullet"/>
        <w:rPr>
          <w:rFonts w:eastAsia="Calibri"/>
        </w:rPr>
      </w:pPr>
      <w:r w:rsidRPr="00514EFA">
        <w:rPr>
          <w:rFonts w:eastAsia="Calibri"/>
        </w:rPr>
        <w:t>Lagged (</w:t>
      </w:r>
      <w:r w:rsidR="005034DE" w:rsidRPr="00514EFA">
        <w:rPr>
          <w:rFonts w:eastAsia="Calibri"/>
        </w:rPr>
        <w:t>two</w:t>
      </w:r>
      <w:r w:rsidR="005034DE">
        <w:rPr>
          <w:rFonts w:eastAsia="Calibri"/>
        </w:rPr>
        <w:t>-</w:t>
      </w:r>
      <w:r w:rsidRPr="00514EFA">
        <w:rPr>
          <w:rFonts w:eastAsia="Calibri"/>
        </w:rPr>
        <w:t xml:space="preserve">year) per capita investment in CS&amp;H is significantly and positively associated with turnover of creative firms in major urban centres, but not in </w:t>
      </w:r>
      <w:r w:rsidR="005034DE">
        <w:rPr>
          <w:rFonts w:eastAsia="Calibri"/>
        </w:rPr>
        <w:t>l</w:t>
      </w:r>
      <w:r w:rsidR="005034DE" w:rsidRPr="00514EFA">
        <w:rPr>
          <w:rFonts w:eastAsia="Calibri"/>
        </w:rPr>
        <w:t xml:space="preserve">ocal </w:t>
      </w:r>
      <w:r w:rsidR="005034DE">
        <w:rPr>
          <w:rFonts w:eastAsia="Calibri"/>
        </w:rPr>
        <w:t>a</w:t>
      </w:r>
      <w:r w:rsidR="005034DE" w:rsidRPr="00514EFA">
        <w:rPr>
          <w:rFonts w:eastAsia="Calibri"/>
        </w:rPr>
        <w:t xml:space="preserve">uthorities </w:t>
      </w:r>
      <w:r w:rsidRPr="00514EFA">
        <w:rPr>
          <w:rFonts w:eastAsia="Calibri"/>
        </w:rPr>
        <w:t xml:space="preserve">outside major urban centres. Competitiveness, a </w:t>
      </w:r>
      <w:r w:rsidR="005034DE">
        <w:rPr>
          <w:rFonts w:eastAsia="Calibri"/>
        </w:rPr>
        <w:lastRenderedPageBreak/>
        <w:t xml:space="preserve">composite </w:t>
      </w:r>
      <w:r w:rsidRPr="00514EFA">
        <w:rPr>
          <w:rFonts w:eastAsia="Calibri"/>
        </w:rPr>
        <w:t xml:space="preserve">measure </w:t>
      </w:r>
      <w:r w:rsidRPr="00980CF7">
        <w:rPr>
          <w:rFonts w:eastAsia="Calibri"/>
        </w:rPr>
        <w:t xml:space="preserve">including </w:t>
      </w:r>
      <w:r w:rsidR="00980CF7" w:rsidRPr="00980CF7">
        <w:rPr>
          <w:rFonts w:eastAsia="Calibri"/>
        </w:rPr>
        <w:t>Gross Value Added (</w:t>
      </w:r>
      <w:r w:rsidRPr="00980CF7">
        <w:rPr>
          <w:rFonts w:eastAsia="Calibri"/>
        </w:rPr>
        <w:t>GVA</w:t>
      </w:r>
      <w:r w:rsidR="00980CF7" w:rsidRPr="00980CF7">
        <w:rPr>
          <w:rFonts w:eastAsia="Calibri"/>
        </w:rPr>
        <w:t>)</w:t>
      </w:r>
      <w:r w:rsidRPr="00514EFA">
        <w:rPr>
          <w:rFonts w:eastAsia="Calibri"/>
        </w:rPr>
        <w:t>, is positively associated with turnover in both cases.</w:t>
      </w:r>
      <w:r w:rsidR="000865E0">
        <w:rPr>
          <w:rFonts w:eastAsia="Calibri"/>
        </w:rPr>
        <w:t xml:space="preserve">  These results indicate that whereas investment may act as an attractor in terms of bringing businesses to a particular location, it is more likely to lead to higher turnover in the creative industries </w:t>
      </w:r>
      <w:r w:rsidR="003C63DF">
        <w:rPr>
          <w:rFonts w:eastAsia="Calibri"/>
        </w:rPr>
        <w:t xml:space="preserve">when it occurs in </w:t>
      </w:r>
      <w:r w:rsidR="00C751BA">
        <w:rPr>
          <w:rFonts w:eastAsia="Calibri"/>
        </w:rPr>
        <w:t>major urban areas</w:t>
      </w:r>
      <w:r w:rsidR="000865E0">
        <w:rPr>
          <w:rFonts w:eastAsia="Calibri"/>
        </w:rPr>
        <w:t xml:space="preserve">.  </w:t>
      </w:r>
    </w:p>
    <w:p w14:paraId="45D6160A" w14:textId="0DB9DE94" w:rsidR="00C138AC" w:rsidRDefault="00C138AC" w:rsidP="00BB7156">
      <w:pPr>
        <w:pStyle w:val="Bullet"/>
        <w:rPr>
          <w:rFonts w:eastAsia="Calibri"/>
        </w:rPr>
      </w:pPr>
      <w:r>
        <w:rPr>
          <w:rFonts w:eastAsia="Calibri"/>
        </w:rPr>
        <w:t>The potential significance of these results is</w:t>
      </w:r>
      <w:r w:rsidR="006D4A97">
        <w:rPr>
          <w:rFonts w:eastAsia="Calibri"/>
        </w:rPr>
        <w:t xml:space="preserve"> that</w:t>
      </w:r>
      <w:r>
        <w:rPr>
          <w:rFonts w:eastAsia="Calibri"/>
        </w:rPr>
        <w:t xml:space="preserve"> they </w:t>
      </w:r>
      <w:r w:rsidR="005034DE">
        <w:rPr>
          <w:rFonts w:eastAsia="Calibri"/>
        </w:rPr>
        <w:t xml:space="preserve">may </w:t>
      </w:r>
      <w:r>
        <w:rPr>
          <w:rFonts w:eastAsia="Calibri"/>
        </w:rPr>
        <w:t>present evidence of drivers of creative industries clustering</w:t>
      </w:r>
      <w:r w:rsidR="006D4A97">
        <w:rPr>
          <w:rFonts w:eastAsia="Calibri"/>
        </w:rPr>
        <w:t xml:space="preserve"> and growth</w:t>
      </w:r>
      <w:r>
        <w:rPr>
          <w:rFonts w:eastAsia="Calibri"/>
        </w:rPr>
        <w:t>.</w:t>
      </w:r>
    </w:p>
    <w:p w14:paraId="58F60903" w14:textId="77777777" w:rsidR="00236F8E" w:rsidRPr="004A56C1" w:rsidRDefault="00236F8E" w:rsidP="00236F8E">
      <w:pPr>
        <w:tabs>
          <w:tab w:val="left" w:pos="2655"/>
        </w:tabs>
        <w:rPr>
          <w:rFonts w:eastAsia="Calibri" w:cs="Arial"/>
          <w:b/>
        </w:rPr>
      </w:pPr>
      <w:r>
        <w:rPr>
          <w:rFonts w:eastAsia="Calibri" w:cs="Arial"/>
          <w:b/>
        </w:rPr>
        <w:t>Other variables</w:t>
      </w:r>
    </w:p>
    <w:p w14:paraId="71C4A4E2" w14:textId="7C79F32D" w:rsidR="00236F8E" w:rsidRPr="00514EFA" w:rsidRDefault="00236F8E" w:rsidP="00BB7156">
      <w:pPr>
        <w:pStyle w:val="Bullet"/>
        <w:rPr>
          <w:rFonts w:eastAsia="Calibri"/>
        </w:rPr>
      </w:pPr>
      <w:r w:rsidRPr="00514EFA">
        <w:rPr>
          <w:rFonts w:eastAsia="Calibri"/>
        </w:rPr>
        <w:t>Net migration of creative firms is not significantly associated with any CS&amp;H assets or investment; the only significant variables for this model are network infrastructure and population.</w:t>
      </w:r>
      <w:r w:rsidR="00150389">
        <w:rPr>
          <w:rFonts w:eastAsia="Calibri"/>
        </w:rPr>
        <w:t xml:space="preserve"> However, testing this relationship more conclusively would require a longer time series.</w:t>
      </w:r>
    </w:p>
    <w:p w14:paraId="73F7B7F4" w14:textId="4D0C8F68" w:rsidR="008E5314" w:rsidRPr="00514EFA" w:rsidRDefault="008377F6" w:rsidP="00176CC9">
      <w:pPr>
        <w:pStyle w:val="Heading2Numbered"/>
      </w:pPr>
      <w:bookmarkStart w:id="7" w:name="_Toc467569579"/>
      <w:r w:rsidRPr="00514EFA">
        <w:t>Conclusions</w:t>
      </w:r>
      <w:bookmarkEnd w:id="7"/>
    </w:p>
    <w:p w14:paraId="41AC8ACF" w14:textId="46F17C34" w:rsidR="008377F6" w:rsidRPr="00514EFA" w:rsidRDefault="008377F6" w:rsidP="008377F6">
      <w:pPr>
        <w:rPr>
          <w:rFonts w:cs="Arial"/>
        </w:rPr>
      </w:pPr>
      <w:r w:rsidRPr="00514EFA">
        <w:rPr>
          <w:rFonts w:cs="Arial"/>
        </w:rPr>
        <w:t xml:space="preserve">The study is by design highly </w:t>
      </w:r>
      <w:r w:rsidR="009F018D">
        <w:rPr>
          <w:rFonts w:cs="Arial"/>
        </w:rPr>
        <w:t>exploratory</w:t>
      </w:r>
      <w:r w:rsidR="009F018D" w:rsidRPr="00514EFA">
        <w:rPr>
          <w:rFonts w:cs="Arial"/>
        </w:rPr>
        <w:t xml:space="preserve"> </w:t>
      </w:r>
      <w:r w:rsidRPr="00514EFA">
        <w:rPr>
          <w:rFonts w:cs="Arial"/>
        </w:rPr>
        <w:t xml:space="preserve">and it is important that this is borne in mind when </w:t>
      </w:r>
      <w:r w:rsidR="005034DE">
        <w:rPr>
          <w:rFonts w:cs="Arial"/>
        </w:rPr>
        <w:t xml:space="preserve">interpreting </w:t>
      </w:r>
      <w:r w:rsidRPr="00514EFA">
        <w:rPr>
          <w:rFonts w:cs="Arial"/>
        </w:rPr>
        <w:t>the results.</w:t>
      </w:r>
      <w:r w:rsidR="00A033C6">
        <w:rPr>
          <w:rFonts w:cs="Arial"/>
        </w:rPr>
        <w:t xml:space="preserve"> </w:t>
      </w:r>
      <w:r w:rsidR="006D4A97">
        <w:rPr>
          <w:rFonts w:cs="Arial"/>
        </w:rPr>
        <w:t>Nevertheless</w:t>
      </w:r>
      <w:r w:rsidRPr="00514EFA">
        <w:rPr>
          <w:rFonts w:cs="Arial"/>
        </w:rPr>
        <w:t>, the study provides some important and interesting evidence of the positive role that CS&amp;H assets and investment play in place</w:t>
      </w:r>
      <w:r w:rsidR="006D4A97">
        <w:rPr>
          <w:rFonts w:cs="Arial"/>
        </w:rPr>
        <w:t>-</w:t>
      </w:r>
      <w:r w:rsidRPr="00514EFA">
        <w:rPr>
          <w:rFonts w:cs="Arial"/>
        </w:rPr>
        <w:t xml:space="preserve">shaping, when examined through the lens of </w:t>
      </w:r>
      <w:r w:rsidR="00F43948">
        <w:rPr>
          <w:rFonts w:cs="Arial"/>
        </w:rPr>
        <w:t xml:space="preserve">the </w:t>
      </w:r>
      <w:r w:rsidRPr="00514EFA">
        <w:rPr>
          <w:rFonts w:cs="Arial"/>
        </w:rPr>
        <w:t>economic performance of the creative industries and the wider local economy more generally.</w:t>
      </w:r>
    </w:p>
    <w:p w14:paraId="1AAA28DA" w14:textId="2BAEE874" w:rsidR="00A46795" w:rsidRPr="00514EFA" w:rsidRDefault="00A46795" w:rsidP="008377F6">
      <w:pPr>
        <w:rPr>
          <w:rFonts w:cs="Arial"/>
        </w:rPr>
      </w:pPr>
      <w:r w:rsidRPr="00514EFA">
        <w:rPr>
          <w:rFonts w:cs="Arial"/>
        </w:rPr>
        <w:t>Further work in this field is required in a number of areas.</w:t>
      </w:r>
      <w:r w:rsidR="00A033C6">
        <w:rPr>
          <w:rFonts w:cs="Arial"/>
        </w:rPr>
        <w:t xml:space="preserve"> </w:t>
      </w:r>
      <w:r w:rsidRPr="00514EFA">
        <w:rPr>
          <w:rFonts w:cs="Arial"/>
        </w:rPr>
        <w:t>Case studies which examine</w:t>
      </w:r>
      <w:r w:rsidR="005034DE" w:rsidRPr="005034DE">
        <w:rPr>
          <w:rFonts w:cs="Arial"/>
        </w:rPr>
        <w:t xml:space="preserve"> </w:t>
      </w:r>
      <w:r w:rsidR="005034DE" w:rsidRPr="00514EFA">
        <w:rPr>
          <w:rFonts w:cs="Arial"/>
        </w:rPr>
        <w:t>the nature of the local impact ecosystem</w:t>
      </w:r>
      <w:r w:rsidRPr="00514EFA">
        <w:rPr>
          <w:rFonts w:cs="Arial"/>
        </w:rPr>
        <w:t xml:space="preserve"> </w:t>
      </w:r>
      <w:r w:rsidR="005034DE" w:rsidRPr="00514EFA">
        <w:rPr>
          <w:rFonts w:cs="Arial"/>
        </w:rPr>
        <w:t xml:space="preserve">and </w:t>
      </w:r>
      <w:r w:rsidRPr="00514EFA">
        <w:rPr>
          <w:rFonts w:cs="Arial"/>
        </w:rPr>
        <w:t>the mechanisms by which local impact is stimulated could generate vital qualitative evidence to complement quantitative evidence of the direction and scale of impacts.</w:t>
      </w:r>
      <w:r w:rsidR="00A033C6">
        <w:rPr>
          <w:rFonts w:cs="Arial"/>
        </w:rPr>
        <w:t xml:space="preserve"> </w:t>
      </w:r>
      <w:r w:rsidRPr="00514EFA">
        <w:rPr>
          <w:rFonts w:cs="Arial"/>
        </w:rPr>
        <w:t>They could also investigate the crucial local conditions (e.g. cumulative investment, wider investment/regeneration programmes, and so on)</w:t>
      </w:r>
      <w:r w:rsidR="006D4A97" w:rsidRPr="00514EFA">
        <w:rPr>
          <w:rFonts w:cs="Arial"/>
        </w:rPr>
        <w:t xml:space="preserve"> which might influence whether impacts are achieved and their scale</w:t>
      </w:r>
      <w:r w:rsidRPr="00514EFA">
        <w:rPr>
          <w:rFonts w:cs="Arial"/>
        </w:rPr>
        <w:t>.</w:t>
      </w:r>
      <w:r w:rsidR="00A033C6">
        <w:rPr>
          <w:rFonts w:cs="Arial"/>
        </w:rPr>
        <w:t xml:space="preserve"> </w:t>
      </w:r>
      <w:r w:rsidRPr="00514EFA">
        <w:rPr>
          <w:rFonts w:cs="Arial"/>
        </w:rPr>
        <w:t>Data collection in response to a number of key data limitations could also underpin future analysis.</w:t>
      </w:r>
      <w:r w:rsidR="00A033C6">
        <w:rPr>
          <w:rFonts w:cs="Arial"/>
        </w:rPr>
        <w:t xml:space="preserve"> </w:t>
      </w:r>
      <w:r w:rsidRPr="00514EFA">
        <w:rPr>
          <w:rFonts w:cs="Arial"/>
        </w:rPr>
        <w:t>For example, better longitudinal data on assets and investment would enhance results.</w:t>
      </w:r>
      <w:r w:rsidR="00A033C6">
        <w:rPr>
          <w:rFonts w:cs="Arial"/>
        </w:rPr>
        <w:t xml:space="preserve"> </w:t>
      </w:r>
      <w:r w:rsidRPr="00514EFA">
        <w:rPr>
          <w:rFonts w:cs="Arial"/>
        </w:rPr>
        <w:t>Data that is robust at smaller spatial scale than local authority would also allow for wider influencers on economic performance (e.g. the loss of major employers in specific locations within a place) to be controlled out of the analysis.</w:t>
      </w:r>
    </w:p>
    <w:p w14:paraId="50D55995" w14:textId="24EB24F3" w:rsidR="00A46795" w:rsidRPr="00514EFA" w:rsidRDefault="00A46795" w:rsidP="008377F6">
      <w:pPr>
        <w:rPr>
          <w:rFonts w:cs="Arial"/>
        </w:rPr>
      </w:pPr>
      <w:r w:rsidRPr="00514EFA">
        <w:rPr>
          <w:rFonts w:cs="Arial"/>
        </w:rPr>
        <w:t xml:space="preserve">This study represents an important first step on a journey to develop the evidence base around the role that CS&amp;H assets and investment play in </w:t>
      </w:r>
      <w:r w:rsidR="006D4A97" w:rsidRPr="00514EFA">
        <w:rPr>
          <w:rFonts w:cs="Arial"/>
        </w:rPr>
        <w:t>place</w:t>
      </w:r>
      <w:r w:rsidR="006D4A97">
        <w:rPr>
          <w:rFonts w:cs="Arial"/>
        </w:rPr>
        <w:t>-</w:t>
      </w:r>
      <w:r w:rsidRPr="00514EFA">
        <w:rPr>
          <w:rFonts w:cs="Arial"/>
        </w:rPr>
        <w:t>shaping</w:t>
      </w:r>
      <w:r w:rsidR="00843D97" w:rsidRPr="00514EFA">
        <w:rPr>
          <w:rFonts w:cs="Arial"/>
        </w:rPr>
        <w:t>.</w:t>
      </w:r>
      <w:r w:rsidR="00A033C6">
        <w:rPr>
          <w:rFonts w:cs="Arial"/>
        </w:rPr>
        <w:t xml:space="preserve"> </w:t>
      </w:r>
      <w:r w:rsidR="00843D97" w:rsidRPr="00514EFA">
        <w:rPr>
          <w:rFonts w:cs="Arial"/>
        </w:rPr>
        <w:t xml:space="preserve">The hope is that it stimulates debate and further work amongst policy </w:t>
      </w:r>
      <w:r w:rsidR="0061177D" w:rsidRPr="00514EFA">
        <w:rPr>
          <w:rFonts w:cs="Arial"/>
        </w:rPr>
        <w:t xml:space="preserve">makers, practitioners </w:t>
      </w:r>
      <w:r w:rsidR="00843D97" w:rsidRPr="00514EFA">
        <w:rPr>
          <w:rFonts w:cs="Arial"/>
        </w:rPr>
        <w:t xml:space="preserve">and </w:t>
      </w:r>
      <w:r w:rsidR="0061177D" w:rsidRPr="00514EFA">
        <w:rPr>
          <w:rFonts w:cs="Arial"/>
        </w:rPr>
        <w:t>the research community</w:t>
      </w:r>
      <w:r w:rsidR="00843D97" w:rsidRPr="00514EFA">
        <w:rPr>
          <w:rFonts w:cs="Arial"/>
        </w:rPr>
        <w:t>.</w:t>
      </w:r>
    </w:p>
    <w:p w14:paraId="4F873675" w14:textId="77777777" w:rsidR="008E5314" w:rsidRPr="00514EFA" w:rsidRDefault="008E5314" w:rsidP="006A73F1">
      <w:pPr>
        <w:spacing w:before="0" w:after="120" w:line="276" w:lineRule="auto"/>
        <w:ind w:left="0"/>
        <w:jc w:val="both"/>
        <w:rPr>
          <w:rFonts w:cs="Arial"/>
          <w:szCs w:val="22"/>
        </w:rPr>
      </w:pPr>
    </w:p>
    <w:p w14:paraId="745011A5" w14:textId="77777777" w:rsidR="00C22878" w:rsidRPr="00514EFA" w:rsidRDefault="00C22878" w:rsidP="006A73F1">
      <w:pPr>
        <w:spacing w:before="0" w:after="120" w:line="276" w:lineRule="auto"/>
        <w:ind w:left="0"/>
        <w:jc w:val="both"/>
        <w:rPr>
          <w:rFonts w:cs="Arial"/>
          <w:b/>
          <w:szCs w:val="22"/>
        </w:rPr>
      </w:pPr>
    </w:p>
    <w:p w14:paraId="3EC1D23D" w14:textId="77777777" w:rsidR="00C22878" w:rsidRPr="00514EFA" w:rsidRDefault="00C22878" w:rsidP="006A73F1">
      <w:pPr>
        <w:spacing w:before="0" w:after="120" w:line="276" w:lineRule="auto"/>
        <w:ind w:left="0"/>
        <w:jc w:val="both"/>
        <w:rPr>
          <w:rFonts w:cs="Arial"/>
          <w:b/>
          <w:szCs w:val="22"/>
        </w:rPr>
      </w:pPr>
    </w:p>
    <w:p w14:paraId="47D7062F" w14:textId="77777777" w:rsidR="00C22878" w:rsidRPr="00514EFA" w:rsidRDefault="00C22878" w:rsidP="006A73F1">
      <w:pPr>
        <w:spacing w:before="0" w:after="120" w:line="276" w:lineRule="auto"/>
        <w:ind w:left="0"/>
        <w:jc w:val="both"/>
        <w:rPr>
          <w:rFonts w:cs="Arial"/>
          <w:b/>
          <w:szCs w:val="22"/>
        </w:rPr>
        <w:sectPr w:rsidR="00C22878" w:rsidRPr="00514EFA" w:rsidSect="00796D8C">
          <w:headerReference w:type="default" r:id="rId23"/>
          <w:pgSz w:w="11906" w:h="16838" w:code="9"/>
          <w:pgMar w:top="1134" w:right="1134" w:bottom="1418" w:left="1418" w:header="709" w:footer="408" w:gutter="0"/>
          <w:pgNumType w:start="1"/>
          <w:cols w:space="708"/>
          <w:docGrid w:linePitch="360"/>
        </w:sectPr>
      </w:pPr>
    </w:p>
    <w:p w14:paraId="7492886D" w14:textId="71B7D078" w:rsidR="00A02758" w:rsidRPr="00F87951" w:rsidRDefault="004E0FEF" w:rsidP="00F87951">
      <w:pPr>
        <w:pStyle w:val="Heading1Numbered"/>
      </w:pPr>
      <w:bookmarkStart w:id="8" w:name="_Toc467569580"/>
      <w:r w:rsidRPr="00F87951">
        <w:lastRenderedPageBreak/>
        <w:t>Introduction</w:t>
      </w:r>
      <w:bookmarkEnd w:id="8"/>
    </w:p>
    <w:p w14:paraId="63CE56FC" w14:textId="75710E1A" w:rsidR="00090A2A" w:rsidRPr="00514EFA" w:rsidRDefault="00090A2A" w:rsidP="00BE7839">
      <w:pPr>
        <w:rPr>
          <w:rFonts w:cs="Arial"/>
        </w:rPr>
      </w:pPr>
      <w:r w:rsidRPr="00514EFA">
        <w:rPr>
          <w:rFonts w:cs="Arial"/>
        </w:rPr>
        <w:t>The CASE programme is a joint strategic research programme led by the Department for Culture, Media and Sport (DCMS) and its sector leading arms-length bodies: Arts Council England, Historic England and Sport England. CASE use</w:t>
      </w:r>
      <w:r w:rsidR="00F5509B">
        <w:rPr>
          <w:rFonts w:cs="Arial"/>
        </w:rPr>
        <w:t>s</w:t>
      </w:r>
      <w:r w:rsidRPr="00514EFA">
        <w:rPr>
          <w:rFonts w:cs="Arial"/>
        </w:rPr>
        <w:t xml:space="preserve"> interdisciplinary research methods and analysis to inform the development of policy in culture and sport. </w:t>
      </w:r>
    </w:p>
    <w:p w14:paraId="6290ABE1" w14:textId="0D36ED91" w:rsidR="00BE7839" w:rsidRPr="00514EFA" w:rsidRDefault="000B13F1" w:rsidP="00BE7839">
      <w:pPr>
        <w:rPr>
          <w:rFonts w:cs="Arial"/>
        </w:rPr>
      </w:pPr>
      <w:r>
        <w:rPr>
          <w:rFonts w:cs="Arial"/>
        </w:rPr>
        <w:t>C</w:t>
      </w:r>
      <w:r w:rsidRPr="00514EFA">
        <w:rPr>
          <w:rFonts w:cs="Arial"/>
        </w:rPr>
        <w:t xml:space="preserve">ulture, sport and heritage </w:t>
      </w:r>
      <w:r w:rsidR="00BE7839" w:rsidRPr="00514EFA">
        <w:rPr>
          <w:rFonts w:cs="Arial"/>
        </w:rPr>
        <w:t xml:space="preserve">have a long history of contributing to places and communities. </w:t>
      </w:r>
      <w:r w:rsidR="00090A2A" w:rsidRPr="00514EFA">
        <w:rPr>
          <w:rFonts w:cs="Arial"/>
        </w:rPr>
        <w:t>I</w:t>
      </w:r>
      <w:r w:rsidR="00BE7839" w:rsidRPr="00514EFA">
        <w:rPr>
          <w:rFonts w:cs="Arial"/>
        </w:rPr>
        <w:t xml:space="preserve">n their many forms </w:t>
      </w:r>
      <w:r w:rsidR="00090A2A" w:rsidRPr="00514EFA">
        <w:rPr>
          <w:rFonts w:cs="Arial"/>
        </w:rPr>
        <w:t xml:space="preserve">they </w:t>
      </w:r>
      <w:r w:rsidR="00BE7839" w:rsidRPr="00514EFA">
        <w:rPr>
          <w:rFonts w:cs="Arial"/>
        </w:rPr>
        <w:t>are uniquely able to comment, reflect, influence, interpret and inspire and are increasingly recognised as a key part of the process that can help shape new places and engage communities.</w:t>
      </w:r>
      <w:r w:rsidR="00A033C6">
        <w:rPr>
          <w:rFonts w:cs="Arial"/>
        </w:rPr>
        <w:t xml:space="preserve"> </w:t>
      </w:r>
      <w:r w:rsidR="00090A2A" w:rsidRPr="00514EFA">
        <w:rPr>
          <w:rFonts w:cs="Arial"/>
        </w:rPr>
        <w:t xml:space="preserve">The CASE programme is committed to continuing to build the evidence base regarding the role of culture, sport and heritage in driving positive economic and social outcomes in local places. </w:t>
      </w:r>
    </w:p>
    <w:p w14:paraId="41B98F85" w14:textId="0F44795E" w:rsidR="0017534C" w:rsidRPr="00514EFA" w:rsidRDefault="00090A2A" w:rsidP="00BE7839">
      <w:pPr>
        <w:rPr>
          <w:rFonts w:cs="Arial"/>
        </w:rPr>
      </w:pPr>
      <w:r w:rsidRPr="00514EFA">
        <w:rPr>
          <w:rFonts w:cs="Arial"/>
        </w:rPr>
        <w:t>As part of this commitment, i</w:t>
      </w:r>
      <w:r w:rsidR="0017534C" w:rsidRPr="00514EFA">
        <w:rPr>
          <w:rFonts w:cs="Arial"/>
        </w:rPr>
        <w:t>n 2015 the CASE programme commissioned a partnership led by Trends Business Research Ltd (TBR)</w:t>
      </w:r>
      <w:r w:rsidR="003A45A9" w:rsidRPr="00514EFA">
        <w:rPr>
          <w:rFonts w:cs="Arial"/>
        </w:rPr>
        <w:t xml:space="preserve"> </w:t>
      </w:r>
      <w:r w:rsidR="0017534C" w:rsidRPr="00514EFA">
        <w:rPr>
          <w:rFonts w:cs="Arial"/>
        </w:rPr>
        <w:t xml:space="preserve">and including NEF Consulting </w:t>
      </w:r>
      <w:r w:rsidR="002642E9">
        <w:rPr>
          <w:rFonts w:cs="Arial"/>
        </w:rPr>
        <w:t xml:space="preserve">Ltd </w:t>
      </w:r>
      <w:r w:rsidR="0017534C" w:rsidRPr="00514EFA">
        <w:rPr>
          <w:rFonts w:cs="Arial"/>
        </w:rPr>
        <w:t>and Middlesex University to undertake an important and ground-breaking study examining the role that cultural, sport and heritage (CS&amp;H) assets and investment play in shaping local places</w:t>
      </w:r>
      <w:r w:rsidRPr="00514EFA">
        <w:rPr>
          <w:rFonts w:cs="Arial"/>
        </w:rPr>
        <w:t>.</w:t>
      </w:r>
    </w:p>
    <w:p w14:paraId="631EB898" w14:textId="40E7599D" w:rsidR="00BE7839" w:rsidRPr="00514EFA" w:rsidRDefault="00BE7839" w:rsidP="00BE7839">
      <w:pPr>
        <w:rPr>
          <w:rFonts w:cs="Arial"/>
        </w:rPr>
      </w:pPr>
      <w:r w:rsidRPr="00514EFA">
        <w:rPr>
          <w:rFonts w:cs="Arial"/>
        </w:rPr>
        <w:t xml:space="preserve">This study focuses on generating evidence to support the argument that </w:t>
      </w:r>
      <w:r w:rsidR="000B13F1" w:rsidRPr="00514EFA">
        <w:rPr>
          <w:rFonts w:cs="Arial"/>
        </w:rPr>
        <w:t xml:space="preserve">culture, sport and heritage </w:t>
      </w:r>
      <w:r w:rsidRPr="00514EFA">
        <w:rPr>
          <w:rFonts w:cs="Arial"/>
        </w:rPr>
        <w:t xml:space="preserve">infrastructure and investment have the ability to promote </w:t>
      </w:r>
      <w:r w:rsidR="00090A2A" w:rsidRPr="00514EFA">
        <w:rPr>
          <w:rFonts w:cs="Arial"/>
        </w:rPr>
        <w:t xml:space="preserve">and drive positive </w:t>
      </w:r>
      <w:r w:rsidRPr="00514EFA">
        <w:rPr>
          <w:rFonts w:cs="Arial"/>
        </w:rPr>
        <w:t>economic and social outcomes</w:t>
      </w:r>
      <w:r w:rsidR="00090A2A" w:rsidRPr="00514EFA">
        <w:rPr>
          <w:rFonts w:cs="Arial"/>
        </w:rPr>
        <w:t xml:space="preserve"> at the local level</w:t>
      </w:r>
      <w:r w:rsidR="004E4628">
        <w:rPr>
          <w:rFonts w:cs="Arial"/>
        </w:rPr>
        <w:t xml:space="preserve"> and thereby play a role in place-shaping</w:t>
      </w:r>
      <w:r w:rsidRPr="00514EFA">
        <w:rPr>
          <w:rFonts w:cs="Arial"/>
        </w:rPr>
        <w:t xml:space="preserve">. The aim of the study is to examine the extent to which </w:t>
      </w:r>
      <w:r w:rsidR="00D44C4D" w:rsidRPr="00514EFA">
        <w:rPr>
          <w:rFonts w:cs="Arial"/>
        </w:rPr>
        <w:t xml:space="preserve">culture, sport and heritage </w:t>
      </w:r>
      <w:r w:rsidRPr="00514EFA">
        <w:rPr>
          <w:rFonts w:cs="Arial"/>
        </w:rPr>
        <w:t>infrastructure and investment within a place influence (through direct and indirect impacts, tangible and intangible) the economy and society of that place.</w:t>
      </w:r>
      <w:r w:rsidR="00A033C6">
        <w:rPr>
          <w:rFonts w:cs="Arial"/>
        </w:rPr>
        <w:t xml:space="preserve"> </w:t>
      </w:r>
      <w:r w:rsidR="009E5B84">
        <w:rPr>
          <w:rFonts w:cs="Arial"/>
        </w:rPr>
        <w:t xml:space="preserve">Crucially, the study focuses on a range of potential economic indicators and linkages to the presence of CS&amp;H </w:t>
      </w:r>
      <w:r w:rsidR="002642E9">
        <w:rPr>
          <w:rFonts w:cs="Arial"/>
        </w:rPr>
        <w:t>infrastructure (‘</w:t>
      </w:r>
      <w:r w:rsidR="009E5B84">
        <w:rPr>
          <w:rFonts w:cs="Arial"/>
        </w:rPr>
        <w:t>assets</w:t>
      </w:r>
      <w:r w:rsidR="002642E9">
        <w:rPr>
          <w:rFonts w:cs="Arial"/>
        </w:rPr>
        <w:t>’)</w:t>
      </w:r>
      <w:r w:rsidR="009E5B84">
        <w:rPr>
          <w:rFonts w:cs="Arial"/>
        </w:rPr>
        <w:t xml:space="preserve"> and investment.</w:t>
      </w:r>
    </w:p>
    <w:p w14:paraId="2C9C819A" w14:textId="08D6F87F" w:rsidR="00BE7839" w:rsidRPr="00514EFA" w:rsidRDefault="00BE7839" w:rsidP="00796D8C">
      <w:pPr>
        <w:rPr>
          <w:rFonts w:cs="Arial"/>
        </w:rPr>
      </w:pPr>
      <w:r w:rsidRPr="00514EFA">
        <w:rPr>
          <w:rFonts w:cs="Arial"/>
        </w:rPr>
        <w:t>The study is by its very nature exploratory.</w:t>
      </w:r>
      <w:r w:rsidR="00A033C6">
        <w:rPr>
          <w:rFonts w:cs="Arial"/>
        </w:rPr>
        <w:t xml:space="preserve"> </w:t>
      </w:r>
      <w:r w:rsidR="00090A2A" w:rsidRPr="00514EFA">
        <w:rPr>
          <w:rFonts w:cs="Arial"/>
        </w:rPr>
        <w:t xml:space="preserve">It </w:t>
      </w:r>
      <w:r w:rsidR="00753A00">
        <w:rPr>
          <w:rFonts w:cs="Arial"/>
        </w:rPr>
        <w:t>builds</w:t>
      </w:r>
      <w:r w:rsidR="00753A00" w:rsidRPr="00514EFA">
        <w:rPr>
          <w:rFonts w:cs="Arial"/>
        </w:rPr>
        <w:t xml:space="preserve"> </w:t>
      </w:r>
      <w:r w:rsidR="00090A2A" w:rsidRPr="00514EFA">
        <w:rPr>
          <w:rFonts w:cs="Arial"/>
        </w:rPr>
        <w:t xml:space="preserve">on a feasibility study published </w:t>
      </w:r>
      <w:r w:rsidR="00090A2A" w:rsidRPr="00342903">
        <w:rPr>
          <w:rFonts w:cs="Arial"/>
        </w:rPr>
        <w:t xml:space="preserve">by the CASE programme in 2011 – </w:t>
      </w:r>
      <w:r w:rsidR="00090A2A" w:rsidRPr="00342903">
        <w:rPr>
          <w:rFonts w:cs="Arial"/>
          <w:i/>
        </w:rPr>
        <w:t>The Art of the Possible</w:t>
      </w:r>
      <w:r w:rsidR="008A3A4A" w:rsidRPr="00342903">
        <w:rPr>
          <w:rFonts w:cs="Arial"/>
          <w:i/>
        </w:rPr>
        <w:t xml:space="preserve"> </w:t>
      </w:r>
      <w:r w:rsidR="008A3A4A" w:rsidRPr="00342903">
        <w:rPr>
          <w:rFonts w:cs="Arial"/>
        </w:rPr>
        <w:t>(TBR &amp; Cities Institute, 2011)</w:t>
      </w:r>
      <w:r w:rsidR="00090A2A" w:rsidRPr="00342903">
        <w:rPr>
          <w:rFonts w:cs="Arial"/>
        </w:rPr>
        <w:t xml:space="preserve"> – </w:t>
      </w:r>
      <w:r w:rsidR="00090A2A" w:rsidRPr="00514EFA">
        <w:rPr>
          <w:rFonts w:cs="Arial"/>
        </w:rPr>
        <w:t>which identified techniques and data sources that would support an empirical approach to measuring and evidencing economic and social impacts arising from culture, sport and heritage assets and investment.</w:t>
      </w:r>
    </w:p>
    <w:p w14:paraId="2E6450E8" w14:textId="59809817" w:rsidR="00B2334C" w:rsidRPr="00514EFA" w:rsidRDefault="00B2334C" w:rsidP="00B2334C">
      <w:pPr>
        <w:pStyle w:val="Heading2Numbered"/>
      </w:pPr>
      <w:bookmarkStart w:id="9" w:name="_Toc467569581"/>
      <w:r w:rsidRPr="00514EFA">
        <w:t>Aims and objectives</w:t>
      </w:r>
      <w:bookmarkEnd w:id="9"/>
    </w:p>
    <w:p w14:paraId="23B36380" w14:textId="1A57AC4F" w:rsidR="00B2334C" w:rsidRPr="00514EFA" w:rsidRDefault="00B2334C" w:rsidP="00B2334C">
      <w:pPr>
        <w:rPr>
          <w:rFonts w:cs="Arial"/>
        </w:rPr>
      </w:pPr>
      <w:r w:rsidRPr="00514EFA">
        <w:rPr>
          <w:rFonts w:cs="Arial"/>
        </w:rPr>
        <w:t>This report is the output of a significant research exercise, undertaken iteratively in order to navigate the various complexities associated with the required analysis, the data upon which it might draw and the lack of ‘tried and tested’ approach</w:t>
      </w:r>
      <w:r w:rsidR="009E49B1">
        <w:rPr>
          <w:rFonts w:cs="Arial"/>
        </w:rPr>
        <w:t>es</w:t>
      </w:r>
      <w:r w:rsidRPr="00514EFA">
        <w:rPr>
          <w:rFonts w:cs="Arial"/>
        </w:rPr>
        <w:t xml:space="preserve"> within the existing literature.</w:t>
      </w:r>
      <w:r w:rsidR="00A033C6">
        <w:rPr>
          <w:rFonts w:cs="Arial"/>
        </w:rPr>
        <w:t xml:space="preserve"> </w:t>
      </w:r>
      <w:r w:rsidR="00DE1304">
        <w:rPr>
          <w:rFonts w:cs="Arial"/>
        </w:rPr>
        <w:t>T</w:t>
      </w:r>
      <w:r w:rsidRPr="00514EFA">
        <w:rPr>
          <w:rFonts w:cs="Arial"/>
        </w:rPr>
        <w:t>he aims and objectives of the study have evolved and been refined as a result of discoveries made along the research pathway and consideration of their implications.</w:t>
      </w:r>
    </w:p>
    <w:p w14:paraId="158EA756" w14:textId="0634F8C4" w:rsidR="00B2334C" w:rsidRDefault="009E5B84" w:rsidP="00B2334C">
      <w:pPr>
        <w:rPr>
          <w:rFonts w:cs="Arial"/>
        </w:rPr>
      </w:pPr>
      <w:r>
        <w:rPr>
          <w:rFonts w:cs="Arial"/>
        </w:rPr>
        <w:t xml:space="preserve">This study contributes to </w:t>
      </w:r>
      <w:r w:rsidR="009E49B1">
        <w:rPr>
          <w:rFonts w:cs="Arial"/>
        </w:rPr>
        <w:t xml:space="preserve">the </w:t>
      </w:r>
      <w:r>
        <w:rPr>
          <w:rFonts w:cs="Arial"/>
        </w:rPr>
        <w:t>wider</w:t>
      </w:r>
      <w:r w:rsidR="00B2334C" w:rsidRPr="00514EFA">
        <w:rPr>
          <w:rFonts w:cs="Arial"/>
        </w:rPr>
        <w:t xml:space="preserve"> ambition of the C</w:t>
      </w:r>
      <w:r>
        <w:rPr>
          <w:rFonts w:cs="Arial"/>
        </w:rPr>
        <w:t>A</w:t>
      </w:r>
      <w:r w:rsidR="00B2334C" w:rsidRPr="00514EFA">
        <w:rPr>
          <w:rFonts w:cs="Arial"/>
        </w:rPr>
        <w:t>SE programme</w:t>
      </w:r>
      <w:r>
        <w:rPr>
          <w:rFonts w:cs="Arial"/>
        </w:rPr>
        <w:t xml:space="preserve"> </w:t>
      </w:r>
      <w:r w:rsidR="00B2334C" w:rsidRPr="00514EFA">
        <w:rPr>
          <w:rFonts w:cs="Arial"/>
        </w:rPr>
        <w:t xml:space="preserve">to build a body of evidence in response to the following </w:t>
      </w:r>
      <w:r w:rsidR="004E4628">
        <w:rPr>
          <w:rFonts w:cs="Arial"/>
        </w:rPr>
        <w:t xml:space="preserve">over-arching research </w:t>
      </w:r>
      <w:r w:rsidR="00B2334C" w:rsidRPr="00514EFA">
        <w:rPr>
          <w:rFonts w:cs="Arial"/>
        </w:rPr>
        <w:t>question</w:t>
      </w:r>
      <w:r w:rsidR="009E49B1">
        <w:rPr>
          <w:rFonts w:cs="Arial"/>
        </w:rPr>
        <w:t>:</w:t>
      </w:r>
    </w:p>
    <w:p w14:paraId="48E50530" w14:textId="77777777" w:rsidR="00DE1304" w:rsidRDefault="00DE1304" w:rsidP="00B2334C">
      <w:pPr>
        <w:rPr>
          <w:rFonts w:cs="Arial"/>
        </w:rPr>
      </w:pPr>
    </w:p>
    <w:tbl>
      <w:tblPr>
        <w:tblStyle w:val="TableGrid"/>
        <w:tblW w:w="0" w:type="auto"/>
        <w:tblInd w:w="1361" w:type="dxa"/>
        <w:tblLook w:val="04A0" w:firstRow="1" w:lastRow="0" w:firstColumn="1" w:lastColumn="0" w:noHBand="0" w:noVBand="1"/>
      </w:tblPr>
      <w:tblGrid>
        <w:gridCol w:w="8209"/>
      </w:tblGrid>
      <w:tr w:rsidR="00DE1304" w14:paraId="00B55E08" w14:textId="77777777" w:rsidTr="00DE1304">
        <w:tc>
          <w:tcPr>
            <w:tcW w:w="9570" w:type="dxa"/>
          </w:tcPr>
          <w:p w14:paraId="36CF704A" w14:textId="0D0FA154" w:rsidR="00DE1304" w:rsidRPr="00514EFA" w:rsidRDefault="00DE1304" w:rsidP="00520273">
            <w:pPr>
              <w:ind w:left="624"/>
            </w:pPr>
            <w:r w:rsidRPr="00514EFA">
              <w:t xml:space="preserve">To what extent does </w:t>
            </w:r>
            <w:r w:rsidR="00D44C4D" w:rsidRPr="00514EFA">
              <w:rPr>
                <w:rFonts w:cs="Arial"/>
              </w:rPr>
              <w:t xml:space="preserve">culture, sport and heritage </w:t>
            </w:r>
            <w:r w:rsidRPr="00514EFA">
              <w:t>infrastructure and investment within a place (e.g. city-region, rural area) influence the:</w:t>
            </w:r>
          </w:p>
          <w:p w14:paraId="3EE16CB1" w14:textId="2BACCEA3" w:rsidR="00DE1304" w:rsidRPr="00514EFA" w:rsidRDefault="00DE1304" w:rsidP="007002B5">
            <w:pPr>
              <w:numPr>
                <w:ilvl w:val="0"/>
                <w:numId w:val="30"/>
              </w:numPr>
              <w:ind w:left="1191"/>
            </w:pPr>
            <w:r w:rsidRPr="00514EFA">
              <w:rPr>
                <w:b/>
                <w:bCs/>
              </w:rPr>
              <w:t>Economy</w:t>
            </w:r>
            <w:r w:rsidRPr="00514EFA">
              <w:t xml:space="preserve">: </w:t>
            </w:r>
            <w:r w:rsidR="007002B5">
              <w:t>p</w:t>
            </w:r>
            <w:r w:rsidR="007002B5" w:rsidRPr="00514EFA">
              <w:t xml:space="preserve">ersonal </w:t>
            </w:r>
            <w:r w:rsidRPr="00514EFA">
              <w:t>income, output (GVA), productivity, property prices, tourism, inward investment, business relocation, employment and skills</w:t>
            </w:r>
            <w:r w:rsidR="007002B5">
              <w:t>,</w:t>
            </w:r>
            <w:r w:rsidRPr="00514EFA">
              <w:t xml:space="preserve"> etc.</w:t>
            </w:r>
          </w:p>
          <w:p w14:paraId="0555A9FD" w14:textId="7274D4E5" w:rsidR="00A033C6" w:rsidRPr="00514EFA" w:rsidRDefault="00DE1304" w:rsidP="007002B5">
            <w:pPr>
              <w:numPr>
                <w:ilvl w:val="0"/>
                <w:numId w:val="30"/>
              </w:numPr>
              <w:ind w:left="1191"/>
              <w:rPr>
                <w:b/>
                <w:bCs/>
              </w:rPr>
            </w:pPr>
            <w:r w:rsidRPr="00514EFA">
              <w:rPr>
                <w:b/>
                <w:bCs/>
              </w:rPr>
              <w:t xml:space="preserve">Society: </w:t>
            </w:r>
            <w:r w:rsidRPr="00514EFA">
              <w:t>demographic characteristics (including ethnicity), education and learning, health, deprivation, social capital, crime and neighbourhood, wellbeing, identity</w:t>
            </w:r>
            <w:r w:rsidR="007002B5">
              <w:t>,</w:t>
            </w:r>
            <w:r w:rsidRPr="00514EFA">
              <w:t xml:space="preserve"> etc.</w:t>
            </w:r>
          </w:p>
          <w:p w14:paraId="4BB52E13" w14:textId="77777777" w:rsidR="00DE1304" w:rsidRDefault="00DE1304" w:rsidP="00520273">
            <w:pPr>
              <w:ind w:left="831"/>
            </w:pPr>
          </w:p>
        </w:tc>
      </w:tr>
    </w:tbl>
    <w:p w14:paraId="76749F75" w14:textId="77777777" w:rsidR="00DE1304" w:rsidRPr="00514EFA" w:rsidRDefault="00DE1304" w:rsidP="00B2334C">
      <w:pPr>
        <w:rPr>
          <w:rFonts w:cs="Arial"/>
        </w:rPr>
      </w:pPr>
    </w:p>
    <w:p w14:paraId="55AC32E5" w14:textId="45D55E9C" w:rsidR="004E4628" w:rsidRDefault="009E5B84" w:rsidP="009E5B84">
      <w:pPr>
        <w:rPr>
          <w:rFonts w:cs="Arial"/>
        </w:rPr>
      </w:pPr>
      <w:r>
        <w:rPr>
          <w:rFonts w:cs="Arial"/>
        </w:rPr>
        <w:t>The specific research questions this study respond</w:t>
      </w:r>
      <w:r w:rsidR="00121553">
        <w:rPr>
          <w:rFonts w:cs="Arial"/>
        </w:rPr>
        <w:t>s</w:t>
      </w:r>
      <w:r>
        <w:rPr>
          <w:rFonts w:cs="Arial"/>
        </w:rPr>
        <w:t xml:space="preserve"> to </w:t>
      </w:r>
      <w:r w:rsidR="00121553">
        <w:rPr>
          <w:rFonts w:cs="Arial"/>
        </w:rPr>
        <w:t>were determined</w:t>
      </w:r>
      <w:r>
        <w:rPr>
          <w:rFonts w:cs="Arial"/>
        </w:rPr>
        <w:t xml:space="preserve"> through a process of </w:t>
      </w:r>
      <w:r w:rsidR="00121553">
        <w:rPr>
          <w:rFonts w:cs="Arial"/>
        </w:rPr>
        <w:t xml:space="preserve">initial </w:t>
      </w:r>
      <w:r>
        <w:rPr>
          <w:rFonts w:cs="Arial"/>
        </w:rPr>
        <w:t>research, data collection</w:t>
      </w:r>
      <w:r w:rsidR="00A67A06">
        <w:rPr>
          <w:rFonts w:cs="Arial"/>
        </w:rPr>
        <w:t xml:space="preserve"> and </w:t>
      </w:r>
      <w:r>
        <w:rPr>
          <w:rFonts w:cs="Arial"/>
        </w:rPr>
        <w:t>assessment</w:t>
      </w:r>
      <w:r w:rsidR="00A67A06">
        <w:rPr>
          <w:rFonts w:cs="Arial"/>
        </w:rPr>
        <w:t>,</w:t>
      </w:r>
      <w:r>
        <w:rPr>
          <w:rFonts w:cs="Arial"/>
        </w:rPr>
        <w:t xml:space="preserve"> and discussion with the project </w:t>
      </w:r>
      <w:r w:rsidR="007002B5">
        <w:rPr>
          <w:rFonts w:cs="Arial"/>
        </w:rPr>
        <w:t xml:space="preserve">steering group </w:t>
      </w:r>
      <w:r>
        <w:rPr>
          <w:rFonts w:cs="Arial"/>
        </w:rPr>
        <w:t xml:space="preserve">(comprising representatives of each of the four organisations involved in the CASE </w:t>
      </w:r>
      <w:r w:rsidR="009E49B1">
        <w:rPr>
          <w:rFonts w:cs="Arial"/>
        </w:rPr>
        <w:t>programme</w:t>
      </w:r>
      <w:r>
        <w:rPr>
          <w:rFonts w:cs="Arial"/>
        </w:rPr>
        <w:t>).</w:t>
      </w:r>
      <w:r w:rsidR="00121553">
        <w:rPr>
          <w:rFonts w:cs="Arial"/>
        </w:rPr>
        <w:t xml:space="preserve"> </w:t>
      </w:r>
      <w:r w:rsidR="00B2334C" w:rsidRPr="00514EFA">
        <w:rPr>
          <w:rFonts w:cs="Arial"/>
        </w:rPr>
        <w:t>Ultimately the nature of data available for both the independent variables (</w:t>
      </w:r>
      <w:r w:rsidR="0078711E" w:rsidRPr="00514EFA">
        <w:rPr>
          <w:rFonts w:cs="Arial"/>
        </w:rPr>
        <w:t>culture, sport and heritage</w:t>
      </w:r>
      <w:r w:rsidR="00B2334C" w:rsidRPr="00514EFA">
        <w:rPr>
          <w:rFonts w:cs="Arial"/>
        </w:rPr>
        <w:t xml:space="preserve"> assets and investment ) and the dependent variables (the range of outcomes that might arise from the factors represented by the independent variables) </w:t>
      </w:r>
      <w:r w:rsidR="000A2868" w:rsidRPr="00514EFA">
        <w:rPr>
          <w:rFonts w:cs="Arial"/>
        </w:rPr>
        <w:t>drove the final decisions on the contribution this study could and should make to the evidence base</w:t>
      </w:r>
      <w:r w:rsidR="00121553">
        <w:rPr>
          <w:rFonts w:cs="Arial"/>
        </w:rPr>
        <w:t>, which</w:t>
      </w:r>
      <w:r w:rsidR="00117F49" w:rsidRPr="00514EFA">
        <w:rPr>
          <w:rFonts w:cs="Arial"/>
        </w:rPr>
        <w:t xml:space="preserve"> the </w:t>
      </w:r>
      <w:r w:rsidR="0078711E" w:rsidRPr="00514EFA">
        <w:rPr>
          <w:rFonts w:cs="Arial"/>
        </w:rPr>
        <w:t>steering group</w:t>
      </w:r>
      <w:r w:rsidR="00117F49" w:rsidRPr="00514EFA">
        <w:rPr>
          <w:rFonts w:cs="Arial"/>
        </w:rPr>
        <w:t xml:space="preserve"> </w:t>
      </w:r>
      <w:r w:rsidR="00121553">
        <w:rPr>
          <w:rFonts w:cs="Arial"/>
        </w:rPr>
        <w:t>agreed should</w:t>
      </w:r>
      <w:r w:rsidR="00117F49" w:rsidRPr="00514EFA">
        <w:rPr>
          <w:rFonts w:cs="Arial"/>
        </w:rPr>
        <w:t xml:space="preserve"> target specific gaps in the current evidence of economic </w:t>
      </w:r>
      <w:r w:rsidR="00EA0CEB">
        <w:rPr>
          <w:rFonts w:cs="Arial"/>
        </w:rPr>
        <w:t>(</w:t>
      </w:r>
      <w:r w:rsidR="00117F49" w:rsidRPr="00514EFA">
        <w:rPr>
          <w:rFonts w:cs="Arial"/>
        </w:rPr>
        <w:t>and social</w:t>
      </w:r>
      <w:r w:rsidR="00EA0CEB">
        <w:rPr>
          <w:rFonts w:cs="Arial"/>
        </w:rPr>
        <w:t>)</w:t>
      </w:r>
      <w:r w:rsidR="00117F49" w:rsidRPr="00514EFA">
        <w:rPr>
          <w:rFonts w:cs="Arial"/>
        </w:rPr>
        <w:t xml:space="preserve"> impacts arising from CS&amp;H assets and investment.</w:t>
      </w:r>
      <w:r w:rsidR="00A033C6">
        <w:rPr>
          <w:rFonts w:cs="Arial"/>
        </w:rPr>
        <w:t xml:space="preserve"> </w:t>
      </w:r>
    </w:p>
    <w:p w14:paraId="689D27F9" w14:textId="55C3C866" w:rsidR="00B2334C" w:rsidRDefault="0078711E" w:rsidP="009E5B84">
      <w:pPr>
        <w:rPr>
          <w:rFonts w:cs="Arial"/>
        </w:rPr>
      </w:pPr>
      <w:r>
        <w:rPr>
          <w:rFonts w:cs="Arial"/>
        </w:rPr>
        <w:t>I</w:t>
      </w:r>
      <w:r w:rsidR="004E4628">
        <w:rPr>
          <w:rFonts w:cs="Arial"/>
        </w:rPr>
        <w:t>t is important to emphasise that a focus on the role of CS&amp;H assets and investment play in place-shaping was maintained through an examination of the linkages between CS&amp;H assets and investment and economic outcomes that are inherent to positive place-shaping (e.g. more and better firms/jobs that residents of a place can access and benefit from).</w:t>
      </w:r>
      <w:r w:rsidR="00A033C6">
        <w:rPr>
          <w:rFonts w:cs="Arial"/>
        </w:rPr>
        <w:t xml:space="preserve"> </w:t>
      </w:r>
      <w:r w:rsidR="00C17BF2">
        <w:rPr>
          <w:rFonts w:cs="Arial"/>
        </w:rPr>
        <w:t>A central idea running through this study is, therefore, that positive economic and social impacts are inherent goals associated with place-shaping.</w:t>
      </w:r>
    </w:p>
    <w:p w14:paraId="24C3A084" w14:textId="77777777" w:rsidR="009E5B84" w:rsidRDefault="009E5B84" w:rsidP="009E5B84">
      <w:pPr>
        <w:rPr>
          <w:rFonts w:cs="Arial"/>
        </w:rPr>
      </w:pPr>
      <w:r>
        <w:rPr>
          <w:rFonts w:cs="Arial"/>
        </w:rPr>
        <w:t>This study specifically addresses the following research aim:</w:t>
      </w:r>
    </w:p>
    <w:p w14:paraId="1DA7630B" w14:textId="77777777" w:rsidR="009E5B84" w:rsidRPr="009E5B84" w:rsidRDefault="009E5B84" w:rsidP="00520273">
      <w:pPr>
        <w:ind w:left="1985"/>
        <w:rPr>
          <w:rFonts w:cs="Arial"/>
          <w:b/>
          <w:i/>
        </w:rPr>
      </w:pPr>
      <w:r w:rsidRPr="009E5B84">
        <w:rPr>
          <w:rFonts w:cs="Arial"/>
          <w:b/>
          <w:i/>
        </w:rPr>
        <w:t>To investigate, through econometric estimation, the link between CS&amp;H assets and investment and a range of indicators of economic health, both for local economies as a whole and also the creative industries.</w:t>
      </w:r>
    </w:p>
    <w:p w14:paraId="299CF2B6" w14:textId="1EA979A5" w:rsidR="009E5B84" w:rsidRDefault="003D2B38" w:rsidP="009E5B84">
      <w:pPr>
        <w:rPr>
          <w:rFonts w:cs="Arial"/>
        </w:rPr>
      </w:pPr>
      <w:r w:rsidRPr="00980CF7">
        <w:rPr>
          <w:rFonts w:cs="Arial"/>
        </w:rPr>
        <w:t xml:space="preserve">It is important to </w:t>
      </w:r>
      <w:r w:rsidR="00980CF7" w:rsidRPr="00A43B85">
        <w:rPr>
          <w:rFonts w:cs="Arial"/>
        </w:rPr>
        <w:t xml:space="preserve">note </w:t>
      </w:r>
      <w:r w:rsidRPr="00804037">
        <w:rPr>
          <w:rFonts w:cs="Arial"/>
        </w:rPr>
        <w:t>that this is not a study which seeks to</w:t>
      </w:r>
      <w:r>
        <w:rPr>
          <w:rFonts w:cs="Arial"/>
        </w:rPr>
        <w:t xml:space="preserve"> understand whether CS&amp;H assets agglomerate together (i.e. it is not a ‘cluster’ study).</w:t>
      </w:r>
      <w:r w:rsidR="00A033C6">
        <w:rPr>
          <w:rFonts w:cs="Arial"/>
        </w:rPr>
        <w:t xml:space="preserve"> </w:t>
      </w:r>
      <w:r>
        <w:rPr>
          <w:rFonts w:cs="Arial"/>
        </w:rPr>
        <w:t xml:space="preserve">Rather, </w:t>
      </w:r>
      <w:r w:rsidR="00980CF7">
        <w:rPr>
          <w:rFonts w:cs="Arial"/>
        </w:rPr>
        <w:t xml:space="preserve">the </w:t>
      </w:r>
      <w:r>
        <w:rPr>
          <w:rFonts w:cs="Arial"/>
        </w:rPr>
        <w:t xml:space="preserve">study seeks to understand whether there is a relationship between CS&amp;H critical mass (either in terms of assets density or investment density) and specific place-shaping outcomes. </w:t>
      </w:r>
    </w:p>
    <w:p w14:paraId="197268C7" w14:textId="77777777" w:rsidR="00A033C6" w:rsidRDefault="00A033C6">
      <w:pPr>
        <w:spacing w:before="0"/>
        <w:ind w:left="0"/>
        <w:rPr>
          <w:rFonts w:cs="Arial"/>
          <w:b/>
          <w:bCs/>
          <w:iCs/>
          <w:sz w:val="28"/>
          <w:szCs w:val="28"/>
        </w:rPr>
      </w:pPr>
      <w:r>
        <w:br w:type="page"/>
      </w:r>
    </w:p>
    <w:p w14:paraId="0B24B762" w14:textId="77777777" w:rsidR="00BE7839" w:rsidRPr="00514EFA" w:rsidRDefault="00BE7839" w:rsidP="00BE7839">
      <w:pPr>
        <w:pStyle w:val="Heading2Numbered"/>
      </w:pPr>
      <w:bookmarkStart w:id="10" w:name="_Toc441588950"/>
      <w:bookmarkStart w:id="11" w:name="_Toc467569582"/>
      <w:r w:rsidRPr="00514EFA">
        <w:lastRenderedPageBreak/>
        <w:t>Approach</w:t>
      </w:r>
      <w:bookmarkEnd w:id="10"/>
      <w:bookmarkEnd w:id="11"/>
    </w:p>
    <w:p w14:paraId="1A9BD430" w14:textId="7BD32985" w:rsidR="00BE7839" w:rsidRPr="00514EFA" w:rsidRDefault="00BE7839" w:rsidP="00514EFA">
      <w:pPr>
        <w:rPr>
          <w:rFonts w:cs="Arial"/>
        </w:rPr>
      </w:pPr>
      <w:r w:rsidRPr="00514EFA">
        <w:rPr>
          <w:rFonts w:cs="Arial"/>
        </w:rPr>
        <w:t xml:space="preserve">The approach </w:t>
      </w:r>
      <w:r w:rsidR="00B2334C" w:rsidRPr="00514EFA">
        <w:rPr>
          <w:rFonts w:cs="Arial"/>
        </w:rPr>
        <w:t xml:space="preserve">to the study </w:t>
      </w:r>
      <w:r w:rsidRPr="00514EFA">
        <w:rPr>
          <w:rFonts w:cs="Arial"/>
        </w:rPr>
        <w:t>was based on three key tasks:</w:t>
      </w:r>
    </w:p>
    <w:p w14:paraId="67280802" w14:textId="3B2ADE1F" w:rsidR="00BE7839" w:rsidRPr="00514EFA" w:rsidRDefault="00BE7839" w:rsidP="00BB7156">
      <w:pPr>
        <w:pStyle w:val="NumberedList"/>
      </w:pPr>
      <w:r w:rsidRPr="00514EFA">
        <w:t xml:space="preserve">Literature </w:t>
      </w:r>
      <w:r w:rsidR="004E4628">
        <w:t xml:space="preserve">and data </w:t>
      </w:r>
      <w:r w:rsidRPr="00514EFA">
        <w:t>review: A synthesis of existing evidence</w:t>
      </w:r>
      <w:r w:rsidR="004E4628">
        <w:t xml:space="preserve"> and available relevant data</w:t>
      </w:r>
      <w:r w:rsidRPr="00514EFA">
        <w:t>, covering each area of impact and building them into a ‘conceptual framework’</w:t>
      </w:r>
      <w:r w:rsidR="00B2334C" w:rsidRPr="00514EFA">
        <w:t>.</w:t>
      </w:r>
    </w:p>
    <w:p w14:paraId="05C81503" w14:textId="401C42B1" w:rsidR="00BE7839" w:rsidRPr="00514EFA" w:rsidRDefault="00B2334C" w:rsidP="00BB7156">
      <w:pPr>
        <w:pStyle w:val="NumberedList"/>
      </w:pPr>
      <w:r w:rsidRPr="00514EFA">
        <w:t>Secondary data analysis: Compiling</w:t>
      </w:r>
      <w:r w:rsidR="00BE7839" w:rsidRPr="00514EFA">
        <w:t xml:space="preserve"> and conduct</w:t>
      </w:r>
      <w:r w:rsidRPr="00514EFA">
        <w:t>ing</w:t>
      </w:r>
      <w:r w:rsidR="00BE7839" w:rsidRPr="00514EFA">
        <w:t xml:space="preserve"> analysis </w:t>
      </w:r>
      <w:r w:rsidR="0026757B">
        <w:t xml:space="preserve">on </w:t>
      </w:r>
      <w:r w:rsidR="00BE7839" w:rsidRPr="00514EFA">
        <w:t>secondary datasets (</w:t>
      </w:r>
      <w:r w:rsidR="009E49B1">
        <w:t>including</w:t>
      </w:r>
      <w:r w:rsidR="00BE7839" w:rsidRPr="00514EFA">
        <w:t xml:space="preserve"> </w:t>
      </w:r>
      <w:r w:rsidR="009E49B1">
        <w:t xml:space="preserve">but not limited to </w:t>
      </w:r>
      <w:r w:rsidR="00BE7839" w:rsidRPr="00514EFA">
        <w:t xml:space="preserve">those already identified by previous research) to </w:t>
      </w:r>
      <w:r w:rsidR="0026757B">
        <w:t>explore</w:t>
      </w:r>
      <w:r w:rsidR="0026757B" w:rsidRPr="00514EFA">
        <w:t xml:space="preserve"> </w:t>
      </w:r>
      <w:r w:rsidR="00BE7839" w:rsidRPr="00514EFA">
        <w:t xml:space="preserve">the relationships between </w:t>
      </w:r>
      <w:r w:rsidR="00D44C4D" w:rsidRPr="00514EFA">
        <w:t xml:space="preserve">culture, sport and heritage </w:t>
      </w:r>
      <w:r w:rsidR="00BE7839" w:rsidRPr="00514EFA">
        <w:t>infrastructure and</w:t>
      </w:r>
      <w:r w:rsidR="00A67A06">
        <w:t xml:space="preserve"> investment and their</w:t>
      </w:r>
      <w:r w:rsidR="00BE7839" w:rsidRPr="00514EFA">
        <w:t xml:space="preserve"> impact</w:t>
      </w:r>
      <w:r w:rsidRPr="00514EFA">
        <w:t>.</w:t>
      </w:r>
    </w:p>
    <w:p w14:paraId="67DAD739" w14:textId="173765D5" w:rsidR="00BE7839" w:rsidRPr="00514EFA" w:rsidRDefault="00BE7839" w:rsidP="00BB7156">
      <w:pPr>
        <w:pStyle w:val="NumberedList"/>
      </w:pPr>
      <w:r w:rsidRPr="00514EFA">
        <w:t xml:space="preserve">Primary data analysis: </w:t>
      </w:r>
      <w:r w:rsidR="009E49B1" w:rsidRPr="00514EFA">
        <w:t>explor</w:t>
      </w:r>
      <w:r w:rsidR="009E49B1">
        <w:t>ing</w:t>
      </w:r>
      <w:r w:rsidR="009E49B1" w:rsidRPr="00514EFA">
        <w:t xml:space="preserve"> </w:t>
      </w:r>
      <w:r w:rsidRPr="00514EFA">
        <w:t xml:space="preserve">and </w:t>
      </w:r>
      <w:r w:rsidR="009E49B1" w:rsidRPr="00514EFA">
        <w:t>evaluat</w:t>
      </w:r>
      <w:r w:rsidR="009E49B1">
        <w:t>ing</w:t>
      </w:r>
      <w:r w:rsidR="009E49B1" w:rsidRPr="00514EFA">
        <w:t xml:space="preserve"> </w:t>
      </w:r>
      <w:r w:rsidRPr="00514EFA">
        <w:t xml:space="preserve">gaps in the </w:t>
      </w:r>
      <w:r w:rsidR="000F1138">
        <w:t xml:space="preserve">available </w:t>
      </w:r>
      <w:r w:rsidRPr="00514EFA">
        <w:t xml:space="preserve">data and </w:t>
      </w:r>
      <w:r w:rsidR="000F1138">
        <w:t xml:space="preserve">identifying </w:t>
      </w:r>
      <w:r w:rsidRPr="00514EFA">
        <w:t>primary data options for future analysis.</w:t>
      </w:r>
    </w:p>
    <w:p w14:paraId="517F9C51" w14:textId="07969331" w:rsidR="00BE7839" w:rsidRPr="00514EFA" w:rsidRDefault="00BE7839" w:rsidP="00514EFA">
      <w:pPr>
        <w:rPr>
          <w:rFonts w:cs="Arial"/>
        </w:rPr>
      </w:pPr>
      <w:r w:rsidRPr="00514EFA">
        <w:rPr>
          <w:rFonts w:cs="Arial"/>
        </w:rPr>
        <w:t xml:space="preserve">The main body of this </w:t>
      </w:r>
      <w:r w:rsidR="000F1138">
        <w:rPr>
          <w:rFonts w:cs="Arial"/>
        </w:rPr>
        <w:t>report</w:t>
      </w:r>
      <w:r w:rsidR="000F1138" w:rsidRPr="00514EFA">
        <w:rPr>
          <w:rFonts w:cs="Arial"/>
        </w:rPr>
        <w:t xml:space="preserve"> </w:t>
      </w:r>
      <w:r w:rsidRPr="00514EFA">
        <w:rPr>
          <w:rFonts w:cs="Arial"/>
        </w:rPr>
        <w:t>includes further comments on the methodologies used including the analytical and statistical techniques employed.</w:t>
      </w:r>
      <w:r w:rsidR="00A033C6">
        <w:rPr>
          <w:rFonts w:cs="Arial"/>
        </w:rPr>
        <w:t xml:space="preserve"> </w:t>
      </w:r>
      <w:r w:rsidR="007770D4" w:rsidRPr="00514EFA">
        <w:rPr>
          <w:rFonts w:cs="Arial"/>
        </w:rPr>
        <w:t xml:space="preserve">Specifically, </w:t>
      </w:r>
      <w:r w:rsidR="00195FA3">
        <w:rPr>
          <w:rFonts w:cs="Arial"/>
        </w:rPr>
        <w:t>chapter</w:t>
      </w:r>
      <w:r w:rsidR="00195FA3" w:rsidRPr="00514EFA">
        <w:rPr>
          <w:rFonts w:cs="Arial"/>
        </w:rPr>
        <w:t xml:space="preserve"> </w:t>
      </w:r>
      <w:r w:rsidR="00195FA3">
        <w:rPr>
          <w:rFonts w:cs="Arial"/>
        </w:rPr>
        <w:fldChar w:fldCharType="begin"/>
      </w:r>
      <w:r w:rsidR="00195FA3">
        <w:rPr>
          <w:rFonts w:cs="Arial"/>
        </w:rPr>
        <w:instrText xml:space="preserve"> REF _Ref460315582 \r \h </w:instrText>
      </w:r>
      <w:r w:rsidR="00195FA3">
        <w:rPr>
          <w:rFonts w:cs="Arial"/>
        </w:rPr>
      </w:r>
      <w:r w:rsidR="00195FA3">
        <w:rPr>
          <w:rFonts w:cs="Arial"/>
        </w:rPr>
        <w:fldChar w:fldCharType="separate"/>
      </w:r>
      <w:r w:rsidR="00F0636B">
        <w:rPr>
          <w:rFonts w:cs="Arial"/>
        </w:rPr>
        <w:t>3:</w:t>
      </w:r>
      <w:r w:rsidR="00195FA3">
        <w:rPr>
          <w:rFonts w:cs="Arial"/>
        </w:rPr>
        <w:fldChar w:fldCharType="end"/>
      </w:r>
      <w:r w:rsidR="00195FA3">
        <w:rPr>
          <w:rFonts w:cs="Arial"/>
        </w:rPr>
        <w:t xml:space="preserve"> (p.</w:t>
      </w:r>
      <w:r w:rsidR="00BB7156">
        <w:rPr>
          <w:rFonts w:cs="Arial"/>
        </w:rPr>
        <w:fldChar w:fldCharType="begin"/>
      </w:r>
      <w:r w:rsidR="00BB7156">
        <w:rPr>
          <w:rFonts w:cs="Arial"/>
        </w:rPr>
        <w:instrText xml:space="preserve"> PAGEREF _Ref460315582 \h </w:instrText>
      </w:r>
      <w:r w:rsidR="00BB7156">
        <w:rPr>
          <w:rFonts w:cs="Arial"/>
        </w:rPr>
      </w:r>
      <w:r w:rsidR="00BB7156">
        <w:rPr>
          <w:rFonts w:cs="Arial"/>
        </w:rPr>
        <w:fldChar w:fldCharType="separate"/>
      </w:r>
      <w:r w:rsidR="00F0636B">
        <w:rPr>
          <w:rFonts w:cs="Arial"/>
          <w:noProof/>
        </w:rPr>
        <w:t>18</w:t>
      </w:r>
      <w:r w:rsidR="00BB7156">
        <w:rPr>
          <w:rFonts w:cs="Arial"/>
        </w:rPr>
        <w:fldChar w:fldCharType="end"/>
      </w:r>
      <w:r w:rsidR="00195FA3">
        <w:rPr>
          <w:rFonts w:cs="Arial"/>
        </w:rPr>
        <w:t>)</w:t>
      </w:r>
      <w:r w:rsidR="007770D4" w:rsidRPr="00514EFA">
        <w:rPr>
          <w:rFonts w:cs="Arial"/>
        </w:rPr>
        <w:t xml:space="preserve"> outlines the approach to empirical research and analysis.</w:t>
      </w:r>
    </w:p>
    <w:p w14:paraId="6C490AFA" w14:textId="49370D55" w:rsidR="007770D4" w:rsidRPr="00514EFA" w:rsidRDefault="007770D4" w:rsidP="007770D4">
      <w:pPr>
        <w:pStyle w:val="Heading2Numbered"/>
      </w:pPr>
      <w:bookmarkStart w:id="12" w:name="_Toc467569583"/>
      <w:r w:rsidRPr="00514EFA">
        <w:t>A conceptual framework</w:t>
      </w:r>
      <w:bookmarkEnd w:id="12"/>
    </w:p>
    <w:p w14:paraId="2BD65279" w14:textId="4FE63BAA" w:rsidR="00E223F8" w:rsidRPr="00514EFA" w:rsidRDefault="00463ABA" w:rsidP="00514EFA">
      <w:pPr>
        <w:rPr>
          <w:rFonts w:cs="Arial"/>
        </w:rPr>
      </w:pPr>
      <w:r w:rsidRPr="00514EFA">
        <w:rPr>
          <w:rFonts w:cs="Arial"/>
        </w:rPr>
        <w:t>Th</w:t>
      </w:r>
      <w:r>
        <w:rPr>
          <w:rFonts w:cs="Arial"/>
        </w:rPr>
        <w:t>e</w:t>
      </w:r>
      <w:r w:rsidRPr="00514EFA">
        <w:rPr>
          <w:rFonts w:cs="Arial"/>
        </w:rPr>
        <w:t xml:space="preserve"> </w:t>
      </w:r>
      <w:r w:rsidR="00E223F8" w:rsidRPr="00514EFA">
        <w:rPr>
          <w:rFonts w:cs="Arial"/>
        </w:rPr>
        <w:t>study focuses on the broad hypothesis that culture, sport and heritage  serve as important drivers in achieving economic and social goals of economic prosperity, wellbeing, social inclusion and cohesion</w:t>
      </w:r>
      <w:r w:rsidR="004E4628">
        <w:rPr>
          <w:rFonts w:cs="Arial"/>
        </w:rPr>
        <w:t xml:space="preserve"> </w:t>
      </w:r>
      <w:r w:rsidR="002807E8">
        <w:rPr>
          <w:rFonts w:cs="Arial"/>
        </w:rPr>
        <w:t xml:space="preserve">– </w:t>
      </w:r>
      <w:r w:rsidR="004E4628">
        <w:rPr>
          <w:rFonts w:cs="Arial"/>
        </w:rPr>
        <w:t>and that this forms part of a wider place-shaping process</w:t>
      </w:r>
      <w:r w:rsidR="00E223F8" w:rsidRPr="00514EFA">
        <w:rPr>
          <w:rFonts w:cs="Arial"/>
        </w:rPr>
        <w:t xml:space="preserve">. CS&amp;H </w:t>
      </w:r>
      <w:r w:rsidR="00DA2146">
        <w:rPr>
          <w:rFonts w:cs="Arial"/>
        </w:rPr>
        <w:t xml:space="preserve">activities </w:t>
      </w:r>
      <w:r w:rsidR="00E223F8" w:rsidRPr="00514EFA">
        <w:rPr>
          <w:rFonts w:cs="Arial"/>
        </w:rPr>
        <w:t>in their many forms are uniquely able to comment, reflect, influence, interpret and inspire</w:t>
      </w:r>
      <w:r w:rsidR="00DA2146">
        <w:rPr>
          <w:rFonts w:cs="Arial"/>
        </w:rPr>
        <w:t>,</w:t>
      </w:r>
      <w:r w:rsidR="00E223F8" w:rsidRPr="00514EFA">
        <w:rPr>
          <w:rFonts w:cs="Arial"/>
        </w:rPr>
        <w:t xml:space="preserve"> and are increasingly recognised as a key part of the process that can help shape new places and engage communities. </w:t>
      </w:r>
    </w:p>
    <w:p w14:paraId="5826B6BC" w14:textId="19CD4745" w:rsidR="00E223F8" w:rsidRPr="00514EFA" w:rsidRDefault="00E223F8" w:rsidP="00514EFA">
      <w:pPr>
        <w:rPr>
          <w:rFonts w:cs="Arial"/>
        </w:rPr>
      </w:pPr>
      <w:r w:rsidRPr="00514EFA">
        <w:rPr>
          <w:rFonts w:cs="Arial"/>
        </w:rPr>
        <w:t xml:space="preserve">This research focuses on evidence </w:t>
      </w:r>
      <w:r w:rsidR="002759AD">
        <w:rPr>
          <w:rFonts w:cs="Arial"/>
        </w:rPr>
        <w:t>in relation to whether</w:t>
      </w:r>
      <w:r w:rsidRPr="00514EFA">
        <w:rPr>
          <w:rFonts w:cs="Arial"/>
        </w:rPr>
        <w:t xml:space="preserve"> CS&amp;H infrastructure and investment have the ability to promote economic and social outcomes and, thereby, to shape local places to achieve more desirable economic and social goals.</w:t>
      </w:r>
      <w:r w:rsidR="00A033C6">
        <w:rPr>
          <w:rFonts w:cs="Arial"/>
        </w:rPr>
        <w:t xml:space="preserve"> </w:t>
      </w:r>
      <w:r w:rsidR="004E4628">
        <w:rPr>
          <w:rFonts w:cs="Arial"/>
        </w:rPr>
        <w:t xml:space="preserve">It is worth noting that it is ultimately the intrinsic benefits of CS&amp;H assets </w:t>
      </w:r>
      <w:r w:rsidR="001F0947">
        <w:rPr>
          <w:rFonts w:cs="Arial"/>
        </w:rPr>
        <w:t xml:space="preserve">and investment </w:t>
      </w:r>
      <w:r w:rsidR="004E4628">
        <w:rPr>
          <w:rFonts w:cs="Arial"/>
        </w:rPr>
        <w:t>which lead indirectly to economic and social impacts; for example, encouraging individuals and businesses to locate to a particular area in order to take advantage of the intrinsic value of CS&amp;H assets in that area.</w:t>
      </w:r>
    </w:p>
    <w:p w14:paraId="56E05AAB" w14:textId="405570AB" w:rsidR="00E223F8" w:rsidRPr="00514EFA" w:rsidRDefault="00E223F8" w:rsidP="00514EFA">
      <w:pPr>
        <w:rPr>
          <w:rFonts w:cs="Arial"/>
        </w:rPr>
      </w:pPr>
      <w:r w:rsidRPr="00514EFA">
        <w:rPr>
          <w:rFonts w:cs="Arial"/>
        </w:rPr>
        <w:t xml:space="preserve">This section presents the conceptual framework which supports the research. The framework is designed to capture the key themes of the relevant economic literature and to identify the key research and </w:t>
      </w:r>
      <w:r w:rsidR="00A67A06" w:rsidRPr="00514EFA">
        <w:rPr>
          <w:rFonts w:cs="Arial"/>
        </w:rPr>
        <w:t>eviden</w:t>
      </w:r>
      <w:r w:rsidR="00A67A06">
        <w:rPr>
          <w:rFonts w:cs="Arial"/>
        </w:rPr>
        <w:t>ce</w:t>
      </w:r>
      <w:r w:rsidR="00A67A06" w:rsidRPr="00514EFA">
        <w:rPr>
          <w:rFonts w:cs="Arial"/>
        </w:rPr>
        <w:t xml:space="preserve"> </w:t>
      </w:r>
      <w:r w:rsidRPr="00514EFA">
        <w:rPr>
          <w:rFonts w:cs="Arial"/>
        </w:rPr>
        <w:t xml:space="preserve">gaps in </w:t>
      </w:r>
      <w:r w:rsidR="00A67A06" w:rsidRPr="00514EFA">
        <w:rPr>
          <w:rFonts w:cs="Arial"/>
        </w:rPr>
        <w:t>th</w:t>
      </w:r>
      <w:r w:rsidR="00A67A06">
        <w:rPr>
          <w:rFonts w:cs="Arial"/>
        </w:rPr>
        <w:t>e</w:t>
      </w:r>
      <w:r w:rsidR="00A67A06" w:rsidRPr="00514EFA">
        <w:rPr>
          <w:rFonts w:cs="Arial"/>
        </w:rPr>
        <w:t xml:space="preserve"> </w:t>
      </w:r>
      <w:r w:rsidRPr="00514EFA">
        <w:rPr>
          <w:rFonts w:cs="Arial"/>
        </w:rPr>
        <w:t xml:space="preserve">literature. The conceptual framework is used as the basis for </w:t>
      </w:r>
      <w:r w:rsidR="002807E8">
        <w:rPr>
          <w:rFonts w:cs="Arial"/>
        </w:rPr>
        <w:t>defining</w:t>
      </w:r>
      <w:r w:rsidR="002807E8" w:rsidRPr="00514EFA">
        <w:rPr>
          <w:rFonts w:cs="Arial"/>
        </w:rPr>
        <w:t xml:space="preserve"> </w:t>
      </w:r>
      <w:r w:rsidRPr="00514EFA">
        <w:rPr>
          <w:rFonts w:cs="Arial"/>
        </w:rPr>
        <w:t xml:space="preserve">the precise scope of </w:t>
      </w:r>
      <w:r w:rsidR="00A67A06" w:rsidRPr="00514EFA">
        <w:rPr>
          <w:rFonts w:cs="Arial"/>
        </w:rPr>
        <w:t>th</w:t>
      </w:r>
      <w:r w:rsidR="00A67A06">
        <w:rPr>
          <w:rFonts w:cs="Arial"/>
        </w:rPr>
        <w:t>e</w:t>
      </w:r>
      <w:r w:rsidR="00A67A06" w:rsidRPr="00514EFA">
        <w:rPr>
          <w:rFonts w:cs="Arial"/>
        </w:rPr>
        <w:t xml:space="preserve"> </w:t>
      </w:r>
      <w:r w:rsidRPr="00514EFA">
        <w:rPr>
          <w:rFonts w:cs="Arial"/>
        </w:rPr>
        <w:t>study and comprises the following elements:</w:t>
      </w:r>
    </w:p>
    <w:p w14:paraId="2ED99599" w14:textId="69F20792" w:rsidR="00E223F8" w:rsidRPr="00514EFA" w:rsidRDefault="00E223F8" w:rsidP="00BB7156">
      <w:pPr>
        <w:pStyle w:val="Bullet"/>
      </w:pPr>
      <w:r w:rsidRPr="00514EFA">
        <w:t>Definition of terms</w:t>
      </w:r>
    </w:p>
    <w:p w14:paraId="1364340B" w14:textId="795280FD" w:rsidR="00A20FE0" w:rsidRPr="00514EFA" w:rsidRDefault="009C4967" w:rsidP="00BB7156">
      <w:pPr>
        <w:pStyle w:val="Bullet"/>
      </w:pPr>
      <w:r>
        <w:t>Implications for the study arising from a</w:t>
      </w:r>
      <w:r w:rsidR="00A20FE0" w:rsidRPr="00514EFA">
        <w:t xml:space="preserve"> review of conceptual/theoretical literature</w:t>
      </w:r>
    </w:p>
    <w:p w14:paraId="203CF0D0" w14:textId="77777777" w:rsidR="002B0A03" w:rsidRDefault="002B0A03" w:rsidP="00BB7156">
      <w:pPr>
        <w:pStyle w:val="Bullet"/>
      </w:pPr>
      <w:r w:rsidRPr="00514EFA">
        <w:t>A description of the impact ‘ecosystem’</w:t>
      </w:r>
    </w:p>
    <w:p w14:paraId="63C2BD28" w14:textId="6E5CA767" w:rsidR="00A20FE0" w:rsidRPr="00514EFA" w:rsidRDefault="009C4967" w:rsidP="00BB7156">
      <w:pPr>
        <w:pStyle w:val="Bullet"/>
      </w:pPr>
      <w:r>
        <w:t>Implications for the study arising from a</w:t>
      </w:r>
      <w:r w:rsidRPr="00514EFA">
        <w:t xml:space="preserve"> </w:t>
      </w:r>
      <w:r w:rsidR="00A20FE0">
        <w:t>review of empirical literature</w:t>
      </w:r>
    </w:p>
    <w:p w14:paraId="594E13F0" w14:textId="51C16348" w:rsidR="00A04ED0" w:rsidRPr="00514EFA" w:rsidRDefault="00A04ED0" w:rsidP="00BB7156">
      <w:pPr>
        <w:pStyle w:val="Bullet"/>
      </w:pPr>
      <w:r w:rsidRPr="00514EFA">
        <w:t>A review of available secondary data in relation to the study aims and objectives</w:t>
      </w:r>
    </w:p>
    <w:p w14:paraId="5BB15D99" w14:textId="26377C8E" w:rsidR="00E223F8" w:rsidRDefault="00E223F8" w:rsidP="00514EFA">
      <w:pPr>
        <w:rPr>
          <w:rFonts w:cs="Arial"/>
        </w:rPr>
      </w:pPr>
      <w:r w:rsidRPr="00514EFA">
        <w:rPr>
          <w:rFonts w:cs="Arial"/>
        </w:rPr>
        <w:t xml:space="preserve">Each of these </w:t>
      </w:r>
      <w:r w:rsidR="009C4967">
        <w:rPr>
          <w:rFonts w:cs="Arial"/>
        </w:rPr>
        <w:t>five</w:t>
      </w:r>
      <w:r w:rsidRPr="00514EFA">
        <w:rPr>
          <w:rFonts w:cs="Arial"/>
        </w:rPr>
        <w:t xml:space="preserve"> elements is considered separately below.</w:t>
      </w:r>
    </w:p>
    <w:p w14:paraId="3E609751" w14:textId="7F79F8B5" w:rsidR="00E223F8" w:rsidRPr="00514EFA" w:rsidRDefault="00E223F8" w:rsidP="00520273">
      <w:pPr>
        <w:pStyle w:val="Heading3Numbered"/>
      </w:pPr>
      <w:bookmarkStart w:id="13" w:name="_Toc441588953"/>
      <w:bookmarkStart w:id="14" w:name="_Toc467569584"/>
      <w:r w:rsidRPr="00514EFA">
        <w:lastRenderedPageBreak/>
        <w:t>Definition</w:t>
      </w:r>
      <w:r w:rsidR="004E4628">
        <w:t xml:space="preserve"> of terms</w:t>
      </w:r>
      <w:bookmarkEnd w:id="13"/>
      <w:bookmarkEnd w:id="14"/>
    </w:p>
    <w:p w14:paraId="1A99C503" w14:textId="7333D4B7" w:rsidR="00E223F8" w:rsidRPr="00514EFA" w:rsidRDefault="00E223F8" w:rsidP="00514EFA">
      <w:pPr>
        <w:rPr>
          <w:rFonts w:cs="Arial"/>
        </w:rPr>
      </w:pPr>
      <w:r w:rsidRPr="00514EFA">
        <w:rPr>
          <w:rFonts w:cs="Arial"/>
        </w:rPr>
        <w:t xml:space="preserve">In order to achieve the required aims and objectives of a study such as this, it is important first to define a range of </w:t>
      </w:r>
      <w:r w:rsidR="00A67A06" w:rsidRPr="00514EFA">
        <w:rPr>
          <w:rFonts w:cs="Arial"/>
        </w:rPr>
        <w:t>concepts</w:t>
      </w:r>
      <w:r w:rsidR="00A67A06" w:rsidRPr="00A67A06">
        <w:rPr>
          <w:rFonts w:cs="Arial"/>
        </w:rPr>
        <w:t xml:space="preserve"> </w:t>
      </w:r>
      <w:r w:rsidR="00A67A06" w:rsidRPr="00514EFA">
        <w:rPr>
          <w:rFonts w:cs="Arial"/>
        </w:rPr>
        <w:t xml:space="preserve">and </w:t>
      </w:r>
      <w:r w:rsidR="000353DE" w:rsidRPr="00514EFA">
        <w:rPr>
          <w:rFonts w:cs="Arial"/>
        </w:rPr>
        <w:t xml:space="preserve">terms. </w:t>
      </w:r>
      <w:r w:rsidRPr="00514EFA">
        <w:rPr>
          <w:rFonts w:cs="Arial"/>
        </w:rPr>
        <w:t>In the context of this study, these are:</w:t>
      </w:r>
    </w:p>
    <w:p w14:paraId="1827BB9D" w14:textId="77777777" w:rsidR="00E223F8" w:rsidRPr="00514EFA" w:rsidRDefault="00E223F8" w:rsidP="00BB7156">
      <w:pPr>
        <w:pStyle w:val="Bullet"/>
      </w:pPr>
      <w:r w:rsidRPr="00514EFA">
        <w:t>Place-shaping</w:t>
      </w:r>
    </w:p>
    <w:p w14:paraId="4755405D" w14:textId="77777777" w:rsidR="00E223F8" w:rsidRPr="00514EFA" w:rsidRDefault="00E223F8" w:rsidP="00BB7156">
      <w:pPr>
        <w:pStyle w:val="Bullet"/>
      </w:pPr>
      <w:r w:rsidRPr="00514EFA">
        <w:t>Culture, Sport and Heritage Assets</w:t>
      </w:r>
    </w:p>
    <w:p w14:paraId="2C9310D2" w14:textId="77777777" w:rsidR="00E223F8" w:rsidRPr="00514EFA" w:rsidRDefault="00E223F8" w:rsidP="00BB7156">
      <w:pPr>
        <w:pStyle w:val="Bullet"/>
      </w:pPr>
      <w:r w:rsidRPr="00514EFA">
        <w:t>Culture, Sport and Heritage Investment</w:t>
      </w:r>
    </w:p>
    <w:p w14:paraId="20F90462" w14:textId="77777777" w:rsidR="00E223F8" w:rsidRPr="00514EFA" w:rsidRDefault="00E223F8" w:rsidP="00BB7156">
      <w:pPr>
        <w:pStyle w:val="Bullet"/>
      </w:pPr>
      <w:r w:rsidRPr="00514EFA">
        <w:t>Impact</w:t>
      </w:r>
    </w:p>
    <w:p w14:paraId="0C29F102" w14:textId="77777777" w:rsidR="00E223F8" w:rsidRPr="00514EFA" w:rsidRDefault="00E223F8" w:rsidP="00BB7156">
      <w:pPr>
        <w:pStyle w:val="Bullet"/>
      </w:pPr>
      <w:r w:rsidRPr="00514EFA">
        <w:t>Geography of impact</w:t>
      </w:r>
    </w:p>
    <w:p w14:paraId="400F7F31" w14:textId="77777777" w:rsidR="00E223F8" w:rsidRPr="00514EFA" w:rsidRDefault="00E223F8" w:rsidP="00BB7156">
      <w:pPr>
        <w:pStyle w:val="Bullet"/>
      </w:pPr>
      <w:bookmarkStart w:id="15" w:name="_Ref460320332"/>
      <w:r w:rsidRPr="00514EFA">
        <w:t>Culture, Sport and Heritage Ecosystem</w:t>
      </w:r>
      <w:bookmarkEnd w:id="15"/>
    </w:p>
    <w:p w14:paraId="2D8F4DBF" w14:textId="554E0F62" w:rsidR="00E223F8" w:rsidRDefault="00E223F8" w:rsidP="00514EFA">
      <w:pPr>
        <w:rPr>
          <w:rFonts w:cs="Arial"/>
        </w:rPr>
      </w:pPr>
      <w:r w:rsidRPr="00514EFA">
        <w:rPr>
          <w:rFonts w:cs="Arial"/>
        </w:rPr>
        <w:t>These definitions also help to describe the focus and scope of the study. Within the context of the study, the definitions are to some extent dynamic, reflecting the specific application of these terms in various analytical scenarios and responding to the feasibility of delivering certain analyses using different datasets. For example, the definition of culture, sport and heritage itself is used selectively in the study to take account of the specific features of the datasets used in the analysis (which may be constrained by Standard Industrial Classification codes, or focused on specific culture, sport or heritage assets or investment, and so on).</w:t>
      </w:r>
    </w:p>
    <w:p w14:paraId="090E90C2" w14:textId="77777777" w:rsidR="009833F3" w:rsidRDefault="00E223F8" w:rsidP="00A36D8D">
      <w:pPr>
        <w:rPr>
          <w:rFonts w:cs="Arial"/>
          <w:b/>
          <w:szCs w:val="22"/>
        </w:rPr>
      </w:pPr>
      <w:r w:rsidRPr="00874506">
        <w:rPr>
          <w:rFonts w:cs="Arial"/>
          <w:b/>
          <w:szCs w:val="22"/>
        </w:rPr>
        <w:t>Place-shaping</w:t>
      </w:r>
    </w:p>
    <w:p w14:paraId="76A409A6" w14:textId="1698366D" w:rsidR="00B20182" w:rsidRPr="00332310" w:rsidRDefault="00E223F8" w:rsidP="00A36D8D">
      <w:pPr>
        <w:rPr>
          <w:rFonts w:cs="Arial"/>
          <w:szCs w:val="22"/>
          <w:lang w:eastAsia="en-GB"/>
        </w:rPr>
      </w:pPr>
      <w:r w:rsidRPr="00874506">
        <w:rPr>
          <w:rFonts w:cs="Arial"/>
          <w:szCs w:val="22"/>
        </w:rPr>
        <w:t xml:space="preserve">‘Place-shaping’ is not a term or concept used in the literature or policy on culture. The term </w:t>
      </w:r>
      <w:r w:rsidR="00AD6B47">
        <w:rPr>
          <w:rFonts w:cs="Arial"/>
          <w:szCs w:val="22"/>
        </w:rPr>
        <w:t>placemaking</w:t>
      </w:r>
      <w:r w:rsidRPr="00874506">
        <w:rPr>
          <w:rFonts w:cs="Arial"/>
          <w:szCs w:val="22"/>
        </w:rPr>
        <w:t xml:space="preserve"> is more widely used in relation to local and area-based improvement, often associated with environmental design of the public realm, and issues of accessibility and connectivity. </w:t>
      </w:r>
      <w:r w:rsidR="00874506" w:rsidRPr="00874506">
        <w:rPr>
          <w:rFonts w:cs="Arial"/>
          <w:szCs w:val="22"/>
        </w:rPr>
        <w:t>This term also features in recent cultural policy: ‘</w:t>
      </w:r>
      <w:r w:rsidR="00874506" w:rsidRPr="00332310">
        <w:rPr>
          <w:rFonts w:cs="Arial"/>
          <w:szCs w:val="22"/>
          <w:lang w:eastAsia="en-GB"/>
        </w:rPr>
        <w:t>We want</w:t>
      </w:r>
      <w:r w:rsidR="00874506">
        <w:rPr>
          <w:rFonts w:cs="Arial"/>
          <w:szCs w:val="22"/>
          <w:lang w:eastAsia="en-GB"/>
        </w:rPr>
        <w:t xml:space="preserve"> </w:t>
      </w:r>
      <w:r w:rsidR="00874506" w:rsidRPr="00332310">
        <w:rPr>
          <w:rFonts w:cs="Arial"/>
          <w:szCs w:val="22"/>
          <w:lang w:eastAsia="en-GB"/>
        </w:rPr>
        <w:t>to see more partnerships being formed</w:t>
      </w:r>
      <w:r w:rsidR="00874506">
        <w:rPr>
          <w:rFonts w:cs="Arial"/>
          <w:szCs w:val="22"/>
          <w:lang w:eastAsia="en-GB"/>
        </w:rPr>
        <w:t xml:space="preserve"> </w:t>
      </w:r>
      <w:r w:rsidR="00874506" w:rsidRPr="00332310">
        <w:rPr>
          <w:rFonts w:cs="Arial"/>
          <w:szCs w:val="22"/>
          <w:lang w:eastAsia="en-GB"/>
        </w:rPr>
        <w:t>between the national and local levels to</w:t>
      </w:r>
      <w:r w:rsidR="00874506">
        <w:rPr>
          <w:rFonts w:cs="Arial"/>
          <w:szCs w:val="22"/>
          <w:lang w:eastAsia="en-GB"/>
        </w:rPr>
        <w:t xml:space="preserve"> </w:t>
      </w:r>
      <w:r w:rsidR="00874506" w:rsidRPr="00332310">
        <w:rPr>
          <w:rFonts w:cs="Arial"/>
          <w:szCs w:val="22"/>
          <w:lang w:eastAsia="en-GB"/>
        </w:rPr>
        <w:t xml:space="preserve">put culture at the heart of </w:t>
      </w:r>
      <w:r w:rsidR="00AD6B47">
        <w:rPr>
          <w:rFonts w:cs="Arial"/>
          <w:szCs w:val="22"/>
          <w:lang w:eastAsia="en-GB"/>
        </w:rPr>
        <w:t>placemaking</w:t>
      </w:r>
      <w:r w:rsidR="00874506" w:rsidRPr="00332310">
        <w:rPr>
          <w:rFonts w:cs="Arial"/>
          <w:szCs w:val="22"/>
          <w:lang w:eastAsia="en-GB"/>
        </w:rPr>
        <w:t>’</w:t>
      </w:r>
      <w:r w:rsidR="00A36D8D" w:rsidRPr="00A36D8D">
        <w:rPr>
          <w:rStyle w:val="FootnoteReference"/>
          <w:rFonts w:cs="Arial"/>
          <w:szCs w:val="22"/>
        </w:rPr>
        <w:t xml:space="preserve"> </w:t>
      </w:r>
      <w:r w:rsidR="008A3A4A">
        <w:rPr>
          <w:rFonts w:cs="Arial"/>
          <w:szCs w:val="22"/>
        </w:rPr>
        <w:t>(DCMS, 2016)</w:t>
      </w:r>
      <w:r w:rsidR="00874506" w:rsidRPr="00874506">
        <w:rPr>
          <w:rFonts w:cs="Arial"/>
          <w:szCs w:val="22"/>
        </w:rPr>
        <w:t xml:space="preserve">. </w:t>
      </w:r>
      <w:r w:rsidRPr="00874506">
        <w:rPr>
          <w:rFonts w:cs="Arial"/>
          <w:szCs w:val="22"/>
        </w:rPr>
        <w:t xml:space="preserve">The </w:t>
      </w:r>
      <w:r w:rsidRPr="00514EFA">
        <w:rPr>
          <w:rFonts w:cs="Arial"/>
        </w:rPr>
        <w:t xml:space="preserve">related, observed concept of clustering (agglomeration of firms, amenities and occupation groups, e.g. the ‘creative class’) also operates at various scales, including in the ‘compact city’ where a mix of amenities, retail and public transport/accessibility are seen to provide a sustainable and liveable place. </w:t>
      </w:r>
    </w:p>
    <w:p w14:paraId="77D93038" w14:textId="5AE06D9A" w:rsidR="00E223F8" w:rsidRPr="00514EFA" w:rsidRDefault="00E223F8" w:rsidP="00514EFA">
      <w:pPr>
        <w:rPr>
          <w:rFonts w:cs="Arial"/>
        </w:rPr>
      </w:pPr>
      <w:r w:rsidRPr="00514EFA">
        <w:rPr>
          <w:rFonts w:cs="Arial"/>
        </w:rPr>
        <w:t>The term place-shaping was used in local government reform, inspired by the Lyons Inquiry where the term was seen to cover a wide range of local activity which affects the well-being of the local community, informed by local character and history, community needs and demands, and local politics and leadership</w:t>
      </w:r>
      <w:r w:rsidR="00342903">
        <w:rPr>
          <w:rFonts w:cs="Arial"/>
        </w:rPr>
        <w:t xml:space="preserve"> </w:t>
      </w:r>
      <w:r w:rsidR="00342903" w:rsidRPr="00514EFA">
        <w:rPr>
          <w:rFonts w:cs="Arial"/>
        </w:rPr>
        <w:t>(</w:t>
      </w:r>
      <w:r w:rsidR="00342903">
        <w:rPr>
          <w:rFonts w:cs="Arial"/>
        </w:rPr>
        <w:t>Lyons, 2007).</w:t>
      </w:r>
      <w:r w:rsidRPr="00514EFA">
        <w:rPr>
          <w:rFonts w:cs="Arial"/>
        </w:rPr>
        <w:t xml:space="preserve"> Here, well-being is approached not just from a local economic or services perspective, but contains an element of a ‘local sense of belonging and identity’: place-shaping is </w:t>
      </w:r>
      <w:r w:rsidR="00980CF7">
        <w:rPr>
          <w:rFonts w:cs="Arial"/>
        </w:rPr>
        <w:t>“</w:t>
      </w:r>
      <w:r w:rsidRPr="00514EFA">
        <w:rPr>
          <w:rFonts w:cs="Arial"/>
        </w:rPr>
        <w:t>about creating a vision for a locality that is distinctive, identifying and building on its unique selling points, and creating a sense of local identity, distinctiveness and place. It is about creating places that are attractive, vibrant, prosperous, safe and friendly. Places for people to be proud to call home</w:t>
      </w:r>
      <w:r w:rsidR="00980CF7">
        <w:rPr>
          <w:rFonts w:cs="Arial"/>
        </w:rPr>
        <w:t>”</w:t>
      </w:r>
      <w:r w:rsidRPr="00514EFA">
        <w:rPr>
          <w:rFonts w:cs="Arial"/>
        </w:rPr>
        <w:t xml:space="preserve">. </w:t>
      </w:r>
    </w:p>
    <w:p w14:paraId="621BDE82" w14:textId="6EE5FDDB" w:rsidR="00E223F8" w:rsidRPr="00A36D8D" w:rsidRDefault="00E223F8" w:rsidP="00514EFA">
      <w:pPr>
        <w:rPr>
          <w:rFonts w:cs="Arial"/>
          <w:szCs w:val="22"/>
        </w:rPr>
      </w:pPr>
      <w:r w:rsidRPr="00514EFA">
        <w:rPr>
          <w:rFonts w:cs="Arial"/>
        </w:rPr>
        <w:t xml:space="preserve">In some </w:t>
      </w:r>
      <w:r w:rsidRPr="00A36D8D">
        <w:rPr>
          <w:rFonts w:cs="Arial"/>
          <w:szCs w:val="22"/>
        </w:rPr>
        <w:t xml:space="preserve">respects this study could be seen to introduce ‘culture’ to this local place-shaping aspiration, building as it does on preceding evidence-based policy around </w:t>
      </w:r>
      <w:r w:rsidR="002A5A29" w:rsidRPr="00A36D8D">
        <w:rPr>
          <w:rFonts w:cs="Arial"/>
          <w:szCs w:val="22"/>
        </w:rPr>
        <w:t xml:space="preserve">culture and regeneration; living places; cultural asset </w:t>
      </w:r>
      <w:r w:rsidR="002A5A29" w:rsidRPr="00332310">
        <w:rPr>
          <w:rFonts w:cs="Arial"/>
          <w:szCs w:val="22"/>
        </w:rPr>
        <w:t xml:space="preserve">mapping and </w:t>
      </w:r>
      <w:r w:rsidR="002A5A29" w:rsidRPr="003B7B9B">
        <w:rPr>
          <w:rFonts w:cs="Arial"/>
          <w:szCs w:val="22"/>
        </w:rPr>
        <w:t xml:space="preserve">investment appraisal </w:t>
      </w:r>
      <w:r w:rsidRPr="003B7B9B">
        <w:rPr>
          <w:rFonts w:cs="Arial"/>
          <w:szCs w:val="22"/>
        </w:rPr>
        <w:t>(</w:t>
      </w:r>
      <w:r w:rsidR="002A5A29" w:rsidRPr="00BB7156">
        <w:rPr>
          <w:rFonts w:cs="Arial"/>
          <w:i/>
          <w:szCs w:val="22"/>
        </w:rPr>
        <w:t xml:space="preserve">The </w:t>
      </w:r>
      <w:r w:rsidRPr="00BB7156">
        <w:rPr>
          <w:rFonts w:cs="Arial"/>
          <w:i/>
          <w:szCs w:val="22"/>
        </w:rPr>
        <w:t>Art of the Possible</w:t>
      </w:r>
      <w:r w:rsidRPr="003B7B9B">
        <w:rPr>
          <w:rFonts w:cs="Arial"/>
          <w:szCs w:val="22"/>
        </w:rPr>
        <w:t>) and a range of impact reviews.</w:t>
      </w:r>
      <w:r w:rsidR="00874506" w:rsidRPr="00FE5530">
        <w:rPr>
          <w:rFonts w:cs="Arial"/>
          <w:szCs w:val="22"/>
        </w:rPr>
        <w:t xml:space="preserve"> This includes the recent </w:t>
      </w:r>
      <w:r w:rsidR="00874506" w:rsidRPr="00955D2E">
        <w:rPr>
          <w:rFonts w:cs="Arial"/>
          <w:szCs w:val="22"/>
        </w:rPr>
        <w:t>AHRC Cultural Value Project</w:t>
      </w:r>
      <w:r w:rsidR="0037149A">
        <w:rPr>
          <w:rFonts w:cs="Arial"/>
          <w:szCs w:val="22"/>
        </w:rPr>
        <w:t xml:space="preserve"> (Crossick &amp; Kaszynska</w:t>
      </w:r>
      <w:r w:rsidR="00404588">
        <w:rPr>
          <w:rFonts w:cs="Arial"/>
          <w:szCs w:val="22"/>
        </w:rPr>
        <w:t>,</w:t>
      </w:r>
      <w:r w:rsidR="0037149A">
        <w:rPr>
          <w:rFonts w:cs="Arial"/>
          <w:szCs w:val="22"/>
        </w:rPr>
        <w:t xml:space="preserve"> 2016)</w:t>
      </w:r>
      <w:r w:rsidR="00A36D8D" w:rsidRPr="003B7B9B">
        <w:rPr>
          <w:rFonts w:cs="Arial"/>
          <w:szCs w:val="22"/>
        </w:rPr>
        <w:t xml:space="preserve"> which emphasises the intrinsic value of cultural experience </w:t>
      </w:r>
      <w:r w:rsidR="00A36D8D" w:rsidRPr="00FE5530">
        <w:rPr>
          <w:rFonts w:cs="Arial"/>
          <w:szCs w:val="22"/>
        </w:rPr>
        <w:t xml:space="preserve">to the individual, wherever this is first gained – </w:t>
      </w:r>
      <w:r w:rsidR="00A36D8D" w:rsidRPr="00955D2E">
        <w:rPr>
          <w:rFonts w:cs="Arial"/>
          <w:szCs w:val="22"/>
        </w:rPr>
        <w:t xml:space="preserve">in the home, school, community or cultural venue. Cultural value that can be appreciated and acquired </w:t>
      </w:r>
      <w:r w:rsidR="00A36D8D" w:rsidRPr="00332310">
        <w:rPr>
          <w:rFonts w:eastAsiaTheme="minorHAnsi" w:cs="Arial"/>
          <w:iCs/>
          <w:szCs w:val="22"/>
        </w:rPr>
        <w:t xml:space="preserve">can both generate new demand and </w:t>
      </w:r>
      <w:r w:rsidR="00A36D8D" w:rsidRPr="00332310">
        <w:rPr>
          <w:rFonts w:eastAsiaTheme="minorHAnsi" w:cs="Arial"/>
          <w:iCs/>
          <w:szCs w:val="22"/>
        </w:rPr>
        <w:lastRenderedPageBreak/>
        <w:t xml:space="preserve">release latent demand. </w:t>
      </w:r>
      <w:r w:rsidR="00332310" w:rsidRPr="00332310">
        <w:rPr>
          <w:rFonts w:cs="Arial"/>
          <w:color w:val="000000"/>
          <w:szCs w:val="22"/>
        </w:rPr>
        <w:t xml:space="preserve">This is also likely to lead to behavioural changes which in turn can effect cultural consumption and participation and in some situations, location decisions </w:t>
      </w:r>
      <w:r w:rsidR="004A56F9">
        <w:rPr>
          <w:rFonts w:cs="Arial"/>
          <w:color w:val="000000"/>
          <w:szCs w:val="22"/>
        </w:rPr>
        <w:t>–</w:t>
      </w:r>
      <w:r w:rsidR="00332310" w:rsidRPr="00332310">
        <w:rPr>
          <w:rFonts w:cs="Arial"/>
          <w:color w:val="000000"/>
          <w:szCs w:val="22"/>
        </w:rPr>
        <w:t xml:space="preserve"> with direct economic effects arising. Cultural value is recognised in the AHRC review</w:t>
      </w:r>
      <w:r w:rsidR="002807E8">
        <w:rPr>
          <w:rFonts w:cs="Arial"/>
          <w:color w:val="000000"/>
          <w:szCs w:val="22"/>
        </w:rPr>
        <w:t>,</w:t>
      </w:r>
      <w:r w:rsidR="00332310" w:rsidRPr="00332310">
        <w:rPr>
          <w:rFonts w:cs="Arial"/>
          <w:color w:val="000000"/>
          <w:szCs w:val="22"/>
        </w:rPr>
        <w:t xml:space="preserve"> for instance in terms of the ability of arts </w:t>
      </w:r>
      <w:r w:rsidR="002807E8">
        <w:rPr>
          <w:rFonts w:cs="Arial"/>
          <w:color w:val="000000"/>
          <w:szCs w:val="22"/>
        </w:rPr>
        <w:t>and</w:t>
      </w:r>
      <w:r w:rsidR="00332310" w:rsidRPr="00332310">
        <w:rPr>
          <w:rFonts w:cs="Arial"/>
          <w:color w:val="000000"/>
          <w:szCs w:val="22"/>
        </w:rPr>
        <w:t xml:space="preserve"> cultural engagement to help shape reflective individuals</w:t>
      </w:r>
      <w:r w:rsidR="004A56F9">
        <w:rPr>
          <w:rFonts w:cs="Arial"/>
          <w:color w:val="000000"/>
          <w:szCs w:val="22"/>
        </w:rPr>
        <w:t>,</w:t>
      </w:r>
      <w:r w:rsidR="00332310" w:rsidRPr="00332310">
        <w:rPr>
          <w:rFonts w:cs="Arial"/>
          <w:color w:val="000000"/>
          <w:szCs w:val="22"/>
        </w:rPr>
        <w:t xml:space="preserve"> thereby facilitating greater understanding of themselves and empathy for others, as well as producing more engaged citizens, thus promoting civic behaviour and expression. </w:t>
      </w:r>
      <w:r w:rsidR="00A36D8D" w:rsidRPr="00332310">
        <w:rPr>
          <w:rFonts w:eastAsiaTheme="minorHAnsi" w:cs="Arial"/>
          <w:iCs/>
          <w:szCs w:val="22"/>
        </w:rPr>
        <w:t xml:space="preserve">However, access to cultural experiences and opportunities for cultural expression are, as </w:t>
      </w:r>
      <w:r w:rsidR="002A5A29">
        <w:rPr>
          <w:rFonts w:eastAsiaTheme="minorHAnsi" w:cs="Arial"/>
          <w:iCs/>
          <w:szCs w:val="22"/>
        </w:rPr>
        <w:t>the</w:t>
      </w:r>
      <w:r w:rsidR="002A5A29" w:rsidRPr="00332310">
        <w:rPr>
          <w:rFonts w:eastAsiaTheme="minorHAnsi" w:cs="Arial"/>
          <w:iCs/>
          <w:szCs w:val="22"/>
        </w:rPr>
        <w:t xml:space="preserve"> </w:t>
      </w:r>
      <w:r w:rsidR="00A36D8D" w:rsidRPr="00332310">
        <w:rPr>
          <w:rFonts w:eastAsiaTheme="minorHAnsi" w:cs="Arial"/>
          <w:iCs/>
          <w:szCs w:val="22"/>
        </w:rPr>
        <w:t xml:space="preserve">review confirms, uneven and both the generation of ‘demand’ and the cultural ecosystems that can flourish at varying levels require different modes and places of engagement in proximity to where people </w:t>
      </w:r>
      <w:r w:rsidR="00A36D8D">
        <w:rPr>
          <w:rFonts w:eastAsiaTheme="minorHAnsi" w:cs="Arial"/>
          <w:iCs/>
          <w:szCs w:val="22"/>
        </w:rPr>
        <w:t xml:space="preserve">can </w:t>
      </w:r>
      <w:r w:rsidR="00A36D8D" w:rsidRPr="00332310">
        <w:rPr>
          <w:rFonts w:eastAsiaTheme="minorHAnsi" w:cs="Arial"/>
          <w:iCs/>
          <w:szCs w:val="22"/>
        </w:rPr>
        <w:t xml:space="preserve">actually access cultural </w:t>
      </w:r>
      <w:r w:rsidR="00332310">
        <w:rPr>
          <w:rFonts w:eastAsiaTheme="minorHAnsi" w:cs="Arial"/>
          <w:iCs/>
          <w:szCs w:val="22"/>
        </w:rPr>
        <w:t>experiences</w:t>
      </w:r>
      <w:r w:rsidR="00A36D8D">
        <w:rPr>
          <w:rFonts w:eastAsiaTheme="minorHAnsi" w:cs="Arial"/>
          <w:iCs/>
          <w:szCs w:val="22"/>
        </w:rPr>
        <w:t>.</w:t>
      </w:r>
    </w:p>
    <w:p w14:paraId="62341F54" w14:textId="3EA5B7F9" w:rsidR="00E223F8" w:rsidRPr="00514EFA" w:rsidRDefault="00E223F8" w:rsidP="00514EFA">
      <w:pPr>
        <w:rPr>
          <w:rFonts w:cs="Arial"/>
        </w:rPr>
      </w:pPr>
      <w:r w:rsidRPr="00514EFA">
        <w:rPr>
          <w:rFonts w:cs="Arial"/>
        </w:rPr>
        <w:t>Without a clear definition</w:t>
      </w:r>
      <w:r w:rsidR="009833F3">
        <w:rPr>
          <w:rFonts w:cs="Arial"/>
        </w:rPr>
        <w:t xml:space="preserve"> in the literature</w:t>
      </w:r>
      <w:r w:rsidRPr="00514EFA">
        <w:rPr>
          <w:rFonts w:cs="Arial"/>
        </w:rPr>
        <w:t xml:space="preserve">, for our purposes the role and contribution that CS&amp;H assets </w:t>
      </w:r>
      <w:r w:rsidR="003D29BB">
        <w:rPr>
          <w:rFonts w:cs="Arial"/>
        </w:rPr>
        <w:t xml:space="preserve">and investment </w:t>
      </w:r>
      <w:r w:rsidRPr="00514EFA">
        <w:rPr>
          <w:rFonts w:cs="Arial"/>
        </w:rPr>
        <w:t xml:space="preserve">make to shaping places therefore draw on both </w:t>
      </w:r>
      <w:r w:rsidR="00AD6B47">
        <w:rPr>
          <w:rFonts w:cs="Arial"/>
        </w:rPr>
        <w:t>placemaking</w:t>
      </w:r>
      <w:r w:rsidRPr="00514EFA">
        <w:rPr>
          <w:rFonts w:cs="Arial"/>
        </w:rPr>
        <w:t xml:space="preserve"> concepts including spatial and environmental amenity effects (e.g. clusters), and a range of social, economic</w:t>
      </w:r>
      <w:r w:rsidR="00A36D8D">
        <w:rPr>
          <w:rFonts w:cs="Arial"/>
        </w:rPr>
        <w:t>,</w:t>
      </w:r>
      <w:r w:rsidR="00A033C6">
        <w:rPr>
          <w:rFonts w:cs="Arial"/>
        </w:rPr>
        <w:t xml:space="preserve"> </w:t>
      </w:r>
      <w:r w:rsidRPr="00514EFA">
        <w:rPr>
          <w:rFonts w:cs="Arial"/>
        </w:rPr>
        <w:t xml:space="preserve">environmental </w:t>
      </w:r>
      <w:r w:rsidR="00A36D8D">
        <w:rPr>
          <w:rFonts w:cs="Arial"/>
        </w:rPr>
        <w:t xml:space="preserve">and intrinsic values and </w:t>
      </w:r>
      <w:r w:rsidRPr="00514EFA">
        <w:rPr>
          <w:rFonts w:cs="Arial"/>
        </w:rPr>
        <w:t>benefits of a cultural ecosystem that arises from particular CS&amp;H facilities</w:t>
      </w:r>
      <w:r w:rsidR="00A36D8D">
        <w:rPr>
          <w:rFonts w:cs="Arial"/>
        </w:rPr>
        <w:t>, opportunities</w:t>
      </w:r>
      <w:r w:rsidRPr="00514EFA">
        <w:rPr>
          <w:rFonts w:cs="Arial"/>
        </w:rPr>
        <w:t xml:space="preserve"> and activities. The place-shaping strategies identified through local governance and ‘creative city’ </w:t>
      </w:r>
      <w:r w:rsidR="00AD6B47">
        <w:rPr>
          <w:rFonts w:cs="Arial"/>
        </w:rPr>
        <w:t>placemaking</w:t>
      </w:r>
      <w:r w:rsidRPr="00514EFA">
        <w:rPr>
          <w:rFonts w:cs="Arial"/>
        </w:rPr>
        <w:t xml:space="preserve"> approaches (and associated investment) are also a measure of how effective places (boroughs, districts, clusters</w:t>
      </w:r>
      <w:r w:rsidR="009833F3">
        <w:rPr>
          <w:rFonts w:cs="Arial"/>
        </w:rPr>
        <w:t>, etc.</w:t>
      </w:r>
      <w:r w:rsidRPr="00514EFA">
        <w:rPr>
          <w:rFonts w:cs="Arial"/>
        </w:rPr>
        <w:t xml:space="preserve">) are, in generating these positive impacts. </w:t>
      </w:r>
      <w:r w:rsidR="009833F3" w:rsidRPr="00514EFA">
        <w:rPr>
          <w:rFonts w:cs="Arial"/>
        </w:rPr>
        <w:t>Place</w:t>
      </w:r>
      <w:r w:rsidR="009833F3">
        <w:rPr>
          <w:rFonts w:cs="Arial"/>
        </w:rPr>
        <w:t>-</w:t>
      </w:r>
      <w:r w:rsidR="00B20182" w:rsidRPr="00514EFA">
        <w:rPr>
          <w:rFonts w:cs="Arial"/>
        </w:rPr>
        <w:t xml:space="preserve">shaping in the context of this study therefore encompasses a broader range of activities, initiatives and concepts than </w:t>
      </w:r>
      <w:r w:rsidR="00AD6B47">
        <w:rPr>
          <w:rFonts w:cs="Arial"/>
        </w:rPr>
        <w:t>placemaking</w:t>
      </w:r>
      <w:r w:rsidR="00B20182" w:rsidRPr="00514EFA">
        <w:rPr>
          <w:rFonts w:cs="Arial"/>
        </w:rPr>
        <w:t xml:space="preserve"> alone would imply.</w:t>
      </w:r>
      <w:r w:rsidR="00A033C6">
        <w:rPr>
          <w:rFonts w:cs="Arial"/>
        </w:rPr>
        <w:t xml:space="preserve"> </w:t>
      </w:r>
    </w:p>
    <w:p w14:paraId="74CF6D4D" w14:textId="0848B2E6" w:rsidR="00E223F8" w:rsidRPr="00514EFA" w:rsidRDefault="00E223F8" w:rsidP="00514EFA">
      <w:pPr>
        <w:rPr>
          <w:rFonts w:cs="Arial"/>
        </w:rPr>
      </w:pPr>
      <w:r w:rsidRPr="00514EFA">
        <w:rPr>
          <w:rFonts w:cs="Arial"/>
        </w:rPr>
        <w:t>The Lyons Inquiry</w:t>
      </w:r>
      <w:r w:rsidR="00A90680">
        <w:rPr>
          <w:rFonts w:cs="Arial"/>
        </w:rPr>
        <w:t xml:space="preserve"> </w:t>
      </w:r>
      <w:r w:rsidRPr="00514EFA">
        <w:rPr>
          <w:rFonts w:cs="Arial"/>
        </w:rPr>
        <w:t>into local government defined place-shaping as “the creative use of powers and influence to promote the general well-being of a community and its citizens”</w:t>
      </w:r>
      <w:r w:rsidR="00342903">
        <w:rPr>
          <w:rFonts w:cs="Arial"/>
        </w:rPr>
        <w:t xml:space="preserve"> (Lyons, 2007)</w:t>
      </w:r>
      <w:r w:rsidRPr="00514EFA">
        <w:rPr>
          <w:rFonts w:cs="Arial"/>
        </w:rPr>
        <w:t xml:space="preserve">. Clearly this definition was developed in the context of the policy and investment decision-making power that local government has. </w:t>
      </w:r>
      <w:r w:rsidR="000F6B69">
        <w:rPr>
          <w:rFonts w:cs="Arial"/>
        </w:rPr>
        <w:t>W</w:t>
      </w:r>
      <w:r w:rsidRPr="00514EFA">
        <w:rPr>
          <w:rFonts w:cs="Arial"/>
        </w:rPr>
        <w:t>e suggest that this definition is used</w:t>
      </w:r>
      <w:r w:rsidR="009833F3">
        <w:rPr>
          <w:rFonts w:cs="Arial"/>
        </w:rPr>
        <w:t xml:space="preserve"> in this research</w:t>
      </w:r>
      <w:r w:rsidRPr="00514EFA">
        <w:rPr>
          <w:rFonts w:cs="Arial"/>
        </w:rPr>
        <w:t xml:space="preserve"> </w:t>
      </w:r>
      <w:r w:rsidR="00B20182" w:rsidRPr="00514EFA">
        <w:rPr>
          <w:rFonts w:cs="Arial"/>
        </w:rPr>
        <w:t>since it is in the area of policy and investment decision making where it is felt the results of the study could have most influence.</w:t>
      </w:r>
      <w:r w:rsidR="00A033C6">
        <w:rPr>
          <w:rFonts w:cs="Arial"/>
        </w:rPr>
        <w:t xml:space="preserve"> </w:t>
      </w:r>
      <w:r w:rsidR="00B20182" w:rsidRPr="00514EFA">
        <w:rPr>
          <w:rFonts w:cs="Arial"/>
        </w:rPr>
        <w:t xml:space="preserve">However, within this study the term should be </w:t>
      </w:r>
      <w:r w:rsidRPr="00514EFA">
        <w:rPr>
          <w:rFonts w:cs="Arial"/>
        </w:rPr>
        <w:t>considered in the context of decisions around policy and investment with respect to culture, sport and heritage assets. We also want to capture specific economic impacts.</w:t>
      </w:r>
    </w:p>
    <w:p w14:paraId="54A10D12" w14:textId="77777777" w:rsidR="00E223F8" w:rsidRPr="00514EFA" w:rsidRDefault="00E223F8" w:rsidP="00514EFA">
      <w:pPr>
        <w:rPr>
          <w:rFonts w:cs="Arial"/>
        </w:rPr>
      </w:pPr>
      <w:r w:rsidRPr="00514EFA">
        <w:rPr>
          <w:rFonts w:cs="Arial"/>
        </w:rPr>
        <w:t>The definition of place-shaping that we use is:</w:t>
      </w:r>
    </w:p>
    <w:p w14:paraId="417F4D2C" w14:textId="77777777" w:rsidR="00E223F8" w:rsidRPr="00514EFA" w:rsidRDefault="00E223F8" w:rsidP="00514EFA">
      <w:pPr>
        <w:rPr>
          <w:rFonts w:cs="Arial"/>
          <w:i/>
        </w:rPr>
      </w:pPr>
      <w:r w:rsidRPr="00514EFA">
        <w:rPr>
          <w:rFonts w:cs="Arial"/>
          <w:i/>
        </w:rPr>
        <w:t>“The creative use of powers and influence to create, utilise and develop CS&amp;H assets in order to promote the general well-being of a community and its residents and businesses, where well-being captures a range of positive attributes such as better health, high amenity value, good job opportunities, high business performance, low crime, good educational attainment and community cohesion.”</w:t>
      </w:r>
    </w:p>
    <w:p w14:paraId="1221D8C5" w14:textId="7EF92676" w:rsidR="00682D0A" w:rsidRPr="00514EFA" w:rsidRDefault="00E223F8" w:rsidP="00514EFA">
      <w:pPr>
        <w:rPr>
          <w:rFonts w:cs="Arial"/>
          <w:b/>
          <w:color w:val="5F5F5F"/>
        </w:rPr>
      </w:pPr>
      <w:r w:rsidRPr="00514EFA">
        <w:rPr>
          <w:rFonts w:cs="Arial"/>
        </w:rPr>
        <w:t xml:space="preserve">We therefore draw a distinction between place-shaping and </w:t>
      </w:r>
      <w:r w:rsidR="00AD6B47">
        <w:rPr>
          <w:rFonts w:cs="Arial"/>
        </w:rPr>
        <w:t>placemaking</w:t>
      </w:r>
      <w:r w:rsidRPr="00514EFA">
        <w:rPr>
          <w:rFonts w:cs="Arial"/>
        </w:rPr>
        <w:t xml:space="preserve">, where the latter is often seen as a narrower activity focused on an approach to planning, design </w:t>
      </w:r>
      <w:r w:rsidR="00B20182" w:rsidRPr="00514EFA">
        <w:rPr>
          <w:rFonts w:cs="Arial"/>
        </w:rPr>
        <w:t>and management of public spaces and the former is more about creating and delivering a vision of greater economic and social well-being.</w:t>
      </w:r>
      <w:r w:rsidR="00A033C6">
        <w:rPr>
          <w:rFonts w:cs="Arial"/>
        </w:rPr>
        <w:t xml:space="preserve"> </w:t>
      </w:r>
      <w:r w:rsidR="003D29BB">
        <w:rPr>
          <w:rFonts w:cs="Arial"/>
        </w:rPr>
        <w:t>The focus</w:t>
      </w:r>
      <w:r w:rsidR="00B20182" w:rsidRPr="00514EFA">
        <w:rPr>
          <w:rFonts w:cs="Arial"/>
        </w:rPr>
        <w:t xml:space="preserve"> on place-shaping </w:t>
      </w:r>
      <w:r w:rsidR="003D29BB">
        <w:rPr>
          <w:rFonts w:cs="Arial"/>
        </w:rPr>
        <w:t>means</w:t>
      </w:r>
      <w:r w:rsidR="003D29BB" w:rsidRPr="00514EFA">
        <w:rPr>
          <w:rFonts w:cs="Arial"/>
        </w:rPr>
        <w:t xml:space="preserve"> </w:t>
      </w:r>
      <w:r w:rsidR="00B20182" w:rsidRPr="00514EFA">
        <w:rPr>
          <w:rFonts w:cs="Arial"/>
        </w:rPr>
        <w:t>that the results of this study and their implications are</w:t>
      </w:r>
      <w:r w:rsidR="003D29BB">
        <w:rPr>
          <w:rFonts w:cs="Arial"/>
        </w:rPr>
        <w:t>, hopefully,</w:t>
      </w:r>
      <w:r w:rsidR="00B20182" w:rsidRPr="00514EFA">
        <w:rPr>
          <w:rFonts w:cs="Arial"/>
        </w:rPr>
        <w:t xml:space="preserve"> relevant to a wider audience.</w:t>
      </w:r>
    </w:p>
    <w:p w14:paraId="39C5AC6E" w14:textId="77777777" w:rsidR="005D0771" w:rsidRDefault="005D0771" w:rsidP="00F640F8">
      <w:pPr>
        <w:spacing w:before="240" w:after="200" w:line="276" w:lineRule="auto"/>
        <w:rPr>
          <w:rFonts w:cs="Arial"/>
          <w:b/>
        </w:rPr>
      </w:pPr>
    </w:p>
    <w:p w14:paraId="6F74C848" w14:textId="77777777" w:rsidR="005D0771" w:rsidRDefault="005D0771" w:rsidP="00F640F8">
      <w:pPr>
        <w:spacing w:before="240" w:after="200" w:line="276" w:lineRule="auto"/>
        <w:rPr>
          <w:rFonts w:cs="Arial"/>
          <w:b/>
        </w:rPr>
      </w:pPr>
    </w:p>
    <w:p w14:paraId="6E346791" w14:textId="77777777" w:rsidR="005D0771" w:rsidRDefault="005D0771" w:rsidP="00F640F8">
      <w:pPr>
        <w:spacing w:before="240" w:after="200" w:line="276" w:lineRule="auto"/>
        <w:rPr>
          <w:rFonts w:cs="Arial"/>
          <w:b/>
        </w:rPr>
      </w:pPr>
    </w:p>
    <w:p w14:paraId="1DD0F396" w14:textId="2935DB11" w:rsidR="00E223F8" w:rsidRPr="00514EFA" w:rsidRDefault="00E223F8" w:rsidP="00F640F8">
      <w:pPr>
        <w:spacing w:before="240" w:after="200" w:line="276" w:lineRule="auto"/>
        <w:rPr>
          <w:rFonts w:cs="Arial"/>
          <w:b/>
        </w:rPr>
      </w:pPr>
      <w:r w:rsidRPr="00514EFA">
        <w:rPr>
          <w:rFonts w:cs="Arial"/>
          <w:b/>
        </w:rPr>
        <w:lastRenderedPageBreak/>
        <w:t>Culture, Sport and Heritage Assets</w:t>
      </w:r>
    </w:p>
    <w:p w14:paraId="741D7843" w14:textId="37458BC2" w:rsidR="00E223F8" w:rsidRPr="00514EFA" w:rsidRDefault="00E223F8" w:rsidP="008C75FF">
      <w:r w:rsidRPr="00514EFA">
        <w:t xml:space="preserve">We define CS&amp;H </w:t>
      </w:r>
      <w:r w:rsidR="009833F3">
        <w:t>a</w:t>
      </w:r>
      <w:r w:rsidR="009833F3" w:rsidRPr="00514EFA">
        <w:t>ssets</w:t>
      </w:r>
      <w:r w:rsidRPr="00514EFA">
        <w:rPr>
          <w:rStyle w:val="FootnoteReference"/>
          <w:rFonts w:cs="Arial"/>
        </w:rPr>
        <w:footnoteReference w:id="1"/>
      </w:r>
      <w:r w:rsidRPr="00514EFA">
        <w:t xml:space="preserve"> as:</w:t>
      </w:r>
    </w:p>
    <w:p w14:paraId="299B9A14" w14:textId="31348090" w:rsidR="00E223F8" w:rsidRPr="00514EFA" w:rsidRDefault="00E223F8" w:rsidP="00E223F8">
      <w:pPr>
        <w:rPr>
          <w:rFonts w:cs="Arial"/>
          <w:i/>
        </w:rPr>
      </w:pPr>
      <w:r w:rsidRPr="00514EFA">
        <w:rPr>
          <w:rFonts w:cs="Arial"/>
          <w:i/>
        </w:rPr>
        <w:t>“</w:t>
      </w:r>
      <w:r w:rsidR="003D29BB">
        <w:rPr>
          <w:rFonts w:cs="Arial"/>
          <w:i/>
        </w:rPr>
        <w:t>T</w:t>
      </w:r>
      <w:r w:rsidRPr="00514EFA">
        <w:rPr>
          <w:rFonts w:cs="Arial"/>
          <w:i/>
        </w:rPr>
        <w:t>he places (properties, spaces, monuments, buildings, etc.) that produce and provide culture, sport and heritage, and which can be participated in, enjoyed or ‘consumed’.”</w:t>
      </w:r>
    </w:p>
    <w:p w14:paraId="5172AEEE" w14:textId="477D873B" w:rsidR="00E223F8" w:rsidRPr="00514EFA" w:rsidRDefault="00E223F8" w:rsidP="00E223F8">
      <w:pPr>
        <w:rPr>
          <w:rFonts w:cs="Arial"/>
        </w:rPr>
      </w:pPr>
      <w:r w:rsidRPr="00514EFA">
        <w:rPr>
          <w:rFonts w:cs="Arial"/>
        </w:rPr>
        <w:t xml:space="preserve">It should be noted that </w:t>
      </w:r>
      <w:r w:rsidR="003D29BB">
        <w:rPr>
          <w:rFonts w:cs="Arial"/>
        </w:rPr>
        <w:t xml:space="preserve">CS&amp;H </w:t>
      </w:r>
      <w:r w:rsidRPr="00514EFA">
        <w:rPr>
          <w:rFonts w:cs="Arial"/>
        </w:rPr>
        <w:t>assets can have a positive economic or social impact without this being an intended outcome. There may also be ‘assets’ which do not fit within our definition – for example, storage or archive facilities which are not accessible by the public.</w:t>
      </w:r>
    </w:p>
    <w:p w14:paraId="37ADCD1C" w14:textId="77777777" w:rsidR="00E223F8" w:rsidRPr="00514EFA" w:rsidRDefault="00E223F8" w:rsidP="00F640F8">
      <w:pPr>
        <w:spacing w:before="240" w:after="200" w:line="276" w:lineRule="auto"/>
        <w:rPr>
          <w:rFonts w:cs="Arial"/>
          <w:b/>
        </w:rPr>
      </w:pPr>
      <w:r w:rsidRPr="00514EFA">
        <w:rPr>
          <w:rFonts w:cs="Arial"/>
          <w:b/>
        </w:rPr>
        <w:t>Culture, Sport and Heritage Investment</w:t>
      </w:r>
    </w:p>
    <w:p w14:paraId="21A26D30" w14:textId="020F53F1" w:rsidR="00E223F8" w:rsidRPr="00514EFA" w:rsidRDefault="00E223F8" w:rsidP="00E223F8">
      <w:pPr>
        <w:rPr>
          <w:rFonts w:cs="Arial"/>
        </w:rPr>
      </w:pPr>
      <w:r w:rsidRPr="00514EFA">
        <w:rPr>
          <w:rFonts w:cs="Arial"/>
        </w:rPr>
        <w:t xml:space="preserve">We define CS&amp;H </w:t>
      </w:r>
      <w:r w:rsidR="009833F3">
        <w:rPr>
          <w:rFonts w:cs="Arial"/>
        </w:rPr>
        <w:t>i</w:t>
      </w:r>
      <w:r w:rsidRPr="00514EFA">
        <w:rPr>
          <w:rFonts w:cs="Arial"/>
        </w:rPr>
        <w:t>nvestment as:</w:t>
      </w:r>
    </w:p>
    <w:p w14:paraId="6F437EE2" w14:textId="77286545" w:rsidR="00E223F8" w:rsidRPr="00514EFA" w:rsidRDefault="00E223F8" w:rsidP="003C27FD">
      <w:pPr>
        <w:rPr>
          <w:rFonts w:cs="Arial"/>
          <w:i/>
        </w:rPr>
      </w:pPr>
      <w:r w:rsidRPr="00514EFA">
        <w:rPr>
          <w:rFonts w:cs="Arial"/>
          <w:i/>
        </w:rPr>
        <w:t>“</w:t>
      </w:r>
      <w:r w:rsidR="003D29BB">
        <w:rPr>
          <w:rFonts w:cs="Arial"/>
          <w:i/>
        </w:rPr>
        <w:t>F</w:t>
      </w:r>
      <w:r w:rsidRPr="00514EFA">
        <w:rPr>
          <w:rFonts w:cs="Arial"/>
          <w:i/>
        </w:rPr>
        <w:t xml:space="preserve">inancial support (operating, grant and capital expenditures) for culture, sport and </w:t>
      </w:r>
      <w:r w:rsidR="003C27FD">
        <w:rPr>
          <w:rFonts w:cs="Arial"/>
          <w:i/>
        </w:rPr>
        <w:t xml:space="preserve">heritage </w:t>
      </w:r>
      <w:r w:rsidRPr="00514EFA">
        <w:rPr>
          <w:rFonts w:cs="Arial"/>
          <w:i/>
        </w:rPr>
        <w:t>from diverse sources: national government departments and arm’s length bodies; lottery funding; local government; foundations, personal and business giving; private investment; consumer investment.”</w:t>
      </w:r>
    </w:p>
    <w:p w14:paraId="0B67AA01" w14:textId="77777777" w:rsidR="00E223F8" w:rsidRPr="00514EFA" w:rsidRDefault="00E223F8" w:rsidP="00E223F8">
      <w:pPr>
        <w:rPr>
          <w:rFonts w:cs="Arial"/>
        </w:rPr>
      </w:pPr>
      <w:r w:rsidRPr="00514EFA">
        <w:rPr>
          <w:rFonts w:cs="Arial"/>
        </w:rPr>
        <w:t>It should also be noted that investments differ in source and intended use of funds.</w:t>
      </w:r>
    </w:p>
    <w:p w14:paraId="22F18C42" w14:textId="77777777" w:rsidR="00E223F8" w:rsidRPr="00514EFA" w:rsidRDefault="00E223F8" w:rsidP="00520273">
      <w:pPr>
        <w:spacing w:before="240" w:after="200" w:line="276" w:lineRule="auto"/>
        <w:rPr>
          <w:rFonts w:cs="Arial"/>
          <w:b/>
        </w:rPr>
      </w:pPr>
      <w:r w:rsidRPr="00514EFA">
        <w:rPr>
          <w:rFonts w:cs="Arial"/>
          <w:b/>
        </w:rPr>
        <w:t>Impact</w:t>
      </w:r>
    </w:p>
    <w:p w14:paraId="279E73AE" w14:textId="2113FC73" w:rsidR="00E223F8" w:rsidRPr="00514EFA" w:rsidRDefault="00E223F8" w:rsidP="00E223F8">
      <w:pPr>
        <w:rPr>
          <w:rFonts w:cs="Arial"/>
        </w:rPr>
      </w:pPr>
      <w:r w:rsidRPr="00514EFA">
        <w:rPr>
          <w:rFonts w:cs="Arial"/>
        </w:rPr>
        <w:t xml:space="preserve">We define </w:t>
      </w:r>
      <w:r w:rsidR="00FC6C4B">
        <w:rPr>
          <w:rFonts w:cs="Arial"/>
        </w:rPr>
        <w:t>i</w:t>
      </w:r>
      <w:r w:rsidRPr="00514EFA">
        <w:rPr>
          <w:rFonts w:cs="Arial"/>
        </w:rPr>
        <w:t>mpact as:</w:t>
      </w:r>
    </w:p>
    <w:p w14:paraId="04C89A6E" w14:textId="77777777" w:rsidR="00E223F8" w:rsidRPr="00514EFA" w:rsidRDefault="00E223F8" w:rsidP="00E223F8">
      <w:pPr>
        <w:rPr>
          <w:rFonts w:cs="Arial"/>
          <w:i/>
        </w:rPr>
      </w:pPr>
      <w:r w:rsidRPr="00514EFA">
        <w:rPr>
          <w:rFonts w:cs="Arial"/>
          <w:i/>
        </w:rPr>
        <w:t>“The positive outcomes on ‘well-being’ (i.e. liveability and economic performance) of a place that might be generated either directly or indirectly within a study location through CS&amp;H assets or investments.”</w:t>
      </w:r>
    </w:p>
    <w:p w14:paraId="1ED914A0" w14:textId="2712F3ED" w:rsidR="00E223F8" w:rsidRPr="00514EFA" w:rsidRDefault="00E223F8" w:rsidP="00E223F8">
      <w:pPr>
        <w:rPr>
          <w:rFonts w:cs="Arial"/>
        </w:rPr>
      </w:pPr>
      <w:r w:rsidRPr="00514EFA">
        <w:rPr>
          <w:rFonts w:cs="Arial"/>
        </w:rPr>
        <w:t xml:space="preserve">There are a wide range of possible impacts that this study is concerned with. The </w:t>
      </w:r>
      <w:r w:rsidR="00FC6C4B">
        <w:rPr>
          <w:rFonts w:cs="Arial"/>
        </w:rPr>
        <w:t>following were</w:t>
      </w:r>
      <w:r w:rsidR="00FC6C4B" w:rsidRPr="00514EFA">
        <w:rPr>
          <w:rFonts w:cs="Arial"/>
        </w:rPr>
        <w:t xml:space="preserve"> </w:t>
      </w:r>
      <w:r w:rsidRPr="00514EFA">
        <w:rPr>
          <w:rFonts w:cs="Arial"/>
        </w:rPr>
        <w:t>identified in the brief:</w:t>
      </w:r>
    </w:p>
    <w:p w14:paraId="08F90D7A" w14:textId="77777777" w:rsidR="00E223F8" w:rsidRPr="00514EFA" w:rsidRDefault="00E223F8" w:rsidP="00BB7156">
      <w:pPr>
        <w:pStyle w:val="Bullet"/>
      </w:pPr>
      <w:r w:rsidRPr="00514EFA">
        <w:rPr>
          <w:b/>
          <w:bCs/>
        </w:rPr>
        <w:t>Economy</w:t>
      </w:r>
      <w:r w:rsidRPr="00514EFA">
        <w:t>: Personal income, output (GVA), productivity, property prices, tourism, inward investment, business relocation, employment and skills, etc.</w:t>
      </w:r>
    </w:p>
    <w:p w14:paraId="5586C282" w14:textId="4841AECE" w:rsidR="00E223F8" w:rsidRPr="003B7B9B" w:rsidRDefault="00E223F8" w:rsidP="00BB7156">
      <w:pPr>
        <w:pStyle w:val="Bullet"/>
        <w:rPr>
          <w:b/>
          <w:bCs/>
        </w:rPr>
      </w:pPr>
      <w:r w:rsidRPr="00514EFA">
        <w:rPr>
          <w:b/>
          <w:bCs/>
        </w:rPr>
        <w:t xml:space="preserve">Society: </w:t>
      </w:r>
      <w:r w:rsidRPr="00514EFA">
        <w:t>demographic characteristics (including ethnicity), education and learning, health, deprivation, social capital, crime and neighbourhood, personal wellbeing, identity.</w:t>
      </w:r>
      <w:r w:rsidR="003B7B9B">
        <w:t xml:space="preserve"> </w:t>
      </w:r>
    </w:p>
    <w:p w14:paraId="4719EA63" w14:textId="54DD0DB0" w:rsidR="003B7B9B" w:rsidRPr="003B7B9B" w:rsidRDefault="003B7B9B" w:rsidP="003B7B9B">
      <w:pPr>
        <w:rPr>
          <w:rFonts w:cs="Arial"/>
          <w:bCs/>
        </w:rPr>
      </w:pPr>
      <w:r w:rsidRPr="003B7B9B">
        <w:rPr>
          <w:rFonts w:cs="Arial"/>
          <w:bCs/>
        </w:rPr>
        <w:t xml:space="preserve">These </w:t>
      </w:r>
      <w:r>
        <w:rPr>
          <w:rFonts w:cs="Arial"/>
          <w:bCs/>
        </w:rPr>
        <w:t>are underpinned and in many respects preceded by the intrinsic value that can be derived from cultural experience at the individual level, which in turn can generate economic and social effects and behavioural change, as noted above.</w:t>
      </w:r>
    </w:p>
    <w:p w14:paraId="72D2B682" w14:textId="1D248000" w:rsidR="00595A32" w:rsidRPr="00514EFA" w:rsidRDefault="004A56F9" w:rsidP="00595A32">
      <w:pPr>
        <w:rPr>
          <w:rFonts w:cs="Arial"/>
          <w:bCs/>
        </w:rPr>
      </w:pPr>
      <w:r>
        <w:rPr>
          <w:rFonts w:cs="Arial"/>
          <w:bCs/>
        </w:rPr>
        <w:t>Despite the range of impacts of interest, h</w:t>
      </w:r>
      <w:r w:rsidRPr="00514EFA">
        <w:rPr>
          <w:rFonts w:cs="Arial"/>
          <w:bCs/>
        </w:rPr>
        <w:t>owever</w:t>
      </w:r>
      <w:r w:rsidR="00595A32" w:rsidRPr="00514EFA">
        <w:rPr>
          <w:rFonts w:cs="Arial"/>
          <w:bCs/>
        </w:rPr>
        <w:t xml:space="preserve">, the data </w:t>
      </w:r>
      <w:r w:rsidR="00FC6C4B" w:rsidRPr="00514EFA">
        <w:rPr>
          <w:rFonts w:cs="Arial"/>
          <w:bCs/>
        </w:rPr>
        <w:t>coll</w:t>
      </w:r>
      <w:r w:rsidR="00FC6C4B">
        <w:rPr>
          <w:rFonts w:cs="Arial"/>
          <w:bCs/>
        </w:rPr>
        <w:t>ec</w:t>
      </w:r>
      <w:r w:rsidR="00FC6C4B" w:rsidRPr="00514EFA">
        <w:rPr>
          <w:rFonts w:cs="Arial"/>
          <w:bCs/>
        </w:rPr>
        <w:t xml:space="preserve">tion </w:t>
      </w:r>
      <w:r w:rsidR="00595A32" w:rsidRPr="00514EFA">
        <w:rPr>
          <w:rFonts w:cs="Arial"/>
          <w:bCs/>
        </w:rPr>
        <w:t>exercise undertaken for this study, along with consideration of the existing evidence base and – importantly – identification of evidence gaps has driven a narrowing of the focus on impacts.</w:t>
      </w:r>
      <w:r w:rsidR="00A033C6">
        <w:rPr>
          <w:rFonts w:cs="Arial"/>
          <w:bCs/>
        </w:rPr>
        <w:t xml:space="preserve"> </w:t>
      </w:r>
    </w:p>
    <w:p w14:paraId="6B7617CA" w14:textId="77777777" w:rsidR="005D0771" w:rsidRDefault="005D0771" w:rsidP="00F640F8">
      <w:pPr>
        <w:spacing w:before="240" w:after="200" w:line="276" w:lineRule="auto"/>
        <w:rPr>
          <w:rFonts w:cs="Arial"/>
          <w:b/>
        </w:rPr>
      </w:pPr>
    </w:p>
    <w:p w14:paraId="2DE0D01E" w14:textId="77777777" w:rsidR="00E223F8" w:rsidRPr="00514EFA" w:rsidRDefault="00E223F8" w:rsidP="00F640F8">
      <w:pPr>
        <w:spacing w:before="240" w:after="200" w:line="276" w:lineRule="auto"/>
        <w:rPr>
          <w:rFonts w:cs="Arial"/>
          <w:b/>
        </w:rPr>
      </w:pPr>
      <w:r w:rsidRPr="00514EFA">
        <w:rPr>
          <w:rFonts w:cs="Arial"/>
          <w:b/>
        </w:rPr>
        <w:lastRenderedPageBreak/>
        <w:t>Geography of impact</w:t>
      </w:r>
    </w:p>
    <w:p w14:paraId="249CCF0A" w14:textId="77777777" w:rsidR="00E223F8" w:rsidRPr="00514EFA" w:rsidRDefault="00E223F8" w:rsidP="00E223F8">
      <w:pPr>
        <w:rPr>
          <w:rFonts w:cs="Arial"/>
        </w:rPr>
      </w:pPr>
      <w:r w:rsidRPr="00514EFA">
        <w:rPr>
          <w:rFonts w:cs="Arial"/>
        </w:rPr>
        <w:t>We define the term ‘geography of impact’ as:</w:t>
      </w:r>
    </w:p>
    <w:p w14:paraId="2EBF78B1" w14:textId="77777777" w:rsidR="00E223F8" w:rsidRPr="00514EFA" w:rsidRDefault="00E223F8" w:rsidP="00E223F8">
      <w:pPr>
        <w:rPr>
          <w:rFonts w:cs="Arial"/>
          <w:i/>
        </w:rPr>
      </w:pPr>
      <w:r w:rsidRPr="00514EFA">
        <w:rPr>
          <w:rFonts w:cs="Arial"/>
          <w:i/>
        </w:rPr>
        <w:t>“The spatial reach of the direct or indirect impacts arising from CS&amp;H assets and investment.”</w:t>
      </w:r>
    </w:p>
    <w:p w14:paraId="0285F1C6" w14:textId="0BFD025A" w:rsidR="00E223F8" w:rsidRPr="00514EFA" w:rsidRDefault="00E223F8" w:rsidP="00F640F8">
      <w:pPr>
        <w:spacing w:before="240" w:after="200" w:line="276" w:lineRule="auto"/>
        <w:rPr>
          <w:rFonts w:cs="Arial"/>
          <w:b/>
        </w:rPr>
      </w:pPr>
      <w:r w:rsidRPr="00514EFA">
        <w:rPr>
          <w:rFonts w:cs="Arial"/>
          <w:b/>
        </w:rPr>
        <w:t xml:space="preserve">Culture, Sport and Heritage </w:t>
      </w:r>
      <w:r w:rsidR="003D29BB">
        <w:rPr>
          <w:rFonts w:cs="Arial"/>
          <w:b/>
        </w:rPr>
        <w:t>e</w:t>
      </w:r>
      <w:r w:rsidR="003D29BB" w:rsidRPr="00514EFA">
        <w:rPr>
          <w:rFonts w:cs="Arial"/>
          <w:b/>
        </w:rPr>
        <w:t>cosystem</w:t>
      </w:r>
    </w:p>
    <w:p w14:paraId="6798F9BE" w14:textId="044FF9E9" w:rsidR="00E223F8" w:rsidRPr="00514EFA" w:rsidRDefault="00E223F8" w:rsidP="00E223F8">
      <w:pPr>
        <w:rPr>
          <w:rFonts w:cs="Arial"/>
        </w:rPr>
      </w:pPr>
      <w:r w:rsidRPr="00514EFA">
        <w:rPr>
          <w:rFonts w:cs="Arial"/>
        </w:rPr>
        <w:t xml:space="preserve">Lastly, we define the CS&amp;H </w:t>
      </w:r>
      <w:r w:rsidR="003D29BB">
        <w:rPr>
          <w:rFonts w:cs="Arial"/>
        </w:rPr>
        <w:t>e</w:t>
      </w:r>
      <w:r w:rsidR="003D29BB" w:rsidRPr="00514EFA">
        <w:rPr>
          <w:rFonts w:cs="Arial"/>
        </w:rPr>
        <w:t xml:space="preserve">cosystem </w:t>
      </w:r>
      <w:r w:rsidRPr="00514EFA">
        <w:rPr>
          <w:rFonts w:cs="Arial"/>
        </w:rPr>
        <w:t>as:</w:t>
      </w:r>
    </w:p>
    <w:p w14:paraId="72B1CC6F" w14:textId="1C4F3C9F" w:rsidR="00E223F8" w:rsidRPr="00514EFA" w:rsidRDefault="00E223F8" w:rsidP="00E223F8">
      <w:pPr>
        <w:rPr>
          <w:rFonts w:cs="Arial"/>
          <w:i/>
        </w:rPr>
      </w:pPr>
      <w:r w:rsidRPr="00514EFA">
        <w:rPr>
          <w:rFonts w:cs="Arial"/>
          <w:i/>
        </w:rPr>
        <w:t>“The set of processes and interactions whereby CS&amp;H assets and investment not only deliver direct and indirect impacts but also generate numerous spillovers which further enhance the cumulative and total impact of those assets and investment</w:t>
      </w:r>
      <w:r w:rsidR="004E4628">
        <w:rPr>
          <w:rFonts w:cs="Arial"/>
          <w:i/>
        </w:rPr>
        <w:t xml:space="preserve"> (for example, through their role in potentially creating agglomeration effects)</w:t>
      </w:r>
      <w:r w:rsidRPr="00514EFA">
        <w:rPr>
          <w:rFonts w:cs="Arial"/>
          <w:i/>
        </w:rPr>
        <w:t>.”</w:t>
      </w:r>
    </w:p>
    <w:p w14:paraId="5D15562B" w14:textId="69837877" w:rsidR="00E223F8" w:rsidRPr="00514EFA" w:rsidRDefault="009C4967" w:rsidP="00FC6C4B">
      <w:pPr>
        <w:pStyle w:val="Heading3Numbered"/>
      </w:pPr>
      <w:bookmarkStart w:id="16" w:name="_Toc467569585"/>
      <w:bookmarkStart w:id="17" w:name="_Toc441588954"/>
      <w:bookmarkStart w:id="18" w:name="_Ref457312487"/>
      <w:r>
        <w:t xml:space="preserve">Study </w:t>
      </w:r>
      <w:r w:rsidR="00351721">
        <w:t>i</w:t>
      </w:r>
      <w:r>
        <w:t xml:space="preserve">mplications arising from the </w:t>
      </w:r>
      <w:r w:rsidR="00351721" w:rsidRPr="00514EFA">
        <w:t>review</w:t>
      </w:r>
      <w:r w:rsidR="00351721">
        <w:t xml:space="preserve"> of theoretical </w:t>
      </w:r>
      <w:r w:rsidR="00351721" w:rsidRPr="00514EFA">
        <w:t>literature</w:t>
      </w:r>
      <w:bookmarkEnd w:id="16"/>
      <w:r w:rsidR="00351721" w:rsidRPr="00514EFA">
        <w:t xml:space="preserve"> </w:t>
      </w:r>
      <w:bookmarkEnd w:id="17"/>
      <w:bookmarkEnd w:id="18"/>
    </w:p>
    <w:p w14:paraId="6EDBF49B" w14:textId="775987A1" w:rsidR="002B2D81" w:rsidRPr="00514EFA" w:rsidRDefault="00E223F8" w:rsidP="002B2D81">
      <w:pPr>
        <w:rPr>
          <w:rFonts w:eastAsiaTheme="minorHAnsi" w:cs="Arial"/>
        </w:rPr>
      </w:pPr>
      <w:bookmarkStart w:id="19" w:name="_Toc277800297"/>
      <w:r w:rsidRPr="00514EFA">
        <w:rPr>
          <w:rFonts w:cs="Arial"/>
        </w:rPr>
        <w:t xml:space="preserve">The literature review was undertaken as a ‘rapid review’ with the benefit of prior reviews, notably our </w:t>
      </w:r>
      <w:r w:rsidRPr="00514EFA">
        <w:rPr>
          <w:rFonts w:cs="Arial"/>
          <w:i/>
        </w:rPr>
        <w:t>Art the Possible</w:t>
      </w:r>
      <w:r w:rsidRPr="00514EFA">
        <w:rPr>
          <w:rFonts w:cs="Arial"/>
        </w:rPr>
        <w:t xml:space="preserve"> feasibility study undertaken for CASE in 2010 which looked at literature on CS&amp;H impacts and underlying quantitative methods and data availability</w:t>
      </w:r>
      <w:r w:rsidR="00A90680">
        <w:rPr>
          <w:rFonts w:cs="Arial"/>
        </w:rPr>
        <w:t xml:space="preserve"> (TBR &amp; Cities Institute, 2011)</w:t>
      </w:r>
      <w:r w:rsidRPr="00514EFA">
        <w:rPr>
          <w:rFonts w:cs="Arial"/>
        </w:rPr>
        <w:t xml:space="preserve">. More recent reviews include </w:t>
      </w:r>
      <w:r w:rsidRPr="00514EFA">
        <w:rPr>
          <w:rFonts w:eastAsiaTheme="minorHAnsi" w:cs="Arial"/>
          <w:i/>
        </w:rPr>
        <w:t>Evidence Review: Sport and Culture</w:t>
      </w:r>
      <w:r w:rsidR="00A90680">
        <w:rPr>
          <w:rFonts w:eastAsiaTheme="minorHAnsi" w:cs="Arial"/>
          <w:i/>
        </w:rPr>
        <w:t xml:space="preserve"> </w:t>
      </w:r>
      <w:r w:rsidR="00A90680">
        <w:rPr>
          <w:rFonts w:eastAsiaTheme="minorHAnsi" w:cs="Arial"/>
        </w:rPr>
        <w:t>(What Works Cen</w:t>
      </w:r>
      <w:r w:rsidR="00A90680" w:rsidRPr="00A90680">
        <w:rPr>
          <w:rFonts w:eastAsiaTheme="minorHAnsi" w:cs="Arial"/>
        </w:rPr>
        <w:t xml:space="preserve">tre </w:t>
      </w:r>
      <w:r w:rsidR="0031388C">
        <w:rPr>
          <w:rFonts w:eastAsiaTheme="minorHAnsi" w:cs="Arial"/>
        </w:rPr>
        <w:t>f</w:t>
      </w:r>
      <w:r w:rsidR="00A90680" w:rsidRPr="00A90680">
        <w:rPr>
          <w:rFonts w:eastAsiaTheme="minorHAnsi" w:cs="Arial"/>
        </w:rPr>
        <w:t>or Local Economic Growth, 2014)</w:t>
      </w:r>
      <w:r w:rsidR="00FC6C4B">
        <w:rPr>
          <w:rFonts w:eastAsiaTheme="minorHAnsi" w:cs="Arial"/>
        </w:rPr>
        <w:t xml:space="preserve"> and</w:t>
      </w:r>
      <w:r w:rsidRPr="00514EFA">
        <w:rPr>
          <w:rFonts w:eastAsiaTheme="minorHAnsi" w:cs="Arial"/>
        </w:rPr>
        <w:t xml:space="preserve"> </w:t>
      </w:r>
      <w:r w:rsidRPr="00514EFA">
        <w:rPr>
          <w:rFonts w:eastAsiaTheme="minorHAnsi" w:cs="Arial"/>
          <w:i/>
        </w:rPr>
        <w:t>Quantifying the Social Impacts of Culture and Sport</w:t>
      </w:r>
      <w:r w:rsidR="0031388C">
        <w:rPr>
          <w:rFonts w:eastAsiaTheme="minorHAnsi" w:cs="Arial"/>
          <w:i/>
        </w:rPr>
        <w:t xml:space="preserve"> </w:t>
      </w:r>
      <w:r w:rsidR="0031388C" w:rsidRPr="0031388C">
        <w:rPr>
          <w:rFonts w:eastAsiaTheme="minorHAnsi" w:cs="Arial"/>
        </w:rPr>
        <w:t>(Fujiwara et al, 2014)</w:t>
      </w:r>
      <w:r w:rsidRPr="00514EFA">
        <w:rPr>
          <w:rFonts w:eastAsiaTheme="minorHAnsi" w:cs="Arial"/>
        </w:rPr>
        <w:t xml:space="preserve"> as well as </w:t>
      </w:r>
      <w:r w:rsidR="00FC6C4B">
        <w:rPr>
          <w:rFonts w:eastAsiaTheme="minorHAnsi" w:cs="Arial"/>
        </w:rPr>
        <w:t>other</w:t>
      </w:r>
      <w:r w:rsidR="00FC6C4B" w:rsidRPr="00514EFA">
        <w:rPr>
          <w:rFonts w:eastAsiaTheme="minorHAnsi" w:cs="Arial"/>
        </w:rPr>
        <w:t xml:space="preserve"> </w:t>
      </w:r>
      <w:r w:rsidRPr="00514EFA">
        <w:rPr>
          <w:rFonts w:eastAsiaTheme="minorHAnsi" w:cs="Arial"/>
        </w:rPr>
        <w:t>reviews of social impacts</w:t>
      </w:r>
      <w:r w:rsidR="0031388C">
        <w:rPr>
          <w:rFonts w:eastAsiaTheme="minorHAnsi" w:cs="Arial"/>
        </w:rPr>
        <w:t xml:space="preserve"> (Reeves, 2002)</w:t>
      </w:r>
      <w:r w:rsidRPr="00514EFA">
        <w:rPr>
          <w:rFonts w:eastAsiaTheme="minorHAnsi" w:cs="Arial"/>
        </w:rPr>
        <w:t xml:space="preserve"> and culture and regeneration</w:t>
      </w:r>
      <w:r w:rsidR="0031388C">
        <w:rPr>
          <w:rFonts w:eastAsiaTheme="minorHAnsi" w:cs="Arial"/>
        </w:rPr>
        <w:t xml:space="preserve"> (Evans &amp; Shaw, 2004)</w:t>
      </w:r>
      <w:r w:rsidRPr="00514EFA">
        <w:rPr>
          <w:rFonts w:eastAsiaTheme="minorHAnsi" w:cs="Arial"/>
        </w:rPr>
        <w:t>. The literature review has drawn on these sources as well as published material in the form of journal articles, books/chapters and research reports, primarily (but not exclusively) from the UK and North America.</w:t>
      </w:r>
      <w:r w:rsidR="00A033C6">
        <w:rPr>
          <w:rFonts w:eastAsiaTheme="minorHAnsi" w:cs="Arial"/>
        </w:rPr>
        <w:t xml:space="preserve"> </w:t>
      </w:r>
      <w:r w:rsidR="00117F49" w:rsidRPr="00514EFA">
        <w:rPr>
          <w:rFonts w:eastAsiaTheme="minorHAnsi" w:cs="Arial"/>
        </w:rPr>
        <w:t xml:space="preserve">The purpose of the review is to contribute to the design of a framework within which the study </w:t>
      </w:r>
      <w:r w:rsidR="00FC6C4B">
        <w:rPr>
          <w:rFonts w:eastAsiaTheme="minorHAnsi" w:cs="Arial"/>
        </w:rPr>
        <w:t>can</w:t>
      </w:r>
      <w:r w:rsidR="00FC6C4B" w:rsidRPr="00514EFA">
        <w:rPr>
          <w:rFonts w:eastAsiaTheme="minorHAnsi" w:cs="Arial"/>
        </w:rPr>
        <w:t xml:space="preserve"> </w:t>
      </w:r>
      <w:r w:rsidR="00117F49" w:rsidRPr="00514EFA">
        <w:rPr>
          <w:rFonts w:eastAsiaTheme="minorHAnsi" w:cs="Arial"/>
        </w:rPr>
        <w:t xml:space="preserve">operate, including the identification of specific evidence gaps which the study </w:t>
      </w:r>
      <w:r w:rsidR="002B2D81">
        <w:rPr>
          <w:rFonts w:eastAsiaTheme="minorHAnsi" w:cs="Arial"/>
        </w:rPr>
        <w:t>can address, and empirical models/approaches that can be adopted in order to address them</w:t>
      </w:r>
      <w:r w:rsidR="00117F49" w:rsidRPr="00514EFA">
        <w:rPr>
          <w:rFonts w:eastAsiaTheme="minorHAnsi" w:cs="Arial"/>
        </w:rPr>
        <w:t>.</w:t>
      </w:r>
      <w:r w:rsidR="00A033C6">
        <w:rPr>
          <w:rFonts w:eastAsiaTheme="minorHAnsi" w:cs="Arial"/>
        </w:rPr>
        <w:t xml:space="preserve"> </w:t>
      </w:r>
    </w:p>
    <w:p w14:paraId="49C72095" w14:textId="018AD4C7" w:rsidR="00E223F8" w:rsidRPr="00514EFA" w:rsidRDefault="00E223F8" w:rsidP="00E223F8">
      <w:pPr>
        <w:rPr>
          <w:rFonts w:cs="Arial"/>
        </w:rPr>
      </w:pPr>
      <w:r w:rsidRPr="00514EFA">
        <w:rPr>
          <w:rFonts w:cs="Arial"/>
        </w:rPr>
        <w:t>This section presents the key points from the literature review of papers related to relevant theoretical concepts and policy, undertaken in order to inform the conceptual framework</w:t>
      </w:r>
      <w:r w:rsidR="000A0E5D">
        <w:rPr>
          <w:rFonts w:cs="Arial"/>
        </w:rPr>
        <w:t xml:space="preserve"> and therefore the focus of the study</w:t>
      </w:r>
      <w:r w:rsidRPr="00514EFA">
        <w:rPr>
          <w:rFonts w:cs="Arial"/>
        </w:rPr>
        <w:t>.</w:t>
      </w:r>
      <w:r w:rsidR="002B2D81">
        <w:rPr>
          <w:rFonts w:cs="Arial"/>
        </w:rPr>
        <w:t xml:space="preserve"> The full review is available in</w:t>
      </w:r>
      <w:r w:rsidR="00FC6C4B">
        <w:rPr>
          <w:rFonts w:cs="Arial"/>
        </w:rPr>
        <w:t xml:space="preserve"> </w:t>
      </w:r>
      <w:r w:rsidR="002062BD">
        <w:rPr>
          <w:rFonts w:cs="Arial"/>
        </w:rPr>
        <w:t>section</w:t>
      </w:r>
      <w:r w:rsidR="00A033C6">
        <w:rPr>
          <w:rFonts w:cs="Arial"/>
        </w:rPr>
        <w:t xml:space="preserve"> </w:t>
      </w:r>
      <w:r w:rsidR="002062BD">
        <w:rPr>
          <w:rFonts w:cs="Arial"/>
        </w:rPr>
        <w:fldChar w:fldCharType="begin"/>
      </w:r>
      <w:r w:rsidR="002062BD">
        <w:rPr>
          <w:rFonts w:cs="Arial"/>
        </w:rPr>
        <w:instrText xml:space="preserve"> REF _Ref460272388 \r \h </w:instrText>
      </w:r>
      <w:r w:rsidR="002062BD">
        <w:rPr>
          <w:rFonts w:cs="Arial"/>
        </w:rPr>
      </w:r>
      <w:r w:rsidR="002062BD">
        <w:rPr>
          <w:rFonts w:cs="Arial"/>
        </w:rPr>
        <w:fldChar w:fldCharType="separate"/>
      </w:r>
      <w:r w:rsidR="00F0636B">
        <w:rPr>
          <w:rFonts w:cs="Arial"/>
        </w:rPr>
        <w:t>6:</w:t>
      </w:r>
      <w:r w:rsidR="002062BD">
        <w:rPr>
          <w:rFonts w:cs="Arial"/>
        </w:rPr>
        <w:fldChar w:fldCharType="end"/>
      </w:r>
      <w:r w:rsidR="002062BD">
        <w:rPr>
          <w:rFonts w:cs="Arial"/>
        </w:rPr>
        <w:t xml:space="preserve"> (p</w:t>
      </w:r>
      <w:r w:rsidR="00404588">
        <w:rPr>
          <w:rFonts w:cs="Arial"/>
        </w:rPr>
        <w:t>.</w:t>
      </w:r>
      <w:r w:rsidR="002062BD">
        <w:rPr>
          <w:rFonts w:cs="Arial"/>
        </w:rPr>
        <w:fldChar w:fldCharType="begin"/>
      </w:r>
      <w:r w:rsidR="002062BD">
        <w:rPr>
          <w:rFonts w:cs="Arial"/>
        </w:rPr>
        <w:instrText xml:space="preserve"> PAGEREF _Ref460272433 \h </w:instrText>
      </w:r>
      <w:r w:rsidR="002062BD">
        <w:rPr>
          <w:rFonts w:cs="Arial"/>
        </w:rPr>
      </w:r>
      <w:r w:rsidR="002062BD">
        <w:rPr>
          <w:rFonts w:cs="Arial"/>
        </w:rPr>
        <w:fldChar w:fldCharType="separate"/>
      </w:r>
      <w:r w:rsidR="00F0636B">
        <w:rPr>
          <w:rFonts w:cs="Arial"/>
          <w:noProof/>
        </w:rPr>
        <w:t>40</w:t>
      </w:r>
      <w:r w:rsidR="002062BD">
        <w:rPr>
          <w:rFonts w:cs="Arial"/>
        </w:rPr>
        <w:fldChar w:fldCharType="end"/>
      </w:r>
      <w:r w:rsidR="002062BD">
        <w:rPr>
          <w:rFonts w:cs="Arial"/>
        </w:rPr>
        <w:t>)</w:t>
      </w:r>
      <w:r w:rsidRPr="00514EFA">
        <w:rPr>
          <w:rFonts w:cs="Arial"/>
        </w:rPr>
        <w:t>.</w:t>
      </w:r>
    </w:p>
    <w:p w14:paraId="58E30E0A" w14:textId="119664C7" w:rsidR="00BA52C8" w:rsidRDefault="00BA52C8" w:rsidP="00680DD5">
      <w:pPr>
        <w:rPr>
          <w:rFonts w:cs="Arial"/>
        </w:rPr>
      </w:pPr>
      <w:r>
        <w:rPr>
          <w:rFonts w:cs="Arial"/>
        </w:rPr>
        <w:t xml:space="preserve">There is an extensive body of literature which relates to theoretical concepts that are </w:t>
      </w:r>
      <w:r w:rsidR="002062BD">
        <w:rPr>
          <w:rFonts w:cs="Arial"/>
        </w:rPr>
        <w:t xml:space="preserve">relevant </w:t>
      </w:r>
      <w:r>
        <w:rPr>
          <w:rFonts w:cs="Arial"/>
        </w:rPr>
        <w:t>to this study.</w:t>
      </w:r>
      <w:r w:rsidR="00A033C6">
        <w:rPr>
          <w:rFonts w:cs="Arial"/>
        </w:rPr>
        <w:t xml:space="preserve"> </w:t>
      </w:r>
      <w:r>
        <w:rPr>
          <w:rFonts w:cs="Arial"/>
        </w:rPr>
        <w:t xml:space="preserve">These range from how to define and value assets to the different types of impacts that might arise from their existence (directly and indirectly), from agglomeration effects to the creative and cultural industries and their role in </w:t>
      </w:r>
      <w:r w:rsidR="00AD6B47">
        <w:rPr>
          <w:rFonts w:cs="Arial"/>
        </w:rPr>
        <w:t>placemaking</w:t>
      </w:r>
      <w:r>
        <w:rPr>
          <w:rFonts w:cs="Arial"/>
        </w:rPr>
        <w:t xml:space="preserve"> and place-shaping.</w:t>
      </w:r>
    </w:p>
    <w:p w14:paraId="799D9385" w14:textId="48FEDCB8" w:rsidR="00BA52C8" w:rsidRDefault="00BA52C8" w:rsidP="00680DD5">
      <w:pPr>
        <w:rPr>
          <w:rFonts w:cs="Arial"/>
        </w:rPr>
      </w:pPr>
      <w:r>
        <w:rPr>
          <w:rFonts w:cs="Arial"/>
        </w:rPr>
        <w:t>The literature also identifies a number of conceptual and empirical considerations that should be borne in mind throughout a study of this type, including the notion of variation in the scale of assets and the scale of impact, temporal effects, asset mix, how externalities and spin-offs might occur around assets and how assets might themselves form part of a functioning economic cluster and so on.</w:t>
      </w:r>
    </w:p>
    <w:p w14:paraId="4B7D359A" w14:textId="3E6B1368" w:rsidR="00BA52C8" w:rsidRDefault="002B222A" w:rsidP="00680DD5">
      <w:pPr>
        <w:rPr>
          <w:rFonts w:cs="Arial"/>
        </w:rPr>
      </w:pPr>
      <w:r>
        <w:rPr>
          <w:rFonts w:cs="Arial"/>
        </w:rPr>
        <w:t>We focus here, though, on one of the most relevant aspects of the literature</w:t>
      </w:r>
      <w:r w:rsidR="00FC6C4B">
        <w:rPr>
          <w:rFonts w:cs="Arial"/>
        </w:rPr>
        <w:t>:</w:t>
      </w:r>
      <w:r>
        <w:rPr>
          <w:rFonts w:cs="Arial"/>
        </w:rPr>
        <w:t xml:space="preserve"> the concept of the creative and cultural industries as an ecosystem.</w:t>
      </w:r>
      <w:r w:rsidR="00A033C6">
        <w:rPr>
          <w:rFonts w:cs="Arial"/>
        </w:rPr>
        <w:t xml:space="preserve"> </w:t>
      </w:r>
      <w:r>
        <w:rPr>
          <w:rFonts w:cs="Arial"/>
        </w:rPr>
        <w:t xml:space="preserve">This is important because it was identified in the project brief and exists as a cornerstone within the design of this study. </w:t>
      </w:r>
    </w:p>
    <w:p w14:paraId="6F79493F" w14:textId="2CD4648F" w:rsidR="002B222A" w:rsidRDefault="00C138AC" w:rsidP="00680DD5">
      <w:pPr>
        <w:rPr>
          <w:rFonts w:cs="Arial"/>
        </w:rPr>
      </w:pPr>
      <w:r>
        <w:rPr>
          <w:rFonts w:cs="Arial"/>
        </w:rPr>
        <w:t>The literature identifies three key examples of use of the term ‘ecosystem’</w:t>
      </w:r>
      <w:r w:rsidR="00FC6C4B">
        <w:rPr>
          <w:rFonts w:cs="Arial"/>
        </w:rPr>
        <w:t>:</w:t>
      </w:r>
    </w:p>
    <w:p w14:paraId="6A11D60B" w14:textId="72AA7387" w:rsidR="00C138AC" w:rsidRDefault="00C138AC" w:rsidP="00BB7156">
      <w:pPr>
        <w:pStyle w:val="Bullet"/>
      </w:pPr>
      <w:r>
        <w:lastRenderedPageBreak/>
        <w:t xml:space="preserve">Ecosystems in </w:t>
      </w:r>
      <w:r w:rsidR="00FC6C4B">
        <w:t xml:space="preserve">cultural </w:t>
      </w:r>
      <w:r>
        <w:t>and creative industries (derived from innovation/ knowledge exchange, spillover</w:t>
      </w:r>
      <w:r w:rsidR="002062BD">
        <w:t xml:space="preserve"> effect</w:t>
      </w:r>
      <w:r>
        <w:t>s and production chain links</w:t>
      </w:r>
      <w:r w:rsidR="002062BD">
        <w:t>,</w:t>
      </w:r>
      <w:r>
        <w:t xml:space="preserve"> etc</w:t>
      </w:r>
      <w:r w:rsidR="002062BD">
        <w:t>.</w:t>
      </w:r>
      <w:r>
        <w:t>)</w:t>
      </w:r>
      <w:r w:rsidR="00FC6C4B">
        <w:t>,</w:t>
      </w:r>
      <w:r>
        <w:t xml:space="preserve"> such as that discussed in the Warwick Commission report</w:t>
      </w:r>
      <w:r w:rsidR="0031388C">
        <w:t xml:space="preserve"> (2015)</w:t>
      </w:r>
      <w:r>
        <w:t xml:space="preserve"> (i.e. creative and cultural industries feed and depend on each other).</w:t>
      </w:r>
    </w:p>
    <w:p w14:paraId="29A48ECA" w14:textId="101EF942" w:rsidR="00C138AC" w:rsidRDefault="00C138AC" w:rsidP="00BB7156">
      <w:pPr>
        <w:pStyle w:val="Bullet"/>
      </w:pPr>
      <w:r>
        <w:t xml:space="preserve">Ecosystems which are applied to arts and cultural activity and facilities which generate both an internal </w:t>
      </w:r>
      <w:r w:rsidR="002062BD">
        <w:t>‘</w:t>
      </w:r>
      <w:r>
        <w:t xml:space="preserve">cultural' ecosystem (e.g. in Holden's </w:t>
      </w:r>
      <w:r w:rsidR="0031388C">
        <w:t xml:space="preserve">2015 </w:t>
      </w:r>
      <w:r w:rsidRPr="00DC2628">
        <w:rPr>
          <w:i/>
        </w:rPr>
        <w:t>Ecology of Culture</w:t>
      </w:r>
      <w:r>
        <w:t xml:space="preserve"> report) and also feed the creative industries and wider economy.</w:t>
      </w:r>
    </w:p>
    <w:p w14:paraId="28879A7E" w14:textId="5ADD4949" w:rsidR="00C138AC" w:rsidRDefault="002062BD" w:rsidP="00BB7156">
      <w:pPr>
        <w:pStyle w:val="Bullet"/>
      </w:pPr>
      <w:r>
        <w:t>E</w:t>
      </w:r>
      <w:r w:rsidR="00C138AC">
        <w:t>cosystem</w:t>
      </w:r>
      <w:r>
        <w:t>s</w:t>
      </w:r>
      <w:r w:rsidR="00C138AC">
        <w:t xml:space="preserve"> of cultural engagement</w:t>
      </w:r>
      <w:r w:rsidR="00FC6C4B">
        <w:t>,</w:t>
      </w:r>
      <w:r>
        <w:t xml:space="preserve"> for</w:t>
      </w:r>
      <w:r w:rsidR="00C138AC">
        <w:t xml:space="preserve"> example ecosystem spillovers from local arts to economic growth </w:t>
      </w:r>
      <w:r w:rsidR="00ED51BF">
        <w:t xml:space="preserve">– </w:t>
      </w:r>
      <w:r w:rsidR="00C138AC">
        <w:t>e.g. Brighton FUSE, as identified by AHRC</w:t>
      </w:r>
      <w:r w:rsidR="0031388C">
        <w:t xml:space="preserve"> (Crossick &amp; Kaszynska</w:t>
      </w:r>
      <w:r w:rsidR="00404588">
        <w:t>,</w:t>
      </w:r>
      <w:r w:rsidR="0031388C">
        <w:t xml:space="preserve"> 2016)</w:t>
      </w:r>
      <w:r w:rsidR="00A033C6">
        <w:t xml:space="preserve"> </w:t>
      </w:r>
      <w:r w:rsidR="00ED51BF">
        <w:t>and</w:t>
      </w:r>
      <w:r w:rsidR="00C138AC">
        <w:t xml:space="preserve"> NESTA</w:t>
      </w:r>
      <w:r w:rsidR="00404588">
        <w:t xml:space="preserve"> (Bakhshi </w:t>
      </w:r>
      <w:r w:rsidR="009D7534">
        <w:t>et al, 2014)</w:t>
      </w:r>
      <w:r w:rsidR="00ED51BF">
        <w:t>;</w:t>
      </w:r>
      <w:r w:rsidR="00C138AC">
        <w:t xml:space="preserve"> Natural Cultural Districts studies (although Markusen doesn't actually use the term in her Creative Placemaking studies)</w:t>
      </w:r>
      <w:r w:rsidR="001D035E">
        <w:t xml:space="preserve">, </w:t>
      </w:r>
      <w:r w:rsidR="000353DE">
        <w:t>and the</w:t>
      </w:r>
      <w:r w:rsidR="00C138AC">
        <w:t xml:space="preserve"> recent </w:t>
      </w:r>
      <w:r w:rsidR="00C138AC" w:rsidRPr="00DC2628">
        <w:rPr>
          <w:i/>
        </w:rPr>
        <w:t xml:space="preserve">Cultural </w:t>
      </w:r>
      <w:r w:rsidR="001D035E" w:rsidRPr="00DC2628">
        <w:rPr>
          <w:i/>
        </w:rPr>
        <w:t xml:space="preserve">and </w:t>
      </w:r>
      <w:r w:rsidR="00C138AC" w:rsidRPr="00DC2628">
        <w:rPr>
          <w:i/>
        </w:rPr>
        <w:t>Creative Spillovers in Europe</w:t>
      </w:r>
      <w:r w:rsidR="00C138AC">
        <w:t xml:space="preserve"> report</w:t>
      </w:r>
      <w:r w:rsidR="00FD05B3">
        <w:t xml:space="preserve"> (Tom Fleming Creative Consultancy, 2015)</w:t>
      </w:r>
      <w:r w:rsidR="00C138AC">
        <w:t xml:space="preserve"> where cultural </w:t>
      </w:r>
      <w:r w:rsidR="00ED51BF">
        <w:t xml:space="preserve">and </w:t>
      </w:r>
      <w:r w:rsidR="00C138AC">
        <w:t>creative ecosystems are identified as a network spillover effect.</w:t>
      </w:r>
    </w:p>
    <w:p w14:paraId="1AFBF019" w14:textId="4F605A84" w:rsidR="002B222A" w:rsidRDefault="00C138AC" w:rsidP="00680DD5">
      <w:r>
        <w:t>Bringing these ideas together, the study brief stated that t</w:t>
      </w:r>
      <w:r w:rsidR="001644A5" w:rsidRPr="00514EFA">
        <w:t>he role of CS&amp;H infrastructure and investment in the local area should be thought of as an ecosystem, rather than in isolat</w:t>
      </w:r>
      <w:r w:rsidR="001D035E">
        <w:t>ion</w:t>
      </w:r>
      <w:r w:rsidR="001644A5" w:rsidRPr="00514EFA">
        <w:t>. For example, a new arts centre will create direct employment (including freelance/SMEs) and cultural participation, but it will also create employment in local businesses because of increased trade due to visitors, and in time may also attract related and unrelated business</w:t>
      </w:r>
      <w:r w:rsidR="00ED51BF">
        <w:t>es</w:t>
      </w:r>
      <w:r w:rsidR="001644A5" w:rsidRPr="00514EFA">
        <w:t xml:space="preserve"> and innovation/product development because the original investment has improved wellbeing, local aesthetics or skills leading to a better sense of place or </w:t>
      </w:r>
      <w:r w:rsidR="001D035E">
        <w:t>increased</w:t>
      </w:r>
      <w:r w:rsidR="001D035E" w:rsidRPr="00514EFA">
        <w:t xml:space="preserve"> </w:t>
      </w:r>
      <w:r w:rsidR="001644A5" w:rsidRPr="00514EFA">
        <w:t>human capital.</w:t>
      </w:r>
    </w:p>
    <w:p w14:paraId="26471381" w14:textId="3E7D5C8F" w:rsidR="000A0E5D" w:rsidRDefault="000A0E5D" w:rsidP="00680DD5">
      <w:r>
        <w:t xml:space="preserve">The concept of the impact ecosystem is considered further, alongside the practical implications of employing </w:t>
      </w:r>
      <w:r w:rsidR="00ED51BF">
        <w:t xml:space="preserve">such a </w:t>
      </w:r>
      <w:r>
        <w:t xml:space="preserve">model for this study, in the </w:t>
      </w:r>
      <w:r w:rsidR="001D035E">
        <w:t xml:space="preserve">following </w:t>
      </w:r>
      <w:r>
        <w:t>section.</w:t>
      </w:r>
    </w:p>
    <w:p w14:paraId="327FDD8B" w14:textId="53B474A9" w:rsidR="00A20FE0" w:rsidRPr="00514EFA" w:rsidRDefault="00B6576B" w:rsidP="00520273">
      <w:pPr>
        <w:pStyle w:val="Heading3Numbered"/>
      </w:pPr>
      <w:bookmarkStart w:id="20" w:name="_Ref464048813"/>
      <w:bookmarkStart w:id="21" w:name="_Ref464048822"/>
      <w:bookmarkStart w:id="22" w:name="_Toc467569586"/>
      <w:r>
        <w:t>Developing</w:t>
      </w:r>
      <w:r w:rsidR="001644A5">
        <w:t xml:space="preserve"> the concept of an </w:t>
      </w:r>
      <w:r w:rsidR="001D035E" w:rsidRPr="00514EFA">
        <w:t>impact ecosystem</w:t>
      </w:r>
      <w:bookmarkEnd w:id="20"/>
      <w:bookmarkEnd w:id="21"/>
      <w:bookmarkEnd w:id="22"/>
    </w:p>
    <w:p w14:paraId="65419537" w14:textId="5133EADA" w:rsidR="00A20FE0" w:rsidRDefault="001644A5" w:rsidP="00A20FE0">
      <w:pPr>
        <w:rPr>
          <w:rFonts w:cs="Arial"/>
        </w:rPr>
      </w:pPr>
      <w:r>
        <w:rPr>
          <w:rFonts w:cs="Arial"/>
        </w:rPr>
        <w:t>The impact ecosystem is an important part of the conceptual framework for this study.</w:t>
      </w:r>
      <w:r w:rsidR="00A033C6">
        <w:rPr>
          <w:rFonts w:cs="Arial"/>
        </w:rPr>
        <w:t xml:space="preserve"> </w:t>
      </w:r>
      <w:r>
        <w:rPr>
          <w:rFonts w:cs="Arial"/>
        </w:rPr>
        <w:t xml:space="preserve">Some important aspects of the impact ecosystem are articulated and </w:t>
      </w:r>
      <w:r w:rsidR="00A20FE0" w:rsidRPr="00514EFA">
        <w:rPr>
          <w:rFonts w:cs="Arial"/>
        </w:rPr>
        <w:t xml:space="preserve">presented in </w:t>
      </w:r>
      <w:r w:rsidR="00A20FE0" w:rsidRPr="00514EFA">
        <w:rPr>
          <w:rFonts w:cs="Arial"/>
        </w:rPr>
        <w:fldChar w:fldCharType="begin"/>
      </w:r>
      <w:r w:rsidR="00A20FE0" w:rsidRPr="00514EFA">
        <w:rPr>
          <w:rFonts w:cs="Arial"/>
        </w:rPr>
        <w:instrText xml:space="preserve"> REF _Ref450049743 \h </w:instrText>
      </w:r>
      <w:r w:rsidR="00A20FE0">
        <w:rPr>
          <w:rFonts w:cs="Arial"/>
        </w:rPr>
        <w:instrText xml:space="preserve"> \* MERGEFORMAT </w:instrText>
      </w:r>
      <w:r w:rsidR="00A20FE0" w:rsidRPr="00514EFA">
        <w:rPr>
          <w:rFonts w:cs="Arial"/>
        </w:rPr>
      </w:r>
      <w:r w:rsidR="00A20FE0" w:rsidRPr="00514EFA">
        <w:rPr>
          <w:rFonts w:cs="Arial"/>
        </w:rPr>
        <w:fldChar w:fldCharType="separate"/>
      </w:r>
      <w:r w:rsidR="00F0636B" w:rsidRPr="00F0636B">
        <w:rPr>
          <w:rFonts w:cs="Arial"/>
        </w:rPr>
        <w:t xml:space="preserve">Figure </w:t>
      </w:r>
      <w:r w:rsidR="00F0636B" w:rsidRPr="00F0636B">
        <w:rPr>
          <w:rFonts w:cs="Arial"/>
          <w:noProof/>
        </w:rPr>
        <w:t>1</w:t>
      </w:r>
      <w:r w:rsidR="00A20FE0" w:rsidRPr="00514EFA">
        <w:rPr>
          <w:rFonts w:cs="Arial"/>
        </w:rPr>
        <w:fldChar w:fldCharType="end"/>
      </w:r>
      <w:r w:rsidR="00A20FE0" w:rsidRPr="00514EFA">
        <w:rPr>
          <w:rFonts w:cs="Arial"/>
        </w:rPr>
        <w:t xml:space="preserve"> below. This diagram, based on the literature review summarised above</w:t>
      </w:r>
      <w:r>
        <w:rPr>
          <w:rFonts w:cs="Arial"/>
        </w:rPr>
        <w:t xml:space="preserve"> (and set out in full in </w:t>
      </w:r>
      <w:r w:rsidR="00195FA3">
        <w:rPr>
          <w:rFonts w:cs="Arial"/>
        </w:rPr>
        <w:t xml:space="preserve">section </w:t>
      </w:r>
      <w:r w:rsidR="00195FA3">
        <w:rPr>
          <w:rFonts w:cs="Arial"/>
        </w:rPr>
        <w:fldChar w:fldCharType="begin"/>
      </w:r>
      <w:r w:rsidR="00195FA3">
        <w:rPr>
          <w:rFonts w:cs="Arial"/>
        </w:rPr>
        <w:instrText xml:space="preserve"> REF _Ref460315845 \r \h </w:instrText>
      </w:r>
      <w:r w:rsidR="00195FA3">
        <w:rPr>
          <w:rFonts w:cs="Arial"/>
        </w:rPr>
      </w:r>
      <w:r w:rsidR="00195FA3">
        <w:rPr>
          <w:rFonts w:cs="Arial"/>
        </w:rPr>
        <w:fldChar w:fldCharType="separate"/>
      </w:r>
      <w:r w:rsidR="00F0636B">
        <w:rPr>
          <w:rFonts w:cs="Arial"/>
        </w:rPr>
        <w:t>6:</w:t>
      </w:r>
      <w:r w:rsidR="00195FA3">
        <w:rPr>
          <w:rFonts w:cs="Arial"/>
        </w:rPr>
        <w:fldChar w:fldCharType="end"/>
      </w:r>
      <w:r w:rsidR="00195FA3">
        <w:rPr>
          <w:rFonts w:cs="Arial"/>
        </w:rPr>
        <w:t xml:space="preserve"> p.</w:t>
      </w:r>
      <w:r w:rsidR="00195FA3">
        <w:rPr>
          <w:rFonts w:cs="Arial"/>
        </w:rPr>
        <w:fldChar w:fldCharType="begin"/>
      </w:r>
      <w:r w:rsidR="00195FA3">
        <w:rPr>
          <w:rFonts w:cs="Arial"/>
        </w:rPr>
        <w:instrText xml:space="preserve"> PAGEREF _Ref460315850 \h </w:instrText>
      </w:r>
      <w:r w:rsidR="00195FA3">
        <w:rPr>
          <w:rFonts w:cs="Arial"/>
        </w:rPr>
      </w:r>
      <w:r w:rsidR="00195FA3">
        <w:rPr>
          <w:rFonts w:cs="Arial"/>
        </w:rPr>
        <w:fldChar w:fldCharType="separate"/>
      </w:r>
      <w:r w:rsidR="00F0636B">
        <w:rPr>
          <w:rFonts w:cs="Arial"/>
          <w:noProof/>
        </w:rPr>
        <w:t>40</w:t>
      </w:r>
      <w:r w:rsidR="00195FA3">
        <w:rPr>
          <w:rFonts w:cs="Arial"/>
        </w:rPr>
        <w:fldChar w:fldCharType="end"/>
      </w:r>
      <w:r>
        <w:rPr>
          <w:rFonts w:cs="Arial"/>
        </w:rPr>
        <w:t>)</w:t>
      </w:r>
      <w:r w:rsidR="00A20FE0" w:rsidRPr="00514EFA">
        <w:rPr>
          <w:rFonts w:cs="Arial"/>
        </w:rPr>
        <w:t>, captures a</w:t>
      </w:r>
      <w:r w:rsidR="00555448">
        <w:rPr>
          <w:rFonts w:cs="Arial"/>
        </w:rPr>
        <w:t xml:space="preserve"> selection of important </w:t>
      </w:r>
      <w:r w:rsidR="00A20FE0" w:rsidRPr="00514EFA">
        <w:rPr>
          <w:rFonts w:cs="Arial"/>
        </w:rPr>
        <w:t>impact areas (agglomeration, tourism, participation and regeneration) and, for each of these, a number of specific outcomes. These range from those which are evidenced (e.g. participation in culture, sport or heritage has been shown to positively influence education choices, health and wellbeing, social cohesion and economic participation), to those that are postulated (e.g. CS&amp;H assets</w:t>
      </w:r>
      <w:r w:rsidR="001A6213">
        <w:rPr>
          <w:rFonts w:cs="Arial"/>
        </w:rPr>
        <w:t xml:space="preserve"> may</w:t>
      </w:r>
      <w:r w:rsidR="00A20FE0" w:rsidRPr="00514EFA">
        <w:rPr>
          <w:rFonts w:cs="Arial"/>
        </w:rPr>
        <w:t xml:space="preserve"> increase agglomeration which then produces positive outcomes in terms of innovation, skills development, productivity and so on). Note that the diagram does not attempt to be comprehensive, but instead focuses on impact areas and outcomes that are of interest to the study. </w:t>
      </w:r>
    </w:p>
    <w:p w14:paraId="4FC58F20" w14:textId="77777777" w:rsidR="00555448" w:rsidRDefault="00555448" w:rsidP="00A20FE0">
      <w:pPr>
        <w:rPr>
          <w:rFonts w:cs="Arial"/>
        </w:rPr>
      </w:pPr>
    </w:p>
    <w:p w14:paraId="6910A7F9" w14:textId="77777777" w:rsidR="00555448" w:rsidRDefault="00555448" w:rsidP="00A20FE0">
      <w:pPr>
        <w:rPr>
          <w:rFonts w:cs="Arial"/>
        </w:rPr>
      </w:pPr>
    </w:p>
    <w:p w14:paraId="3F08E422" w14:textId="77777777" w:rsidR="00555448" w:rsidRDefault="00555448" w:rsidP="00A20FE0">
      <w:pPr>
        <w:rPr>
          <w:rFonts w:cs="Arial"/>
        </w:rPr>
      </w:pPr>
    </w:p>
    <w:p w14:paraId="5324BCAD" w14:textId="77777777" w:rsidR="00555448" w:rsidRDefault="00555448" w:rsidP="00A20FE0">
      <w:pPr>
        <w:rPr>
          <w:rFonts w:cs="Arial"/>
        </w:rPr>
      </w:pPr>
    </w:p>
    <w:p w14:paraId="436707E6" w14:textId="77777777" w:rsidR="00555448" w:rsidRDefault="00555448" w:rsidP="00A20FE0">
      <w:pPr>
        <w:rPr>
          <w:rFonts w:cs="Arial"/>
        </w:rPr>
      </w:pPr>
    </w:p>
    <w:p w14:paraId="200647F5" w14:textId="77777777" w:rsidR="00A20FE0" w:rsidRPr="00514EFA" w:rsidRDefault="00A20FE0" w:rsidP="00A20FE0">
      <w:pPr>
        <w:pStyle w:val="Caption"/>
      </w:pPr>
    </w:p>
    <w:p w14:paraId="2C0347D7" w14:textId="77777777" w:rsidR="00A20FE0" w:rsidRPr="00514EFA" w:rsidRDefault="00A20FE0" w:rsidP="00A20FE0">
      <w:pPr>
        <w:pStyle w:val="Caption"/>
      </w:pPr>
      <w:bookmarkStart w:id="23" w:name="_Ref450049743"/>
      <w:bookmarkStart w:id="24" w:name="_Toc467569668"/>
      <w:r w:rsidRPr="00514EFA">
        <w:lastRenderedPageBreak/>
        <w:t xml:space="preserve">Figure </w:t>
      </w:r>
      <w:r w:rsidR="003D0350">
        <w:fldChar w:fldCharType="begin"/>
      </w:r>
      <w:r w:rsidR="003D0350">
        <w:instrText xml:space="preserve"> SEQ Figure \* ARABIC </w:instrText>
      </w:r>
      <w:r w:rsidR="003D0350">
        <w:fldChar w:fldCharType="separate"/>
      </w:r>
      <w:r w:rsidR="00F0636B">
        <w:rPr>
          <w:noProof/>
        </w:rPr>
        <w:t>1</w:t>
      </w:r>
      <w:r w:rsidR="003D0350">
        <w:rPr>
          <w:noProof/>
        </w:rPr>
        <w:fldChar w:fldCharType="end"/>
      </w:r>
      <w:bookmarkEnd w:id="23"/>
      <w:r w:rsidRPr="00514EFA">
        <w:t>: Impact ecosystem</w:t>
      </w:r>
      <w:bookmarkEnd w:id="24"/>
    </w:p>
    <w:p w14:paraId="14E7C1AC" w14:textId="77777777" w:rsidR="00A20FE0" w:rsidRPr="00514EFA" w:rsidRDefault="00A20FE0" w:rsidP="00A20FE0">
      <w:pPr>
        <w:widowControl w:val="0"/>
        <w:autoSpaceDE w:val="0"/>
        <w:autoSpaceDN w:val="0"/>
        <w:adjustRightInd w:val="0"/>
        <w:spacing w:before="0" w:after="120" w:line="276" w:lineRule="auto"/>
        <w:ind w:left="0"/>
        <w:contextualSpacing/>
        <w:rPr>
          <w:rFonts w:eastAsia="Calibri" w:cs="Arial"/>
          <w:szCs w:val="22"/>
        </w:rPr>
      </w:pPr>
      <w:r>
        <w:rPr>
          <w:rFonts w:eastAsia="Calibri" w:cs="Arial"/>
          <w:noProof/>
          <w:szCs w:val="22"/>
          <w:lang w:eastAsia="en-GB"/>
        </w:rPr>
        <w:drawing>
          <wp:inline distT="0" distB="0" distL="0" distR="0" wp14:anchorId="30542A36" wp14:editId="686C77A0">
            <wp:extent cx="5852160" cy="4345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png"/>
                    <pic:cNvPicPr/>
                  </pic:nvPicPr>
                  <pic:blipFill>
                    <a:blip r:embed="rId24">
                      <a:extLst>
                        <a:ext uri="{28A0092B-C50C-407E-A947-70E740481C1C}">
                          <a14:useLocalDpi xmlns:a14="http://schemas.microsoft.com/office/drawing/2010/main" val="0"/>
                        </a:ext>
                      </a:extLst>
                    </a:blip>
                    <a:stretch>
                      <a:fillRect/>
                    </a:stretch>
                  </pic:blipFill>
                  <pic:spPr>
                    <a:xfrm>
                      <a:off x="0" y="0"/>
                      <a:ext cx="5853197" cy="4345784"/>
                    </a:xfrm>
                    <a:prstGeom prst="rect">
                      <a:avLst/>
                    </a:prstGeom>
                  </pic:spPr>
                </pic:pic>
              </a:graphicData>
            </a:graphic>
          </wp:inline>
        </w:drawing>
      </w:r>
    </w:p>
    <w:p w14:paraId="346F20AE" w14:textId="77777777" w:rsidR="00A20FE0" w:rsidRPr="00514EFA" w:rsidRDefault="00A20FE0" w:rsidP="00A20FE0">
      <w:pPr>
        <w:ind w:left="0"/>
        <w:rPr>
          <w:rFonts w:cs="Arial"/>
          <w:sz w:val="18"/>
        </w:rPr>
      </w:pPr>
      <w:r w:rsidRPr="00514EFA">
        <w:rPr>
          <w:rFonts w:cs="Arial"/>
          <w:sz w:val="18"/>
        </w:rPr>
        <w:t>Source: TBR, NEF Consulting, Middlesex University</w:t>
      </w:r>
    </w:p>
    <w:p w14:paraId="70EB01BC" w14:textId="77777777" w:rsidR="001A6213" w:rsidRDefault="001A6213" w:rsidP="00A20FE0">
      <w:pPr>
        <w:rPr>
          <w:rFonts w:cs="Arial"/>
        </w:rPr>
      </w:pPr>
    </w:p>
    <w:p w14:paraId="26459286" w14:textId="7FD6246E" w:rsidR="00A20FE0" w:rsidRDefault="00A20FE0" w:rsidP="00A20FE0">
      <w:pPr>
        <w:rPr>
          <w:rFonts w:cs="Arial"/>
        </w:rPr>
      </w:pPr>
      <w:r w:rsidRPr="00514EFA">
        <w:rPr>
          <w:rFonts w:cs="Arial"/>
        </w:rPr>
        <w:t>The diagram also identifies a number of inter-relationships between different impact areas and outcomes</w:t>
      </w:r>
      <w:r w:rsidR="001A6213">
        <w:rPr>
          <w:rFonts w:cs="Arial"/>
        </w:rPr>
        <w:t>,</w:t>
      </w:r>
      <w:r w:rsidRPr="00514EFA">
        <w:rPr>
          <w:rFonts w:cs="Arial"/>
        </w:rPr>
        <w:t xml:space="preserve"> designed to demonstrate how cumulative impacts might be derived. An increase in business agglomeration, for example, might contribute to demand for commercial property within a specific location, which then might drive investment in the physical infrastructure of that area and therefore </w:t>
      </w:r>
      <w:r w:rsidR="001A6213">
        <w:rPr>
          <w:rFonts w:cs="Arial"/>
        </w:rPr>
        <w:t>lead to</w:t>
      </w:r>
      <w:r w:rsidR="001A6213" w:rsidRPr="00514EFA">
        <w:rPr>
          <w:rFonts w:cs="Arial"/>
        </w:rPr>
        <w:t xml:space="preserve"> </w:t>
      </w:r>
      <w:r w:rsidRPr="00514EFA">
        <w:rPr>
          <w:rFonts w:cs="Arial"/>
        </w:rPr>
        <w:t>physical regeneration.</w:t>
      </w:r>
    </w:p>
    <w:p w14:paraId="5612D3F4" w14:textId="54C1E14A" w:rsidR="00A20FE0" w:rsidRPr="00514EFA" w:rsidRDefault="00A20FE0" w:rsidP="00A20FE0">
      <w:pPr>
        <w:rPr>
          <w:rFonts w:cs="Arial"/>
        </w:rPr>
      </w:pPr>
      <w:r>
        <w:rPr>
          <w:rFonts w:cs="Arial"/>
        </w:rPr>
        <w:t xml:space="preserve">Lastly, the diagram also identifies – in the dark red boxes </w:t>
      </w:r>
      <w:r w:rsidR="001A6213">
        <w:rPr>
          <w:rFonts w:cs="Arial"/>
        </w:rPr>
        <w:t xml:space="preserve">– </w:t>
      </w:r>
      <w:r>
        <w:rPr>
          <w:rFonts w:cs="Arial"/>
        </w:rPr>
        <w:t>the specific economic measures that are the focus of the study.</w:t>
      </w:r>
      <w:r w:rsidR="00A033C6">
        <w:rPr>
          <w:rFonts w:cs="Arial"/>
        </w:rPr>
        <w:t xml:space="preserve"> </w:t>
      </w:r>
      <w:r w:rsidR="001A6213">
        <w:rPr>
          <w:rFonts w:cs="Arial"/>
        </w:rPr>
        <w:t>T</w:t>
      </w:r>
      <w:r>
        <w:rPr>
          <w:rFonts w:cs="Arial"/>
        </w:rPr>
        <w:t xml:space="preserve">hey are at once outcomes of, and measures of, </w:t>
      </w:r>
      <w:r w:rsidR="001A6213">
        <w:rPr>
          <w:rFonts w:cs="Arial"/>
        </w:rPr>
        <w:t>impacts</w:t>
      </w:r>
      <w:r>
        <w:rPr>
          <w:rFonts w:cs="Arial"/>
        </w:rPr>
        <w:t>.</w:t>
      </w:r>
      <w:r w:rsidR="00A033C6">
        <w:rPr>
          <w:rFonts w:cs="Arial"/>
        </w:rPr>
        <w:t xml:space="preserve"> </w:t>
      </w:r>
    </w:p>
    <w:p w14:paraId="2B5A171A" w14:textId="01DA28C3" w:rsidR="00A20FE0" w:rsidRDefault="00A20FE0" w:rsidP="00A20FE0">
      <w:pPr>
        <w:rPr>
          <w:rFonts w:cs="Arial"/>
        </w:rPr>
      </w:pPr>
      <w:r w:rsidRPr="00514EFA">
        <w:rPr>
          <w:rFonts w:cs="Arial"/>
        </w:rPr>
        <w:t xml:space="preserve">The intention in this study </w:t>
      </w:r>
      <w:r>
        <w:rPr>
          <w:rFonts w:cs="Arial"/>
        </w:rPr>
        <w:t>was originally</w:t>
      </w:r>
      <w:r w:rsidRPr="00514EFA">
        <w:rPr>
          <w:rFonts w:cs="Arial"/>
        </w:rPr>
        <w:t xml:space="preserve"> to discover whether evidence of </w:t>
      </w:r>
      <w:r w:rsidR="001A6213">
        <w:rPr>
          <w:rFonts w:cs="Arial"/>
        </w:rPr>
        <w:t>such an</w:t>
      </w:r>
      <w:r w:rsidR="001A6213" w:rsidRPr="00514EFA">
        <w:rPr>
          <w:rFonts w:cs="Arial"/>
        </w:rPr>
        <w:t xml:space="preserve"> </w:t>
      </w:r>
      <w:r w:rsidRPr="00514EFA">
        <w:rPr>
          <w:rFonts w:cs="Arial"/>
        </w:rPr>
        <w:t xml:space="preserve">ecosystem, and the relationships within it, </w:t>
      </w:r>
      <w:r w:rsidR="001A6213">
        <w:rPr>
          <w:rFonts w:cs="Arial"/>
        </w:rPr>
        <w:t>could be found using</w:t>
      </w:r>
      <w:r w:rsidR="001A6213" w:rsidRPr="00514EFA">
        <w:rPr>
          <w:rFonts w:cs="Arial"/>
        </w:rPr>
        <w:t xml:space="preserve"> </w:t>
      </w:r>
      <w:r w:rsidRPr="00514EFA">
        <w:rPr>
          <w:rFonts w:cs="Arial"/>
        </w:rPr>
        <w:t>the available data.</w:t>
      </w:r>
      <w:r w:rsidR="00A033C6">
        <w:rPr>
          <w:rFonts w:cs="Arial"/>
        </w:rPr>
        <w:t xml:space="preserve"> </w:t>
      </w:r>
      <w:r>
        <w:rPr>
          <w:rFonts w:cs="Arial"/>
        </w:rPr>
        <w:t xml:space="preserve">To explore the full ecosystem would require significant resource and, </w:t>
      </w:r>
      <w:r w:rsidR="00DC7067">
        <w:rPr>
          <w:rFonts w:cs="Arial"/>
        </w:rPr>
        <w:t xml:space="preserve">most </w:t>
      </w:r>
      <w:r>
        <w:rPr>
          <w:rFonts w:cs="Arial"/>
        </w:rPr>
        <w:t xml:space="preserve">likely, an iterative approach which breaks </w:t>
      </w:r>
      <w:r w:rsidR="001A6213">
        <w:rPr>
          <w:rFonts w:cs="Arial"/>
        </w:rPr>
        <w:t xml:space="preserve">down </w:t>
      </w:r>
      <w:r>
        <w:rPr>
          <w:rFonts w:cs="Arial"/>
        </w:rPr>
        <w:t>the relationships and interactions within the ecosystem into manageable, discreet elements.</w:t>
      </w:r>
      <w:r w:rsidR="00A033C6">
        <w:rPr>
          <w:rFonts w:cs="Arial"/>
        </w:rPr>
        <w:t xml:space="preserve"> </w:t>
      </w:r>
    </w:p>
    <w:p w14:paraId="3A3503A8" w14:textId="1F9BDF7E" w:rsidR="00A20FE0" w:rsidRDefault="00A20FE0" w:rsidP="00A20FE0">
      <w:pPr>
        <w:rPr>
          <w:rFonts w:cs="Arial"/>
        </w:rPr>
      </w:pPr>
      <w:r>
        <w:rPr>
          <w:rFonts w:cs="Arial"/>
        </w:rPr>
        <w:t>In effect, this is what has been achieved in this study.</w:t>
      </w:r>
      <w:r w:rsidR="00A033C6">
        <w:rPr>
          <w:rFonts w:cs="Arial"/>
        </w:rPr>
        <w:t xml:space="preserve"> </w:t>
      </w:r>
      <w:r w:rsidR="00195FA3">
        <w:rPr>
          <w:rFonts w:cs="Arial"/>
        </w:rPr>
        <w:t xml:space="preserve">Section </w:t>
      </w:r>
      <w:r w:rsidR="00195FA3">
        <w:rPr>
          <w:rFonts w:cs="Arial"/>
        </w:rPr>
        <w:fldChar w:fldCharType="begin"/>
      </w:r>
      <w:r w:rsidR="00195FA3">
        <w:rPr>
          <w:rFonts w:cs="Arial"/>
        </w:rPr>
        <w:instrText xml:space="preserve"> REF _Ref460315918 \r \h </w:instrText>
      </w:r>
      <w:r w:rsidR="00195FA3">
        <w:rPr>
          <w:rFonts w:cs="Arial"/>
        </w:rPr>
      </w:r>
      <w:r w:rsidR="00195FA3">
        <w:rPr>
          <w:rFonts w:cs="Arial"/>
        </w:rPr>
        <w:fldChar w:fldCharType="separate"/>
      </w:r>
      <w:r w:rsidR="00F0636B">
        <w:rPr>
          <w:rFonts w:cs="Arial"/>
        </w:rPr>
        <w:t>7:</w:t>
      </w:r>
      <w:r w:rsidR="00195FA3">
        <w:rPr>
          <w:rFonts w:cs="Arial"/>
        </w:rPr>
        <w:fldChar w:fldCharType="end"/>
      </w:r>
      <w:r w:rsidR="00195FA3">
        <w:rPr>
          <w:rFonts w:cs="Arial"/>
        </w:rPr>
        <w:t xml:space="preserve"> (p.</w:t>
      </w:r>
      <w:r w:rsidR="00195FA3">
        <w:rPr>
          <w:rFonts w:cs="Arial"/>
        </w:rPr>
        <w:fldChar w:fldCharType="begin"/>
      </w:r>
      <w:r w:rsidR="00195FA3">
        <w:rPr>
          <w:rFonts w:cs="Arial"/>
        </w:rPr>
        <w:instrText xml:space="preserve"> PAGEREF _Ref460315921 \h </w:instrText>
      </w:r>
      <w:r w:rsidR="00195FA3">
        <w:rPr>
          <w:rFonts w:cs="Arial"/>
        </w:rPr>
      </w:r>
      <w:r w:rsidR="00195FA3">
        <w:rPr>
          <w:rFonts w:cs="Arial"/>
        </w:rPr>
        <w:fldChar w:fldCharType="separate"/>
      </w:r>
      <w:r w:rsidR="00F0636B">
        <w:rPr>
          <w:rFonts w:cs="Arial"/>
          <w:noProof/>
        </w:rPr>
        <w:t>82</w:t>
      </w:r>
      <w:r w:rsidR="00195FA3">
        <w:rPr>
          <w:rFonts w:cs="Arial"/>
        </w:rPr>
        <w:fldChar w:fldCharType="end"/>
      </w:r>
      <w:r w:rsidR="00195FA3">
        <w:rPr>
          <w:rFonts w:cs="Arial"/>
        </w:rPr>
        <w:t>)</w:t>
      </w:r>
      <w:r>
        <w:rPr>
          <w:rFonts w:cs="Arial"/>
        </w:rPr>
        <w:t xml:space="preserve"> sets out three analytical options which were identified during the scoping stage.</w:t>
      </w:r>
      <w:r w:rsidR="00A033C6">
        <w:rPr>
          <w:rFonts w:cs="Arial"/>
        </w:rPr>
        <w:t xml:space="preserve"> </w:t>
      </w:r>
      <w:r>
        <w:rPr>
          <w:rFonts w:cs="Arial"/>
        </w:rPr>
        <w:t xml:space="preserve">These identify examples of how </w:t>
      </w:r>
      <w:r w:rsidR="00DC7067">
        <w:rPr>
          <w:rFonts w:cs="Arial"/>
        </w:rPr>
        <w:t>the relationship between</w:t>
      </w:r>
      <w:r>
        <w:rPr>
          <w:rFonts w:cs="Arial"/>
        </w:rPr>
        <w:t xml:space="preserve"> CS&amp;H assets</w:t>
      </w:r>
      <w:r w:rsidR="00DC7067">
        <w:rPr>
          <w:rFonts w:cs="Arial"/>
        </w:rPr>
        <w:t xml:space="preserve"> and </w:t>
      </w:r>
      <w:r>
        <w:rPr>
          <w:rFonts w:cs="Arial"/>
        </w:rPr>
        <w:t xml:space="preserve">investment and direct and indirect economic and social outcomes might be </w:t>
      </w:r>
      <w:r w:rsidR="00DC7067">
        <w:rPr>
          <w:rFonts w:cs="Arial"/>
        </w:rPr>
        <w:t>examined</w:t>
      </w:r>
      <w:r>
        <w:rPr>
          <w:rFonts w:cs="Arial"/>
        </w:rPr>
        <w:t>.</w:t>
      </w:r>
      <w:r w:rsidR="00A033C6">
        <w:rPr>
          <w:rFonts w:cs="Arial"/>
        </w:rPr>
        <w:t xml:space="preserve"> </w:t>
      </w:r>
      <w:r>
        <w:rPr>
          <w:rFonts w:cs="Arial"/>
        </w:rPr>
        <w:t>It was decided that the study would focus on test</w:t>
      </w:r>
      <w:r w:rsidR="001A6213">
        <w:rPr>
          <w:rFonts w:cs="Arial"/>
        </w:rPr>
        <w:t>ing</w:t>
      </w:r>
      <w:r>
        <w:rPr>
          <w:rFonts w:cs="Arial"/>
        </w:rPr>
        <w:t xml:space="preserve"> </w:t>
      </w:r>
      <w:r w:rsidR="00DC7067">
        <w:rPr>
          <w:rFonts w:cs="Arial"/>
        </w:rPr>
        <w:t>the relationships</w:t>
      </w:r>
      <w:r>
        <w:rPr>
          <w:rFonts w:cs="Arial"/>
        </w:rPr>
        <w:t xml:space="preserve"> between CS&amp;H assets</w:t>
      </w:r>
      <w:r w:rsidR="00DC7067">
        <w:rPr>
          <w:rFonts w:cs="Arial"/>
        </w:rPr>
        <w:t xml:space="preserve"> and </w:t>
      </w:r>
      <w:r>
        <w:rPr>
          <w:rFonts w:cs="Arial"/>
        </w:rPr>
        <w:t xml:space="preserve">investment </w:t>
      </w:r>
      <w:r w:rsidR="001A6213">
        <w:rPr>
          <w:rFonts w:cs="Arial"/>
        </w:rPr>
        <w:t xml:space="preserve">and </w:t>
      </w:r>
      <w:r>
        <w:rPr>
          <w:rFonts w:cs="Arial"/>
        </w:rPr>
        <w:t>positive place-shaping outcomes (i.e. specific measures of economic and social ‘success’).</w:t>
      </w:r>
    </w:p>
    <w:p w14:paraId="1EDA1B40" w14:textId="128EE69C" w:rsidR="00A20FE0" w:rsidRPr="00514EFA" w:rsidRDefault="00A20FE0" w:rsidP="00A20FE0">
      <w:pPr>
        <w:rPr>
          <w:rFonts w:cs="Arial"/>
        </w:rPr>
      </w:pPr>
      <w:r>
        <w:rPr>
          <w:rFonts w:cs="Arial"/>
        </w:rPr>
        <w:lastRenderedPageBreak/>
        <w:t>However,</w:t>
      </w:r>
      <w:r w:rsidR="000A0E5D">
        <w:rPr>
          <w:rFonts w:cs="Arial"/>
        </w:rPr>
        <w:t xml:space="preserve"> </w:t>
      </w:r>
      <w:r>
        <w:rPr>
          <w:rFonts w:cs="Arial"/>
        </w:rPr>
        <w:t>following consideration of the available data and suitable econometric models (see section</w:t>
      </w:r>
      <w:r w:rsidR="00DC7067">
        <w:rPr>
          <w:rFonts w:cs="Arial"/>
        </w:rPr>
        <w:t xml:space="preserve">s </w:t>
      </w:r>
      <w:r w:rsidR="00195FA3">
        <w:rPr>
          <w:rFonts w:cs="Arial"/>
        </w:rPr>
        <w:fldChar w:fldCharType="begin"/>
      </w:r>
      <w:r w:rsidR="00195FA3">
        <w:rPr>
          <w:rFonts w:cs="Arial"/>
        </w:rPr>
        <w:instrText xml:space="preserve"> REF _Ref460315997 \r \h </w:instrText>
      </w:r>
      <w:r w:rsidR="00195FA3">
        <w:rPr>
          <w:rFonts w:cs="Arial"/>
        </w:rPr>
      </w:r>
      <w:r w:rsidR="00195FA3">
        <w:rPr>
          <w:rFonts w:cs="Arial"/>
        </w:rPr>
        <w:fldChar w:fldCharType="separate"/>
      </w:r>
      <w:r w:rsidR="00F0636B">
        <w:rPr>
          <w:rFonts w:cs="Arial"/>
        </w:rPr>
        <w:t>2.3.4</w:t>
      </w:r>
      <w:r w:rsidR="00195FA3">
        <w:rPr>
          <w:rFonts w:cs="Arial"/>
        </w:rPr>
        <w:fldChar w:fldCharType="end"/>
      </w:r>
      <w:r w:rsidR="00195FA3">
        <w:rPr>
          <w:rFonts w:cs="Arial"/>
        </w:rPr>
        <w:t>, p.</w:t>
      </w:r>
      <w:r w:rsidR="00195FA3">
        <w:rPr>
          <w:rFonts w:cs="Arial"/>
        </w:rPr>
        <w:fldChar w:fldCharType="begin"/>
      </w:r>
      <w:r w:rsidR="00195FA3">
        <w:rPr>
          <w:rFonts w:cs="Arial"/>
        </w:rPr>
        <w:instrText xml:space="preserve"> PAGEREF _Ref460316001 \h </w:instrText>
      </w:r>
      <w:r w:rsidR="00195FA3">
        <w:rPr>
          <w:rFonts w:cs="Arial"/>
        </w:rPr>
      </w:r>
      <w:r w:rsidR="00195FA3">
        <w:rPr>
          <w:rFonts w:cs="Arial"/>
        </w:rPr>
        <w:fldChar w:fldCharType="separate"/>
      </w:r>
      <w:r w:rsidR="00F0636B">
        <w:rPr>
          <w:rFonts w:cs="Arial"/>
          <w:noProof/>
        </w:rPr>
        <w:t>14</w:t>
      </w:r>
      <w:r w:rsidR="00195FA3">
        <w:rPr>
          <w:rFonts w:cs="Arial"/>
        </w:rPr>
        <w:fldChar w:fldCharType="end"/>
      </w:r>
      <w:r w:rsidR="00195FA3">
        <w:rPr>
          <w:rFonts w:cs="Arial"/>
        </w:rPr>
        <w:t xml:space="preserve"> and </w:t>
      </w:r>
      <w:r w:rsidR="00195FA3">
        <w:rPr>
          <w:rFonts w:cs="Arial"/>
        </w:rPr>
        <w:fldChar w:fldCharType="begin"/>
      </w:r>
      <w:r w:rsidR="00195FA3">
        <w:rPr>
          <w:rFonts w:cs="Arial"/>
        </w:rPr>
        <w:instrText xml:space="preserve"> REF _Ref460316068 \r \h </w:instrText>
      </w:r>
      <w:r w:rsidR="00195FA3">
        <w:rPr>
          <w:rFonts w:cs="Arial"/>
        </w:rPr>
      </w:r>
      <w:r w:rsidR="00195FA3">
        <w:rPr>
          <w:rFonts w:cs="Arial"/>
        </w:rPr>
        <w:fldChar w:fldCharType="separate"/>
      </w:r>
      <w:r w:rsidR="00F0636B">
        <w:rPr>
          <w:rFonts w:cs="Arial"/>
        </w:rPr>
        <w:t>2.3.5</w:t>
      </w:r>
      <w:r w:rsidR="00195FA3">
        <w:rPr>
          <w:rFonts w:cs="Arial"/>
        </w:rPr>
        <w:fldChar w:fldCharType="end"/>
      </w:r>
      <w:r w:rsidR="00195FA3">
        <w:rPr>
          <w:rFonts w:cs="Arial"/>
        </w:rPr>
        <w:t>, p.</w:t>
      </w:r>
      <w:r w:rsidR="00195FA3">
        <w:rPr>
          <w:rFonts w:cs="Arial"/>
        </w:rPr>
        <w:fldChar w:fldCharType="begin"/>
      </w:r>
      <w:r w:rsidR="00195FA3">
        <w:rPr>
          <w:rFonts w:cs="Arial"/>
        </w:rPr>
        <w:instrText xml:space="preserve"> PAGEREF _Ref460316071 \h </w:instrText>
      </w:r>
      <w:r w:rsidR="00195FA3">
        <w:rPr>
          <w:rFonts w:cs="Arial"/>
        </w:rPr>
      </w:r>
      <w:r w:rsidR="00195FA3">
        <w:rPr>
          <w:rFonts w:cs="Arial"/>
        </w:rPr>
        <w:fldChar w:fldCharType="separate"/>
      </w:r>
      <w:r w:rsidR="00F0636B">
        <w:rPr>
          <w:rFonts w:cs="Arial"/>
          <w:noProof/>
        </w:rPr>
        <w:t>15</w:t>
      </w:r>
      <w:r w:rsidR="00195FA3">
        <w:rPr>
          <w:rFonts w:cs="Arial"/>
        </w:rPr>
        <w:fldChar w:fldCharType="end"/>
      </w:r>
      <w:r w:rsidR="007C44FC">
        <w:rPr>
          <w:rFonts w:cs="Arial"/>
        </w:rPr>
        <w:t>)</w:t>
      </w:r>
      <w:r w:rsidR="00DC7067" w:rsidRPr="00DC7067">
        <w:rPr>
          <w:rFonts w:cs="Arial"/>
        </w:rPr>
        <w:t xml:space="preserve"> </w:t>
      </w:r>
      <w:r w:rsidR="00DC7067">
        <w:rPr>
          <w:rFonts w:cs="Arial"/>
        </w:rPr>
        <w:t>it was agreed that the aims and objectives should be further narrowed</w:t>
      </w:r>
      <w:r>
        <w:rPr>
          <w:rFonts w:cs="Arial"/>
        </w:rPr>
        <w:t xml:space="preserve">. Thus the study has focused on more simple relationships than are captured and described by the ecosystem as a </w:t>
      </w:r>
      <w:r w:rsidR="001A6213">
        <w:rPr>
          <w:rFonts w:cs="Arial"/>
        </w:rPr>
        <w:t xml:space="preserve">conceptual </w:t>
      </w:r>
      <w:r>
        <w:rPr>
          <w:rFonts w:cs="Arial"/>
        </w:rPr>
        <w:t>whole.</w:t>
      </w:r>
      <w:r w:rsidR="00A033C6">
        <w:rPr>
          <w:rFonts w:cs="Arial"/>
        </w:rPr>
        <w:t xml:space="preserve"> </w:t>
      </w:r>
      <w:r>
        <w:rPr>
          <w:rFonts w:cs="Arial"/>
        </w:rPr>
        <w:t xml:space="preserve">Should suitable resources and data be available in the future, econometric analysis could be </w:t>
      </w:r>
      <w:r w:rsidR="00C36D76">
        <w:rPr>
          <w:rFonts w:cs="Arial"/>
        </w:rPr>
        <w:t xml:space="preserve">undertaken </w:t>
      </w:r>
      <w:r>
        <w:rPr>
          <w:rFonts w:cs="Arial"/>
        </w:rPr>
        <w:t>which explores other elements of the ecosystem (e.g. whether there is evidence of a relationship between CS&amp;H assets</w:t>
      </w:r>
      <w:r w:rsidR="00DC7067">
        <w:rPr>
          <w:rFonts w:cs="Arial"/>
        </w:rPr>
        <w:t xml:space="preserve"> and </w:t>
      </w:r>
      <w:r>
        <w:rPr>
          <w:rFonts w:cs="Arial"/>
        </w:rPr>
        <w:t>investment and indirect impacts associated with positive place-shaping).</w:t>
      </w:r>
    </w:p>
    <w:p w14:paraId="57B5D2CF" w14:textId="36A60D0D" w:rsidR="00351721" w:rsidRDefault="00351721" w:rsidP="00520273">
      <w:pPr>
        <w:pStyle w:val="Heading3Numbered"/>
      </w:pPr>
      <w:bookmarkStart w:id="25" w:name="_Ref460315997"/>
      <w:bookmarkStart w:id="26" w:name="_Ref460316001"/>
      <w:bookmarkStart w:id="27" w:name="_Toc467569587"/>
      <w:r>
        <w:t>Study implications arising from the review of empirical literature</w:t>
      </w:r>
      <w:bookmarkEnd w:id="25"/>
      <w:bookmarkEnd w:id="26"/>
      <w:bookmarkEnd w:id="27"/>
      <w:r>
        <w:t xml:space="preserve"> </w:t>
      </w:r>
    </w:p>
    <w:bookmarkEnd w:id="19"/>
    <w:p w14:paraId="4D91BF64" w14:textId="3C9643B7" w:rsidR="00275064" w:rsidRDefault="007F7B7B" w:rsidP="0079210C">
      <w:pPr>
        <w:rPr>
          <w:rFonts w:cs="Arial"/>
        </w:rPr>
      </w:pPr>
      <w:r>
        <w:rPr>
          <w:rFonts w:cs="Arial"/>
        </w:rPr>
        <w:t xml:space="preserve">While </w:t>
      </w:r>
      <w:r w:rsidR="00351721">
        <w:rPr>
          <w:rFonts w:cs="Arial"/>
        </w:rPr>
        <w:t>there is an extensive body of literature relating to the theoretical and conceptual ideas relevant to this study, empirical evidence and literature is more sparse.</w:t>
      </w:r>
      <w:r w:rsidR="00A033C6">
        <w:rPr>
          <w:rFonts w:cs="Arial"/>
        </w:rPr>
        <w:t xml:space="preserve"> </w:t>
      </w:r>
      <w:r w:rsidR="00351721">
        <w:rPr>
          <w:rFonts w:cs="Arial"/>
        </w:rPr>
        <w:t xml:space="preserve">A review of </w:t>
      </w:r>
      <w:r w:rsidR="00940B49">
        <w:rPr>
          <w:rFonts w:cs="Arial"/>
        </w:rPr>
        <w:t xml:space="preserve">key studies is set out in </w:t>
      </w:r>
      <w:r w:rsidR="009A413C">
        <w:rPr>
          <w:rFonts w:cs="Arial"/>
        </w:rPr>
        <w:t xml:space="preserve">Appendix I (see section </w:t>
      </w:r>
      <w:r w:rsidR="009A413C">
        <w:rPr>
          <w:rFonts w:cs="Arial"/>
        </w:rPr>
        <w:fldChar w:fldCharType="begin"/>
      </w:r>
      <w:r w:rsidR="009A413C">
        <w:rPr>
          <w:rFonts w:cs="Arial"/>
        </w:rPr>
        <w:instrText xml:space="preserve"> REF _Ref464198587 \r \h </w:instrText>
      </w:r>
      <w:r w:rsidR="009A413C">
        <w:rPr>
          <w:rFonts w:cs="Arial"/>
        </w:rPr>
      </w:r>
      <w:r w:rsidR="009A413C">
        <w:rPr>
          <w:rFonts w:cs="Arial"/>
        </w:rPr>
        <w:fldChar w:fldCharType="separate"/>
      </w:r>
      <w:r w:rsidR="009A413C">
        <w:rPr>
          <w:rFonts w:cs="Arial"/>
        </w:rPr>
        <w:t>6.5</w:t>
      </w:r>
      <w:r w:rsidR="009A413C">
        <w:rPr>
          <w:rFonts w:cs="Arial"/>
        </w:rPr>
        <w:fldChar w:fldCharType="end"/>
      </w:r>
      <w:r w:rsidR="009A413C">
        <w:rPr>
          <w:rFonts w:cs="Arial"/>
        </w:rPr>
        <w:t xml:space="preserve">, page </w:t>
      </w:r>
      <w:r w:rsidR="009A413C">
        <w:rPr>
          <w:rFonts w:cs="Arial"/>
        </w:rPr>
        <w:fldChar w:fldCharType="begin"/>
      </w:r>
      <w:r w:rsidR="009A413C">
        <w:rPr>
          <w:rFonts w:cs="Arial"/>
        </w:rPr>
        <w:instrText xml:space="preserve"> PAGEREF _Ref464198587 \h </w:instrText>
      </w:r>
      <w:r w:rsidR="009A413C">
        <w:rPr>
          <w:rFonts w:cs="Arial"/>
        </w:rPr>
      </w:r>
      <w:r w:rsidR="009A413C">
        <w:rPr>
          <w:rFonts w:cs="Arial"/>
        </w:rPr>
        <w:fldChar w:fldCharType="separate"/>
      </w:r>
      <w:r w:rsidR="009A413C">
        <w:rPr>
          <w:rFonts w:cs="Arial"/>
          <w:noProof/>
        </w:rPr>
        <w:t>53</w:t>
      </w:r>
      <w:r w:rsidR="009A413C">
        <w:rPr>
          <w:rFonts w:cs="Arial"/>
        </w:rPr>
        <w:fldChar w:fldCharType="end"/>
      </w:r>
      <w:r w:rsidR="009A413C">
        <w:rPr>
          <w:rFonts w:cs="Arial"/>
        </w:rPr>
        <w:t>)</w:t>
      </w:r>
      <w:r w:rsidR="00940B49">
        <w:rPr>
          <w:rFonts w:cs="Arial"/>
        </w:rPr>
        <w:t>.</w:t>
      </w:r>
      <w:r w:rsidR="00A033C6">
        <w:rPr>
          <w:rFonts w:cs="Arial"/>
        </w:rPr>
        <w:t xml:space="preserve"> </w:t>
      </w:r>
      <w:r w:rsidR="00275064">
        <w:rPr>
          <w:rFonts w:cs="Arial"/>
        </w:rPr>
        <w:t xml:space="preserve">The most </w:t>
      </w:r>
      <w:r w:rsidR="00BC65D9">
        <w:rPr>
          <w:rFonts w:cs="Arial"/>
        </w:rPr>
        <w:t xml:space="preserve">influential </w:t>
      </w:r>
      <w:r w:rsidR="00275064">
        <w:rPr>
          <w:rFonts w:cs="Arial"/>
        </w:rPr>
        <w:t>studies in relation to the design of this study include:</w:t>
      </w:r>
    </w:p>
    <w:p w14:paraId="417FB161" w14:textId="3E3F7DE1" w:rsidR="00275064" w:rsidRPr="000A0E5D" w:rsidRDefault="00BC65D9" w:rsidP="006751CE">
      <w:pPr>
        <w:pStyle w:val="Bullet"/>
      </w:pPr>
      <w:r w:rsidRPr="000A0E5D">
        <w:t xml:space="preserve">Lazzeretti et al (2009), Why do creative industries cluster? An analysis of the determinants of clustering of creative industries, IERMB Working Paper in </w:t>
      </w:r>
      <w:r w:rsidR="0017656A">
        <w:t>Economics, nº 09.02, April 2009</w:t>
      </w:r>
    </w:p>
    <w:p w14:paraId="66BD037A" w14:textId="30A18914" w:rsidR="00BC65D9" w:rsidRPr="000A0E5D" w:rsidRDefault="00BC65D9" w:rsidP="006751CE">
      <w:pPr>
        <w:pStyle w:val="Bullet"/>
      </w:pPr>
      <w:r w:rsidRPr="000A0E5D">
        <w:rPr>
          <w:rStyle w:val="FootnoteReference"/>
          <w:szCs w:val="20"/>
          <w:vertAlign w:val="baseline"/>
        </w:rPr>
        <w:t>Bakhshi et al (2014) Capital of culture? An econometric analysis of the relationship between arts and cultural clusters, wages and the creative economy in English cities, Nesta Working Paper No.14/06</w:t>
      </w:r>
    </w:p>
    <w:p w14:paraId="3FCC33B0" w14:textId="77777777" w:rsidR="0091774D" w:rsidRPr="000A0E5D" w:rsidRDefault="0091774D" w:rsidP="006751CE">
      <w:pPr>
        <w:pStyle w:val="Bullet"/>
        <w:rPr>
          <w:rStyle w:val="FootnoteReference"/>
          <w:szCs w:val="20"/>
          <w:vertAlign w:val="baseline"/>
        </w:rPr>
      </w:pPr>
      <w:r w:rsidRPr="000A0E5D">
        <w:rPr>
          <w:rStyle w:val="FootnoteReference"/>
          <w:szCs w:val="20"/>
          <w:vertAlign w:val="baseline"/>
        </w:rPr>
        <w:t>Noonan, D (2013) How US Cultural Districts Reshape Neighbourhoods, in Cultural Trends 22(3–4).</w:t>
      </w:r>
    </w:p>
    <w:p w14:paraId="218B543D" w14:textId="77777777" w:rsidR="0091774D" w:rsidRPr="000A0E5D" w:rsidRDefault="0091774D" w:rsidP="006751CE">
      <w:pPr>
        <w:pStyle w:val="Bullet"/>
      </w:pPr>
      <w:r w:rsidRPr="000A0E5D">
        <w:t>Cruz, S. and Teixeira, A.A.C. (2014), The Determinants of Spatial Location of Creative Industries Start-Ups: Evidence from Portugal using a Discrete Choice Model Approach. FEP Working Papers no. 546 October 2014</w:t>
      </w:r>
    </w:p>
    <w:p w14:paraId="3BEF619C" w14:textId="297CFD6E" w:rsidR="0079210C" w:rsidRPr="00514EFA" w:rsidRDefault="00940B49" w:rsidP="0079210C">
      <w:pPr>
        <w:rPr>
          <w:rFonts w:cs="Arial"/>
        </w:rPr>
      </w:pPr>
      <w:r>
        <w:rPr>
          <w:rFonts w:cs="Arial"/>
        </w:rPr>
        <w:t>In summa</w:t>
      </w:r>
      <w:r w:rsidR="00275064">
        <w:rPr>
          <w:rFonts w:cs="Arial"/>
        </w:rPr>
        <w:t>r</w:t>
      </w:r>
      <w:r>
        <w:rPr>
          <w:rFonts w:cs="Arial"/>
        </w:rPr>
        <w:t xml:space="preserve">y, the review of empirical literature </w:t>
      </w:r>
      <w:r w:rsidR="005B5EB0">
        <w:rPr>
          <w:rFonts w:cs="Arial"/>
        </w:rPr>
        <w:t xml:space="preserve">found </w:t>
      </w:r>
      <w:r>
        <w:rPr>
          <w:rFonts w:cs="Arial"/>
        </w:rPr>
        <w:t>that:</w:t>
      </w:r>
    </w:p>
    <w:p w14:paraId="1CF9CD1E" w14:textId="69807F9A" w:rsidR="0079210C" w:rsidRPr="00514EFA" w:rsidRDefault="0079210C" w:rsidP="006751CE">
      <w:pPr>
        <w:pStyle w:val="Bullet"/>
      </w:pPr>
      <w:r w:rsidRPr="00514EFA">
        <w:t>Existing evidence on the links between CS&amp;H and economic outcomes is either:</w:t>
      </w:r>
    </w:p>
    <w:p w14:paraId="363EA84E" w14:textId="77777777" w:rsidR="0079210C" w:rsidRPr="00514EFA" w:rsidRDefault="0079210C" w:rsidP="006751CE">
      <w:pPr>
        <w:pStyle w:val="Bullet2"/>
      </w:pPr>
      <w:r w:rsidRPr="00514EFA">
        <w:t>Case study based and non-econometric</w:t>
      </w:r>
    </w:p>
    <w:p w14:paraId="1CCB78DA" w14:textId="77777777" w:rsidR="0079210C" w:rsidRPr="00514EFA" w:rsidRDefault="0079210C" w:rsidP="006751CE">
      <w:pPr>
        <w:pStyle w:val="Bullet2"/>
      </w:pPr>
      <w:r w:rsidRPr="00514EFA">
        <w:t>Based on effects of amenities on house prices (hedonic pricing models) or human capital</w:t>
      </w:r>
    </w:p>
    <w:p w14:paraId="44E805BB" w14:textId="53D2C9D5" w:rsidR="0079210C" w:rsidRPr="00514EFA" w:rsidRDefault="0079210C" w:rsidP="006751CE">
      <w:pPr>
        <w:pStyle w:val="Bullet2"/>
      </w:pPr>
      <w:r w:rsidRPr="00514EFA">
        <w:t>Cross-sectional (leading to weak causal interpretation)</w:t>
      </w:r>
    </w:p>
    <w:p w14:paraId="1430BC2A" w14:textId="77777777" w:rsidR="0079210C" w:rsidRPr="00514EFA" w:rsidRDefault="0079210C" w:rsidP="006751CE">
      <w:pPr>
        <w:pStyle w:val="Bullet2"/>
      </w:pPr>
      <w:r w:rsidRPr="00514EFA">
        <w:t>Not based in the UK</w:t>
      </w:r>
    </w:p>
    <w:p w14:paraId="2CAF59F2" w14:textId="79447119" w:rsidR="0079210C" w:rsidRPr="00514EFA" w:rsidRDefault="0079210C" w:rsidP="006751CE">
      <w:pPr>
        <w:pStyle w:val="Bullet"/>
      </w:pPr>
      <w:r w:rsidRPr="00514EFA">
        <w:t xml:space="preserve">Traditional measures of firm location and economic performance do not </w:t>
      </w:r>
      <w:r w:rsidR="00731A16">
        <w:t xml:space="preserve">tend to </w:t>
      </w:r>
      <w:r w:rsidRPr="00514EFA">
        <w:t>incorporate quality of life and amenity factors</w:t>
      </w:r>
      <w:r w:rsidR="000A0E5D">
        <w:t>.</w:t>
      </w:r>
    </w:p>
    <w:p w14:paraId="5E1A65B7" w14:textId="3B1336DC" w:rsidR="0079210C" w:rsidRPr="00514EFA" w:rsidRDefault="00D10749" w:rsidP="006751CE">
      <w:pPr>
        <w:pStyle w:val="Bullet"/>
      </w:pPr>
      <w:r w:rsidRPr="00514EFA">
        <w:t>The e</w:t>
      </w:r>
      <w:r w:rsidR="0079210C" w:rsidRPr="00514EFA">
        <w:t>xisting evidence suggests CS&amp;H affects wellbeing, health and quality of life in the UK</w:t>
      </w:r>
      <w:r w:rsidR="00731A16">
        <w:t>, for example</w:t>
      </w:r>
      <w:r w:rsidR="0079210C" w:rsidRPr="00514EFA">
        <w:t>:</w:t>
      </w:r>
    </w:p>
    <w:p w14:paraId="35BCFE4A" w14:textId="77777777" w:rsidR="0079210C" w:rsidRPr="00514EFA" w:rsidRDefault="0079210C" w:rsidP="006751CE">
      <w:pPr>
        <w:pStyle w:val="Bullet2"/>
      </w:pPr>
      <w:r w:rsidRPr="00514EFA">
        <w:t xml:space="preserve">health and wellbeing benefits of public libraries; </w:t>
      </w:r>
    </w:p>
    <w:p w14:paraId="2E742A6F" w14:textId="77777777" w:rsidR="0079210C" w:rsidRPr="00514EFA" w:rsidRDefault="0079210C" w:rsidP="006751CE">
      <w:pPr>
        <w:pStyle w:val="Bullet2"/>
      </w:pPr>
      <w:r w:rsidRPr="00514EFA">
        <w:t xml:space="preserve">health and educational benefits of sport and culture; </w:t>
      </w:r>
    </w:p>
    <w:p w14:paraId="398CBE17" w14:textId="77777777" w:rsidR="0079210C" w:rsidRPr="00514EFA" w:rsidRDefault="0079210C" w:rsidP="006751CE">
      <w:pPr>
        <w:pStyle w:val="Bullet2"/>
      </w:pPr>
      <w:r w:rsidRPr="00514EFA">
        <w:t>creative occupations and subjective wellbeing</w:t>
      </w:r>
    </w:p>
    <w:p w14:paraId="3B032C42" w14:textId="60905A99" w:rsidR="000A0E5D" w:rsidRPr="00514EFA" w:rsidRDefault="000A0E5D" w:rsidP="006751CE">
      <w:pPr>
        <w:pStyle w:val="Bullet"/>
      </w:pPr>
      <w:r w:rsidRPr="00514EFA">
        <w:t xml:space="preserve">The links to wellbeing have </w:t>
      </w:r>
      <w:r w:rsidR="005B5EB0">
        <w:t xml:space="preserve">previously </w:t>
      </w:r>
      <w:r w:rsidRPr="00514EFA">
        <w:t>been explored and therefore it would appear appropriate to target this study at economic indicators rather than social indicators.</w:t>
      </w:r>
      <w:r w:rsidR="00A033C6">
        <w:t xml:space="preserve"> </w:t>
      </w:r>
      <w:r>
        <w:t>However,</w:t>
      </w:r>
      <w:r w:rsidR="00A033C6">
        <w:t xml:space="preserve"> </w:t>
      </w:r>
      <w:r w:rsidRPr="00514EFA">
        <w:t>how these variables and factors interact</w:t>
      </w:r>
      <w:r>
        <w:t xml:space="preserve"> is less well explored</w:t>
      </w:r>
      <w:r w:rsidRPr="00514EFA">
        <w:t>.</w:t>
      </w:r>
    </w:p>
    <w:p w14:paraId="598F4C04" w14:textId="076ECC8A" w:rsidR="000A0E5D" w:rsidRPr="00514EFA" w:rsidRDefault="000A0E5D" w:rsidP="006751CE">
      <w:pPr>
        <w:pStyle w:val="Bullet"/>
      </w:pPr>
      <w:r w:rsidRPr="00514EFA">
        <w:lastRenderedPageBreak/>
        <w:t>There is evidence that quality of life/amenity outcomes affect firm location decisions and human capital.</w:t>
      </w:r>
      <w:r w:rsidR="00A033C6">
        <w:t xml:space="preserve"> </w:t>
      </w:r>
      <w:r w:rsidR="00301464">
        <w:t>This may suggest that</w:t>
      </w:r>
      <w:r>
        <w:t xml:space="preserve"> CS&amp;H asset/investment </w:t>
      </w:r>
      <w:r w:rsidR="00301464">
        <w:t xml:space="preserve">can </w:t>
      </w:r>
      <w:r>
        <w:t xml:space="preserve">influence the demand-side factors </w:t>
      </w:r>
      <w:r w:rsidR="00237117">
        <w:t>associated</w:t>
      </w:r>
      <w:r>
        <w:t xml:space="preserve"> with the location decisions made by people and businesses. </w:t>
      </w:r>
    </w:p>
    <w:p w14:paraId="5F7271C0" w14:textId="39D9A510" w:rsidR="00D10749" w:rsidRPr="003001BA" w:rsidRDefault="000A0E5D" w:rsidP="006751CE">
      <w:pPr>
        <w:pStyle w:val="Bullet"/>
      </w:pPr>
      <w:r w:rsidRPr="003001BA">
        <w:t>Whilst a tried and tested model to underpin the proposed analysis does not exist, there are models which focus on similar empirical questions within the creative industries.</w:t>
      </w:r>
      <w:r w:rsidR="00A033C6">
        <w:t xml:space="preserve"> </w:t>
      </w:r>
      <w:r w:rsidR="00301464">
        <w:t>These</w:t>
      </w:r>
      <w:r w:rsidR="00301464" w:rsidRPr="003001BA">
        <w:t xml:space="preserve"> </w:t>
      </w:r>
      <w:r w:rsidRPr="003001BA">
        <w:t>existing studies align best to the aims and objectives of this study</w:t>
      </w:r>
      <w:r w:rsidR="00301464">
        <w:t>,</w:t>
      </w:r>
      <w:r w:rsidRPr="003001BA">
        <w:t xml:space="preserve"> </w:t>
      </w:r>
      <w:r w:rsidR="00D10749" w:rsidRPr="003001BA">
        <w:t xml:space="preserve">and </w:t>
      </w:r>
      <w:r w:rsidR="00301464">
        <w:t>a key conclusion from the review was that it</w:t>
      </w:r>
      <w:r w:rsidR="00301464" w:rsidRPr="003001BA">
        <w:t xml:space="preserve"> </w:t>
      </w:r>
      <w:r w:rsidR="00301464">
        <w:t>was</w:t>
      </w:r>
      <w:r w:rsidR="00D10749" w:rsidRPr="003001BA">
        <w:t xml:space="preserve"> </w:t>
      </w:r>
      <w:r w:rsidRPr="003001BA">
        <w:t>sensible to build on the empirical approaches used</w:t>
      </w:r>
      <w:r w:rsidR="00301464">
        <w:t xml:space="preserve">, while </w:t>
      </w:r>
      <w:r w:rsidR="00D10749" w:rsidRPr="003001BA">
        <w:t>develop</w:t>
      </w:r>
      <w:r w:rsidR="00301464">
        <w:t>ing</w:t>
      </w:r>
      <w:r w:rsidR="00D10749" w:rsidRPr="003001BA">
        <w:t xml:space="preserve"> a</w:t>
      </w:r>
      <w:r w:rsidR="00275064" w:rsidRPr="003001BA">
        <w:t xml:space="preserve">n approach which </w:t>
      </w:r>
      <w:r w:rsidR="00301464">
        <w:t>could</w:t>
      </w:r>
      <w:r w:rsidR="00301464" w:rsidRPr="003001BA">
        <w:t xml:space="preserve"> </w:t>
      </w:r>
      <w:r w:rsidR="00275064" w:rsidRPr="003001BA">
        <w:t xml:space="preserve">be </w:t>
      </w:r>
      <w:r w:rsidR="00301464">
        <w:t>extended</w:t>
      </w:r>
      <w:r w:rsidR="00275064" w:rsidRPr="003001BA">
        <w:t xml:space="preserve"> to cover wider economic impacts at the local level (i.e. not restricted to the creative industries)</w:t>
      </w:r>
      <w:r w:rsidR="00D10749" w:rsidRPr="003001BA">
        <w:t>.</w:t>
      </w:r>
    </w:p>
    <w:p w14:paraId="32CA73F6" w14:textId="6D9E2ACE" w:rsidR="0079210C" w:rsidRDefault="00D10749" w:rsidP="006751CE">
      <w:pPr>
        <w:pStyle w:val="Bullet"/>
      </w:pPr>
      <w:r w:rsidRPr="00514EFA">
        <w:t xml:space="preserve">Availability of </w:t>
      </w:r>
      <w:r w:rsidR="000A0E5D">
        <w:t>suitable static and time</w:t>
      </w:r>
      <w:r w:rsidR="00A959FD">
        <w:t xml:space="preserve"> </w:t>
      </w:r>
      <w:r w:rsidR="000A0E5D">
        <w:t xml:space="preserve">series </w:t>
      </w:r>
      <w:r w:rsidRPr="00514EFA">
        <w:t xml:space="preserve">data </w:t>
      </w:r>
      <w:r w:rsidR="00237117">
        <w:t>has</w:t>
      </w:r>
      <w:r w:rsidR="00275064">
        <w:t xml:space="preserve"> a </w:t>
      </w:r>
      <w:r w:rsidR="00237117">
        <w:t>major</w:t>
      </w:r>
      <w:r w:rsidR="00237117" w:rsidRPr="00514EFA">
        <w:t xml:space="preserve"> </w:t>
      </w:r>
      <w:r w:rsidRPr="00514EFA">
        <w:t>influence on decision</w:t>
      </w:r>
      <w:r w:rsidR="00237117">
        <w:t>s relating to the</w:t>
      </w:r>
      <w:r w:rsidRPr="00514EFA">
        <w:t xml:space="preserve"> empirical analysis.</w:t>
      </w:r>
      <w:r w:rsidR="00A033C6">
        <w:t xml:space="preserve"> </w:t>
      </w:r>
      <w:r w:rsidRPr="00514EFA">
        <w:t xml:space="preserve">The data collection exercise is discussed in more detail in </w:t>
      </w:r>
      <w:r w:rsidR="00A26505">
        <w:t xml:space="preserve">section </w:t>
      </w:r>
      <w:r w:rsidR="00A26505">
        <w:fldChar w:fldCharType="begin"/>
      </w:r>
      <w:r w:rsidR="00A26505">
        <w:instrText xml:space="preserve"> REF _Ref460316353 \r \h </w:instrText>
      </w:r>
      <w:r w:rsidR="00DC1396">
        <w:instrText xml:space="preserve"> \* MERGEFORMAT </w:instrText>
      </w:r>
      <w:r w:rsidR="00A26505">
        <w:fldChar w:fldCharType="separate"/>
      </w:r>
      <w:r w:rsidR="00F0636B">
        <w:t>8:</w:t>
      </w:r>
      <w:r w:rsidR="00A26505">
        <w:fldChar w:fldCharType="end"/>
      </w:r>
      <w:r w:rsidR="00A26505">
        <w:t xml:space="preserve"> (p.</w:t>
      </w:r>
      <w:r w:rsidR="00A26505">
        <w:fldChar w:fldCharType="begin"/>
      </w:r>
      <w:r w:rsidR="00A26505">
        <w:instrText xml:space="preserve"> PAGEREF _Ref460316349 \h </w:instrText>
      </w:r>
      <w:r w:rsidR="00A26505">
        <w:fldChar w:fldCharType="separate"/>
      </w:r>
      <w:r w:rsidR="00F0636B">
        <w:rPr>
          <w:noProof/>
        </w:rPr>
        <w:t>85</w:t>
      </w:r>
      <w:r w:rsidR="00A26505">
        <w:fldChar w:fldCharType="end"/>
      </w:r>
      <w:r w:rsidR="00A26505">
        <w:t>)</w:t>
      </w:r>
      <w:r w:rsidRPr="00514EFA">
        <w:t xml:space="preserve"> and, in terms of its </w:t>
      </w:r>
      <w:r w:rsidR="005969AD" w:rsidRPr="00514EFA">
        <w:t>implications</w:t>
      </w:r>
      <w:r w:rsidRPr="00514EFA">
        <w:t xml:space="preserve"> on the analysis, in the section below.</w:t>
      </w:r>
    </w:p>
    <w:p w14:paraId="21D91521" w14:textId="4B630F19" w:rsidR="000A0E5D" w:rsidRDefault="005B5EB0" w:rsidP="00520273">
      <w:pPr>
        <w:pStyle w:val="Heading3Numbered"/>
      </w:pPr>
      <w:bookmarkStart w:id="28" w:name="_Ref460316068"/>
      <w:bookmarkStart w:id="29" w:name="_Ref460316071"/>
      <w:bookmarkStart w:id="30" w:name="_Toc467569588"/>
      <w:r>
        <w:t xml:space="preserve">Study implications arising </w:t>
      </w:r>
      <w:r w:rsidR="000A0E5D">
        <w:t>from the data review</w:t>
      </w:r>
      <w:bookmarkEnd w:id="28"/>
      <w:bookmarkEnd w:id="29"/>
      <w:bookmarkEnd w:id="30"/>
    </w:p>
    <w:p w14:paraId="40DDA3B1" w14:textId="3247192A" w:rsidR="000A0E5D" w:rsidRDefault="000A0E5D" w:rsidP="00C138AC">
      <w:pPr>
        <w:rPr>
          <w:rFonts w:cs="Arial"/>
        </w:rPr>
      </w:pPr>
      <w:r>
        <w:rPr>
          <w:rFonts w:cs="Arial"/>
        </w:rPr>
        <w:t xml:space="preserve">A key factor in deciding the precise focus of this study </w:t>
      </w:r>
      <w:r w:rsidR="00237117">
        <w:rPr>
          <w:rFonts w:cs="Arial"/>
        </w:rPr>
        <w:t>wa</w:t>
      </w:r>
      <w:r>
        <w:rPr>
          <w:rFonts w:cs="Arial"/>
        </w:rPr>
        <w:t>s the avail</w:t>
      </w:r>
      <w:r w:rsidR="00237117">
        <w:rPr>
          <w:rFonts w:cs="Arial"/>
        </w:rPr>
        <w:t>a</w:t>
      </w:r>
      <w:r>
        <w:rPr>
          <w:rFonts w:cs="Arial"/>
        </w:rPr>
        <w:t>bility of suitable data to represent independent variables (CS&amp;H assets and investment) and dependent variables (desired outcomes related to place-shaping).</w:t>
      </w:r>
    </w:p>
    <w:p w14:paraId="284FECC6" w14:textId="01C94983" w:rsidR="000A0E5D" w:rsidRDefault="000A0E5D" w:rsidP="00C138AC">
      <w:pPr>
        <w:rPr>
          <w:rFonts w:cs="Arial"/>
        </w:rPr>
      </w:pPr>
      <w:r>
        <w:rPr>
          <w:rFonts w:cs="Arial"/>
        </w:rPr>
        <w:t>The data review</w:t>
      </w:r>
      <w:r w:rsidR="00664303">
        <w:rPr>
          <w:rFonts w:cs="Arial"/>
        </w:rPr>
        <w:t xml:space="preserve"> (</w:t>
      </w:r>
      <w:r>
        <w:rPr>
          <w:rFonts w:cs="Arial"/>
        </w:rPr>
        <w:t xml:space="preserve">presented in full in </w:t>
      </w:r>
      <w:r w:rsidR="00A26505">
        <w:rPr>
          <w:rFonts w:cs="Arial"/>
        </w:rPr>
        <w:t xml:space="preserve">section </w:t>
      </w:r>
      <w:r w:rsidR="00A26505">
        <w:rPr>
          <w:rFonts w:cs="Arial"/>
        </w:rPr>
        <w:fldChar w:fldCharType="begin"/>
      </w:r>
      <w:r w:rsidR="00A26505">
        <w:rPr>
          <w:rFonts w:cs="Arial"/>
        </w:rPr>
        <w:instrText xml:space="preserve"> REF _Ref460316353 \r \h </w:instrText>
      </w:r>
      <w:r w:rsidR="00A26505">
        <w:rPr>
          <w:rFonts w:cs="Arial"/>
        </w:rPr>
      </w:r>
      <w:r w:rsidR="00A26505">
        <w:rPr>
          <w:rFonts w:cs="Arial"/>
        </w:rPr>
        <w:fldChar w:fldCharType="separate"/>
      </w:r>
      <w:r w:rsidR="00F0636B">
        <w:rPr>
          <w:rFonts w:cs="Arial"/>
        </w:rPr>
        <w:t>8:</w:t>
      </w:r>
      <w:r w:rsidR="00A26505">
        <w:rPr>
          <w:rFonts w:cs="Arial"/>
        </w:rPr>
        <w:fldChar w:fldCharType="end"/>
      </w:r>
      <w:r w:rsidR="00664303">
        <w:rPr>
          <w:rFonts w:cs="Arial"/>
        </w:rPr>
        <w:t xml:space="preserve"> </w:t>
      </w:r>
      <w:r w:rsidR="00A26505">
        <w:rPr>
          <w:rFonts w:cs="Arial"/>
        </w:rPr>
        <w:t>p.</w:t>
      </w:r>
      <w:r w:rsidR="00A26505">
        <w:rPr>
          <w:rFonts w:cs="Arial"/>
        </w:rPr>
        <w:fldChar w:fldCharType="begin"/>
      </w:r>
      <w:r w:rsidR="00A26505">
        <w:rPr>
          <w:rFonts w:cs="Arial"/>
        </w:rPr>
        <w:instrText xml:space="preserve"> PAGEREF _Ref460316349 \h </w:instrText>
      </w:r>
      <w:r w:rsidR="00A26505">
        <w:rPr>
          <w:rFonts w:cs="Arial"/>
        </w:rPr>
      </w:r>
      <w:r w:rsidR="00A26505">
        <w:rPr>
          <w:rFonts w:cs="Arial"/>
        </w:rPr>
        <w:fldChar w:fldCharType="separate"/>
      </w:r>
      <w:r w:rsidR="00F0636B">
        <w:rPr>
          <w:rFonts w:cs="Arial"/>
          <w:noProof/>
        </w:rPr>
        <w:t>85</w:t>
      </w:r>
      <w:r w:rsidR="00A26505">
        <w:rPr>
          <w:rFonts w:cs="Arial"/>
        </w:rPr>
        <w:fldChar w:fldCharType="end"/>
      </w:r>
      <w:r>
        <w:rPr>
          <w:rFonts w:cs="Arial"/>
        </w:rPr>
        <w:t xml:space="preserve"> </w:t>
      </w:r>
      <w:r w:rsidR="002607C1">
        <w:rPr>
          <w:rFonts w:cs="Arial"/>
        </w:rPr>
        <w:t>found that</w:t>
      </w:r>
      <w:r>
        <w:rPr>
          <w:rFonts w:cs="Arial"/>
        </w:rPr>
        <w:t>:</w:t>
      </w:r>
    </w:p>
    <w:p w14:paraId="757750C8" w14:textId="78E6D198" w:rsidR="002607C1" w:rsidRDefault="000A0E5D" w:rsidP="006751CE">
      <w:pPr>
        <w:pStyle w:val="Bullet"/>
      </w:pPr>
      <w:r w:rsidRPr="00514EFA">
        <w:t xml:space="preserve">Identifying the CS&amp;H assets in a place is relatively straightforward, though a comprehensive picture </w:t>
      </w:r>
      <w:r w:rsidR="002607C1">
        <w:t>needs</w:t>
      </w:r>
      <w:r w:rsidRPr="00514EFA">
        <w:t xml:space="preserve"> to be collated from a number of different data sources. Identifying changes in the number, type and quality of assets</w:t>
      </w:r>
      <w:r w:rsidR="002607C1">
        <w:t xml:space="preserve"> over time</w:t>
      </w:r>
      <w:r w:rsidRPr="00514EFA">
        <w:t xml:space="preserve"> is more difficult. </w:t>
      </w:r>
    </w:p>
    <w:p w14:paraId="24A725B6" w14:textId="60087E85" w:rsidR="000A0E5D" w:rsidRPr="00514EFA" w:rsidRDefault="000A0E5D" w:rsidP="006751CE">
      <w:pPr>
        <w:pStyle w:val="Bullet"/>
      </w:pPr>
      <w:r w:rsidRPr="00514EFA">
        <w:t xml:space="preserve">Similarly, developing a comprehensive picture of investment in CS&amp;H assets is also </w:t>
      </w:r>
      <w:r w:rsidR="002607C1" w:rsidRPr="00514EFA">
        <w:t>difficult</w:t>
      </w:r>
      <w:r w:rsidRPr="00514EFA">
        <w:t>,</w:t>
      </w:r>
      <w:r w:rsidR="002607C1">
        <w:t xml:space="preserve"> and</w:t>
      </w:r>
      <w:r w:rsidRPr="00514EFA">
        <w:t xml:space="preserve"> data availability </w:t>
      </w:r>
      <w:r w:rsidR="002607C1">
        <w:t>should</w:t>
      </w:r>
      <w:r w:rsidR="002607C1" w:rsidRPr="00514EFA">
        <w:t xml:space="preserve"> </w:t>
      </w:r>
      <w:r w:rsidRPr="00514EFA">
        <w:t>determine the specification for analysis.</w:t>
      </w:r>
    </w:p>
    <w:p w14:paraId="3B5E84D2" w14:textId="05223AC1" w:rsidR="000A0E5D" w:rsidRPr="00514EFA" w:rsidRDefault="000A0E5D" w:rsidP="006751CE">
      <w:pPr>
        <w:pStyle w:val="Bullet"/>
      </w:pPr>
      <w:r w:rsidRPr="00514EFA">
        <w:t>A range of indicators is available to examine the impacts of CS&amp;H assets and investment. The available data will also allow impacts to be tested at a range of spatial levels</w:t>
      </w:r>
      <w:r w:rsidR="002607C1">
        <w:t>, though generally not robustly below local authority level</w:t>
      </w:r>
      <w:r w:rsidRPr="00514EFA">
        <w:t xml:space="preserve">. The specific indicators to be used as dependent and control variables </w:t>
      </w:r>
      <w:r w:rsidR="002607C1">
        <w:t>should</w:t>
      </w:r>
      <w:r w:rsidR="002607C1" w:rsidRPr="00514EFA">
        <w:t xml:space="preserve"> </w:t>
      </w:r>
      <w:r w:rsidRPr="00514EFA">
        <w:t>be defined in line with the specification for analysis.</w:t>
      </w:r>
    </w:p>
    <w:p w14:paraId="3FE9B78A" w14:textId="3ADA35AC" w:rsidR="000A0E5D" w:rsidRPr="003E7996" w:rsidRDefault="002607C1" w:rsidP="003E7996">
      <w:pPr>
        <w:rPr>
          <w:rFonts w:eastAsiaTheme="minorHAnsi" w:cs="Arial"/>
        </w:rPr>
      </w:pPr>
      <w:r>
        <w:rPr>
          <w:rFonts w:eastAsiaTheme="minorHAnsi" w:cs="Arial"/>
        </w:rPr>
        <w:t>It was recognised that t</w:t>
      </w:r>
      <w:r w:rsidR="000A0E5D" w:rsidRPr="003E7996">
        <w:rPr>
          <w:rFonts w:eastAsiaTheme="minorHAnsi" w:cs="Arial"/>
        </w:rPr>
        <w:t>he process of reviewing data sources and developing a specification for the analysis is an iterative one</w:t>
      </w:r>
      <w:r>
        <w:rPr>
          <w:rFonts w:eastAsiaTheme="minorHAnsi" w:cs="Arial"/>
        </w:rPr>
        <w:t>,</w:t>
      </w:r>
      <w:r w:rsidR="000A0E5D" w:rsidRPr="003E7996">
        <w:rPr>
          <w:rFonts w:eastAsiaTheme="minorHAnsi" w:cs="Arial"/>
        </w:rPr>
        <w:t xml:space="preserve"> </w:t>
      </w:r>
      <w:r>
        <w:rPr>
          <w:rFonts w:eastAsiaTheme="minorHAnsi" w:cs="Arial"/>
        </w:rPr>
        <w:t xml:space="preserve">with </w:t>
      </w:r>
      <w:r w:rsidR="000A0E5D" w:rsidRPr="003E7996">
        <w:rPr>
          <w:rFonts w:eastAsiaTheme="minorHAnsi" w:cs="Arial"/>
        </w:rPr>
        <w:t xml:space="preserve">each </w:t>
      </w:r>
      <w:r w:rsidRPr="003E7996">
        <w:rPr>
          <w:rFonts w:eastAsiaTheme="minorHAnsi" w:cs="Arial"/>
        </w:rPr>
        <w:t>inform</w:t>
      </w:r>
      <w:r>
        <w:rPr>
          <w:rFonts w:eastAsiaTheme="minorHAnsi" w:cs="Arial"/>
        </w:rPr>
        <w:t>ing</w:t>
      </w:r>
      <w:r w:rsidRPr="003E7996">
        <w:rPr>
          <w:rFonts w:eastAsiaTheme="minorHAnsi" w:cs="Arial"/>
        </w:rPr>
        <w:t xml:space="preserve"> </w:t>
      </w:r>
      <w:r w:rsidR="000A0E5D" w:rsidRPr="003E7996">
        <w:rPr>
          <w:rFonts w:eastAsiaTheme="minorHAnsi" w:cs="Arial"/>
        </w:rPr>
        <w:t xml:space="preserve">the other. A data specification </w:t>
      </w:r>
      <w:r w:rsidRPr="003E7996">
        <w:rPr>
          <w:rFonts w:eastAsiaTheme="minorHAnsi" w:cs="Arial"/>
        </w:rPr>
        <w:t>describ</w:t>
      </w:r>
      <w:r>
        <w:rPr>
          <w:rFonts w:eastAsiaTheme="minorHAnsi" w:cs="Arial"/>
        </w:rPr>
        <w:t>ing</w:t>
      </w:r>
      <w:r w:rsidRPr="003E7996">
        <w:rPr>
          <w:rFonts w:eastAsiaTheme="minorHAnsi" w:cs="Arial"/>
        </w:rPr>
        <w:t xml:space="preserve"> </w:t>
      </w:r>
      <w:r w:rsidR="000A0E5D" w:rsidRPr="003E7996">
        <w:rPr>
          <w:rFonts w:eastAsiaTheme="minorHAnsi" w:cs="Arial"/>
        </w:rPr>
        <w:t xml:space="preserve">the indicators to be used in the analysis and the sources from which they are drawn </w:t>
      </w:r>
      <w:r>
        <w:rPr>
          <w:rFonts w:eastAsiaTheme="minorHAnsi" w:cs="Arial"/>
        </w:rPr>
        <w:t>was</w:t>
      </w:r>
      <w:r w:rsidR="000A0E5D" w:rsidRPr="003E7996">
        <w:rPr>
          <w:rFonts w:eastAsiaTheme="minorHAnsi" w:cs="Arial"/>
        </w:rPr>
        <w:t xml:space="preserve"> developed as </w:t>
      </w:r>
      <w:r>
        <w:rPr>
          <w:rFonts w:eastAsiaTheme="minorHAnsi" w:cs="Arial"/>
        </w:rPr>
        <w:t>the study progressed</w:t>
      </w:r>
      <w:r w:rsidR="000A0E5D" w:rsidRPr="003E7996">
        <w:rPr>
          <w:rFonts w:eastAsiaTheme="minorHAnsi" w:cs="Arial"/>
        </w:rPr>
        <w:t>.</w:t>
      </w:r>
      <w:r>
        <w:rPr>
          <w:rFonts w:eastAsiaTheme="minorHAnsi" w:cs="Arial"/>
        </w:rPr>
        <w:t xml:space="preserve"> Details of the dataset used in the analysis can be found in section </w:t>
      </w:r>
      <w:r>
        <w:rPr>
          <w:rFonts w:eastAsiaTheme="minorHAnsi" w:cs="Arial"/>
        </w:rPr>
        <w:fldChar w:fldCharType="begin"/>
      </w:r>
      <w:r>
        <w:rPr>
          <w:rFonts w:eastAsiaTheme="minorHAnsi" w:cs="Arial"/>
        </w:rPr>
        <w:instrText xml:space="preserve"> REF _Ref460261622 \r \h </w:instrText>
      </w:r>
      <w:r>
        <w:rPr>
          <w:rFonts w:eastAsiaTheme="minorHAnsi" w:cs="Arial"/>
        </w:rPr>
      </w:r>
      <w:r>
        <w:rPr>
          <w:rFonts w:eastAsiaTheme="minorHAnsi" w:cs="Arial"/>
        </w:rPr>
        <w:fldChar w:fldCharType="separate"/>
      </w:r>
      <w:r w:rsidR="00F0636B">
        <w:rPr>
          <w:rFonts w:eastAsiaTheme="minorHAnsi" w:cs="Arial"/>
        </w:rPr>
        <w:t>11:</w:t>
      </w:r>
      <w:r>
        <w:rPr>
          <w:rFonts w:eastAsiaTheme="minorHAnsi" w:cs="Arial"/>
        </w:rPr>
        <w:fldChar w:fldCharType="end"/>
      </w:r>
      <w:r>
        <w:rPr>
          <w:rFonts w:eastAsiaTheme="minorHAnsi" w:cs="Arial"/>
        </w:rPr>
        <w:t xml:space="preserve"> (p.</w:t>
      </w:r>
      <w:r>
        <w:rPr>
          <w:rFonts w:eastAsiaTheme="minorHAnsi" w:cs="Arial"/>
        </w:rPr>
        <w:fldChar w:fldCharType="begin"/>
      </w:r>
      <w:r>
        <w:rPr>
          <w:rFonts w:eastAsiaTheme="minorHAnsi" w:cs="Arial"/>
        </w:rPr>
        <w:instrText xml:space="preserve"> PAGEREF _Ref460261622 \h </w:instrText>
      </w:r>
      <w:r>
        <w:rPr>
          <w:rFonts w:eastAsiaTheme="minorHAnsi" w:cs="Arial"/>
        </w:rPr>
      </w:r>
      <w:r>
        <w:rPr>
          <w:rFonts w:eastAsiaTheme="minorHAnsi" w:cs="Arial"/>
        </w:rPr>
        <w:fldChar w:fldCharType="separate"/>
      </w:r>
      <w:r w:rsidR="00F0636B">
        <w:rPr>
          <w:rFonts w:eastAsiaTheme="minorHAnsi" w:cs="Arial"/>
          <w:noProof/>
        </w:rPr>
        <w:t>102</w:t>
      </w:r>
      <w:r>
        <w:rPr>
          <w:rFonts w:eastAsiaTheme="minorHAnsi" w:cs="Arial"/>
        </w:rPr>
        <w:fldChar w:fldCharType="end"/>
      </w:r>
      <w:r>
        <w:rPr>
          <w:rFonts w:eastAsiaTheme="minorHAnsi" w:cs="Arial"/>
        </w:rPr>
        <w:t>).</w:t>
      </w:r>
    </w:p>
    <w:p w14:paraId="552321BC" w14:textId="709B8E46" w:rsidR="00275064" w:rsidRDefault="00275064" w:rsidP="003E7996">
      <w:pPr>
        <w:pStyle w:val="Heading3Numbered"/>
        <w:rPr>
          <w:rFonts w:eastAsiaTheme="minorHAnsi"/>
        </w:rPr>
      </w:pPr>
      <w:bookmarkStart w:id="31" w:name="_Toc467569589"/>
      <w:r>
        <w:rPr>
          <w:rFonts w:eastAsiaTheme="minorHAnsi"/>
        </w:rPr>
        <w:t xml:space="preserve">Conceptual framework </w:t>
      </w:r>
      <w:r w:rsidR="00E52581">
        <w:rPr>
          <w:rFonts w:eastAsiaTheme="minorHAnsi"/>
        </w:rPr>
        <w:t>summary</w:t>
      </w:r>
      <w:bookmarkEnd w:id="31"/>
    </w:p>
    <w:p w14:paraId="3FD2138C" w14:textId="3580BBCF" w:rsidR="00275064" w:rsidRDefault="00275064" w:rsidP="00775105">
      <w:pPr>
        <w:rPr>
          <w:rFonts w:eastAsiaTheme="minorHAnsi" w:cs="Arial"/>
        </w:rPr>
      </w:pPr>
      <w:r>
        <w:rPr>
          <w:rFonts w:eastAsiaTheme="minorHAnsi" w:cs="Arial"/>
        </w:rPr>
        <w:t>The study began with the objective of generating evidence in relation to the following over-arching research question:</w:t>
      </w:r>
    </w:p>
    <w:p w14:paraId="179E787B" w14:textId="35B34E68" w:rsidR="00275064" w:rsidRDefault="00275064" w:rsidP="00775105">
      <w:pPr>
        <w:rPr>
          <w:rFonts w:cs="Arial"/>
          <w:i/>
        </w:rPr>
      </w:pPr>
      <w:r w:rsidRPr="00514EFA">
        <w:rPr>
          <w:rFonts w:cs="Arial"/>
          <w:i/>
        </w:rPr>
        <w:t xml:space="preserve">To what extent does </w:t>
      </w:r>
      <w:r w:rsidR="00D44C4D" w:rsidRPr="00D44C4D">
        <w:rPr>
          <w:rFonts w:cs="Arial"/>
          <w:i/>
        </w:rPr>
        <w:t xml:space="preserve">culture, sport and heritage </w:t>
      </w:r>
      <w:r w:rsidRPr="00514EFA">
        <w:rPr>
          <w:rFonts w:cs="Arial"/>
          <w:i/>
        </w:rPr>
        <w:t>infrastructure and investment within a place (e.g. city-region, rural area) influence the</w:t>
      </w:r>
      <w:r w:rsidR="00DC121E">
        <w:rPr>
          <w:rFonts w:cs="Arial"/>
          <w:i/>
        </w:rPr>
        <w:t>:</w:t>
      </w:r>
    </w:p>
    <w:p w14:paraId="73BC09A5" w14:textId="77777777" w:rsidR="00275064" w:rsidRPr="006751CE" w:rsidRDefault="00275064" w:rsidP="009640D5">
      <w:pPr>
        <w:pStyle w:val="Bullet"/>
        <w:rPr>
          <w:i/>
        </w:rPr>
      </w:pPr>
      <w:r w:rsidRPr="006751CE">
        <w:rPr>
          <w:b/>
          <w:bCs/>
          <w:i/>
        </w:rPr>
        <w:t>Economy</w:t>
      </w:r>
      <w:r w:rsidRPr="006751CE">
        <w:rPr>
          <w:i/>
        </w:rPr>
        <w:t>: Personal income, output (GVA), productivity, property prices, tourism, inward investment, business relocation, employment and skills etc.</w:t>
      </w:r>
    </w:p>
    <w:p w14:paraId="0FCAF615" w14:textId="77777777" w:rsidR="00275064" w:rsidRPr="006751CE" w:rsidRDefault="00275064" w:rsidP="009640D5">
      <w:pPr>
        <w:pStyle w:val="Bullet"/>
        <w:rPr>
          <w:b/>
          <w:bCs/>
          <w:i/>
        </w:rPr>
      </w:pPr>
      <w:r w:rsidRPr="006751CE">
        <w:rPr>
          <w:b/>
          <w:bCs/>
          <w:i/>
        </w:rPr>
        <w:lastRenderedPageBreak/>
        <w:t xml:space="preserve">Society: </w:t>
      </w:r>
      <w:r w:rsidRPr="006751CE">
        <w:rPr>
          <w:i/>
        </w:rPr>
        <w:t>demographic characteristics (including ethnicity), education and learning, health, deprivation, social capital, crime and neighbourhood, wellbeing, identity etc.</w:t>
      </w:r>
    </w:p>
    <w:p w14:paraId="17E628E8" w14:textId="3AD3BE34" w:rsidR="00275064" w:rsidRDefault="00275064" w:rsidP="00775105">
      <w:pPr>
        <w:rPr>
          <w:rFonts w:eastAsiaTheme="minorHAnsi" w:cs="Arial"/>
        </w:rPr>
      </w:pPr>
      <w:r>
        <w:rPr>
          <w:rFonts w:eastAsiaTheme="minorHAnsi" w:cs="Arial"/>
        </w:rPr>
        <w:t xml:space="preserve">A number of factors influenced the final design of </w:t>
      </w:r>
      <w:r w:rsidR="00DC121E">
        <w:rPr>
          <w:rFonts w:eastAsiaTheme="minorHAnsi" w:cs="Arial"/>
        </w:rPr>
        <w:t xml:space="preserve">the </w:t>
      </w:r>
      <w:r>
        <w:rPr>
          <w:rFonts w:eastAsiaTheme="minorHAnsi" w:cs="Arial"/>
        </w:rPr>
        <w:t>study with respect to this objective.</w:t>
      </w:r>
      <w:r w:rsidR="00A033C6">
        <w:rPr>
          <w:rFonts w:eastAsiaTheme="minorHAnsi" w:cs="Arial"/>
        </w:rPr>
        <w:t xml:space="preserve"> </w:t>
      </w:r>
      <w:r>
        <w:rPr>
          <w:rFonts w:eastAsiaTheme="minorHAnsi" w:cs="Arial"/>
        </w:rPr>
        <w:t>These include:</w:t>
      </w:r>
    </w:p>
    <w:p w14:paraId="784F2FE9" w14:textId="00E3B852" w:rsidR="00275064" w:rsidRDefault="00275064" w:rsidP="006751CE">
      <w:pPr>
        <w:pStyle w:val="Bullet"/>
        <w:rPr>
          <w:rFonts w:eastAsiaTheme="minorHAnsi"/>
        </w:rPr>
      </w:pPr>
      <w:r>
        <w:rPr>
          <w:rFonts w:eastAsiaTheme="minorHAnsi"/>
        </w:rPr>
        <w:t>Existing theoretical literature,</w:t>
      </w:r>
    </w:p>
    <w:p w14:paraId="2F118820" w14:textId="7934CA83" w:rsidR="00275064" w:rsidRDefault="00275064" w:rsidP="006751CE">
      <w:pPr>
        <w:pStyle w:val="Bullet"/>
        <w:rPr>
          <w:rFonts w:eastAsiaTheme="minorHAnsi"/>
        </w:rPr>
      </w:pPr>
      <w:r>
        <w:rPr>
          <w:rFonts w:eastAsiaTheme="minorHAnsi"/>
        </w:rPr>
        <w:t>Consideration of the concept of an impact ecosystem, and the complexity of this concept,</w:t>
      </w:r>
    </w:p>
    <w:p w14:paraId="114A457D" w14:textId="6834A33C" w:rsidR="00275064" w:rsidRDefault="00275064" w:rsidP="006751CE">
      <w:pPr>
        <w:pStyle w:val="Bullet"/>
        <w:rPr>
          <w:rFonts w:eastAsiaTheme="minorHAnsi"/>
        </w:rPr>
      </w:pPr>
      <w:r>
        <w:rPr>
          <w:rFonts w:eastAsiaTheme="minorHAnsi"/>
        </w:rPr>
        <w:t xml:space="preserve">Existing empirical literature and models which </w:t>
      </w:r>
      <w:r w:rsidR="0024041C">
        <w:rPr>
          <w:rFonts w:eastAsiaTheme="minorHAnsi"/>
        </w:rPr>
        <w:t xml:space="preserve">might </w:t>
      </w:r>
      <w:r>
        <w:rPr>
          <w:rFonts w:eastAsiaTheme="minorHAnsi"/>
        </w:rPr>
        <w:t>be used or adapted for use in this study</w:t>
      </w:r>
      <w:r w:rsidR="00E90746">
        <w:rPr>
          <w:rFonts w:eastAsiaTheme="minorHAnsi"/>
        </w:rPr>
        <w:t>.</w:t>
      </w:r>
      <w:r w:rsidR="00A033C6">
        <w:rPr>
          <w:rFonts w:eastAsiaTheme="minorHAnsi"/>
        </w:rPr>
        <w:t xml:space="preserve"> </w:t>
      </w:r>
      <w:r w:rsidR="00E90746">
        <w:rPr>
          <w:rFonts w:eastAsiaTheme="minorHAnsi"/>
        </w:rPr>
        <w:t xml:space="preserve">Importantly, </w:t>
      </w:r>
      <w:r w:rsidR="00E90746" w:rsidRPr="000F6B69">
        <w:rPr>
          <w:rFonts w:eastAsiaTheme="minorHAnsi"/>
        </w:rPr>
        <w:t>consideration was given to the existence of evidence which directly relates to the over-arching research question</w:t>
      </w:r>
      <w:r w:rsidR="000F6B69" w:rsidRPr="000F6B69">
        <w:rPr>
          <w:rFonts w:eastAsiaTheme="minorHAnsi"/>
        </w:rPr>
        <w:t>,</w:t>
      </w:r>
      <w:r w:rsidR="00E90746" w:rsidRPr="000F6B69">
        <w:rPr>
          <w:rFonts w:eastAsiaTheme="minorHAnsi"/>
        </w:rPr>
        <w:t xml:space="preserve"> with a view to focusing this study on the creation of new evidence</w:t>
      </w:r>
      <w:r w:rsidR="00E90746">
        <w:rPr>
          <w:rFonts w:eastAsiaTheme="minorHAnsi"/>
        </w:rPr>
        <w:t>.</w:t>
      </w:r>
    </w:p>
    <w:p w14:paraId="46409FA3" w14:textId="4667268A" w:rsidR="00275064" w:rsidRDefault="00275064" w:rsidP="006751CE">
      <w:pPr>
        <w:pStyle w:val="Bullet"/>
        <w:rPr>
          <w:rFonts w:eastAsiaTheme="minorHAnsi"/>
        </w:rPr>
      </w:pPr>
      <w:r>
        <w:rPr>
          <w:rFonts w:eastAsiaTheme="minorHAnsi"/>
        </w:rPr>
        <w:t>Availability of data related to both assets and investment (independent variables) and key economic</w:t>
      </w:r>
      <w:r w:rsidR="00DC121E">
        <w:rPr>
          <w:rFonts w:eastAsiaTheme="minorHAnsi"/>
        </w:rPr>
        <w:t xml:space="preserve"> and </w:t>
      </w:r>
      <w:r>
        <w:rPr>
          <w:rFonts w:eastAsiaTheme="minorHAnsi"/>
        </w:rPr>
        <w:t>social outcomes (dependent variables)</w:t>
      </w:r>
      <w:r w:rsidR="0024041C">
        <w:rPr>
          <w:rFonts w:eastAsiaTheme="minorHAnsi"/>
        </w:rPr>
        <w:t>.</w:t>
      </w:r>
    </w:p>
    <w:p w14:paraId="0A4354D7" w14:textId="51B917C6" w:rsidR="00275064" w:rsidRDefault="00275064" w:rsidP="00775105">
      <w:pPr>
        <w:rPr>
          <w:rFonts w:eastAsiaTheme="minorHAnsi" w:cs="Arial"/>
        </w:rPr>
      </w:pPr>
      <w:r>
        <w:rPr>
          <w:rFonts w:eastAsiaTheme="minorHAnsi" w:cs="Arial"/>
        </w:rPr>
        <w:t>Clearly these factors are inter-related.</w:t>
      </w:r>
      <w:r w:rsidR="00A033C6">
        <w:rPr>
          <w:rFonts w:eastAsiaTheme="minorHAnsi" w:cs="Arial"/>
        </w:rPr>
        <w:t xml:space="preserve"> </w:t>
      </w:r>
      <w:r>
        <w:rPr>
          <w:rFonts w:eastAsiaTheme="minorHAnsi" w:cs="Arial"/>
        </w:rPr>
        <w:t>For example, the design of empirical models must carefully consider and be informed by the availability of data.</w:t>
      </w:r>
      <w:r w:rsidR="00A033C6">
        <w:rPr>
          <w:rFonts w:eastAsiaTheme="minorHAnsi" w:cs="Arial"/>
        </w:rPr>
        <w:t xml:space="preserve"> </w:t>
      </w:r>
      <w:r w:rsidR="00E90746">
        <w:rPr>
          <w:rFonts w:eastAsiaTheme="minorHAnsi" w:cs="Arial"/>
        </w:rPr>
        <w:t xml:space="preserve">Having considered all these factors the study team </w:t>
      </w:r>
      <w:r w:rsidR="0024041C">
        <w:rPr>
          <w:rFonts w:eastAsiaTheme="minorHAnsi" w:cs="Arial"/>
        </w:rPr>
        <w:t xml:space="preserve">and steering group </w:t>
      </w:r>
      <w:r w:rsidR="00E90746">
        <w:rPr>
          <w:rFonts w:eastAsiaTheme="minorHAnsi" w:cs="Arial"/>
        </w:rPr>
        <w:t>drew the following conclusions:</w:t>
      </w:r>
    </w:p>
    <w:p w14:paraId="43FFDF2F" w14:textId="41A7357B" w:rsidR="00E90746" w:rsidRDefault="0024041C" w:rsidP="006751CE">
      <w:pPr>
        <w:pStyle w:val="Bullet"/>
        <w:rPr>
          <w:rFonts w:eastAsiaTheme="minorHAnsi"/>
        </w:rPr>
      </w:pPr>
      <w:r>
        <w:rPr>
          <w:rFonts w:eastAsiaTheme="minorHAnsi"/>
        </w:rPr>
        <w:t>T</w:t>
      </w:r>
      <w:r w:rsidR="001D35D6">
        <w:rPr>
          <w:rFonts w:eastAsiaTheme="minorHAnsi"/>
        </w:rPr>
        <w:t xml:space="preserve">his study </w:t>
      </w:r>
      <w:r>
        <w:rPr>
          <w:rFonts w:eastAsiaTheme="minorHAnsi"/>
        </w:rPr>
        <w:t xml:space="preserve">should </w:t>
      </w:r>
      <w:r w:rsidR="001D35D6">
        <w:rPr>
          <w:rFonts w:eastAsiaTheme="minorHAnsi"/>
        </w:rPr>
        <w:t xml:space="preserve">not attempt to </w:t>
      </w:r>
      <w:r w:rsidR="00E90746">
        <w:rPr>
          <w:rFonts w:eastAsiaTheme="minorHAnsi"/>
        </w:rPr>
        <w:t>evidenc</w:t>
      </w:r>
      <w:r w:rsidR="001D35D6">
        <w:rPr>
          <w:rFonts w:eastAsiaTheme="minorHAnsi"/>
        </w:rPr>
        <w:t>e</w:t>
      </w:r>
      <w:r w:rsidR="00E90746">
        <w:rPr>
          <w:rFonts w:eastAsiaTheme="minorHAnsi"/>
        </w:rPr>
        <w:t xml:space="preserve"> the full ecosystem,</w:t>
      </w:r>
      <w:r w:rsidR="001D35D6">
        <w:rPr>
          <w:rFonts w:eastAsiaTheme="minorHAnsi"/>
        </w:rPr>
        <w:t xml:space="preserve"> as was originally intended.</w:t>
      </w:r>
      <w:r w:rsidR="00A033C6">
        <w:rPr>
          <w:rFonts w:eastAsiaTheme="minorHAnsi"/>
        </w:rPr>
        <w:t xml:space="preserve"> </w:t>
      </w:r>
      <w:r w:rsidR="001D35D6">
        <w:rPr>
          <w:rFonts w:eastAsiaTheme="minorHAnsi"/>
        </w:rPr>
        <w:t xml:space="preserve">This decision was taken </w:t>
      </w:r>
      <w:r w:rsidR="00E90746">
        <w:rPr>
          <w:rFonts w:eastAsiaTheme="minorHAnsi"/>
        </w:rPr>
        <w:t xml:space="preserve">on the basis of </w:t>
      </w:r>
      <w:r w:rsidR="001D35D6">
        <w:rPr>
          <w:rFonts w:eastAsiaTheme="minorHAnsi"/>
        </w:rPr>
        <w:t xml:space="preserve">the implied </w:t>
      </w:r>
      <w:r w:rsidR="00E90746">
        <w:rPr>
          <w:rFonts w:eastAsiaTheme="minorHAnsi"/>
        </w:rPr>
        <w:t xml:space="preserve">complexity </w:t>
      </w:r>
      <w:r w:rsidR="001D35D6">
        <w:rPr>
          <w:rFonts w:eastAsiaTheme="minorHAnsi"/>
        </w:rPr>
        <w:t xml:space="preserve">of the task </w:t>
      </w:r>
      <w:r w:rsidR="00E90746">
        <w:rPr>
          <w:rFonts w:eastAsiaTheme="minorHAnsi"/>
        </w:rPr>
        <w:t xml:space="preserve">and a lack of data suitable to </w:t>
      </w:r>
      <w:r w:rsidR="001D35D6">
        <w:rPr>
          <w:rFonts w:eastAsiaTheme="minorHAnsi"/>
        </w:rPr>
        <w:t>support</w:t>
      </w:r>
      <w:r w:rsidR="00E90746">
        <w:rPr>
          <w:rFonts w:eastAsiaTheme="minorHAnsi"/>
        </w:rPr>
        <w:t xml:space="preserve"> </w:t>
      </w:r>
      <w:r w:rsidR="001D35D6">
        <w:rPr>
          <w:rFonts w:eastAsiaTheme="minorHAnsi"/>
        </w:rPr>
        <w:t>it</w:t>
      </w:r>
      <w:r w:rsidR="00E90746">
        <w:rPr>
          <w:rFonts w:eastAsiaTheme="minorHAnsi"/>
        </w:rPr>
        <w:t>.</w:t>
      </w:r>
      <w:r w:rsidR="00A033C6">
        <w:rPr>
          <w:rFonts w:eastAsiaTheme="minorHAnsi"/>
        </w:rPr>
        <w:t xml:space="preserve"> </w:t>
      </w:r>
      <w:r w:rsidR="00E90746">
        <w:rPr>
          <w:rFonts w:eastAsiaTheme="minorHAnsi"/>
        </w:rPr>
        <w:t xml:space="preserve">Instead, it was agreed that the study </w:t>
      </w:r>
      <w:r>
        <w:rPr>
          <w:rFonts w:eastAsiaTheme="minorHAnsi"/>
        </w:rPr>
        <w:t xml:space="preserve">should </w:t>
      </w:r>
      <w:r w:rsidR="00E90746">
        <w:rPr>
          <w:rFonts w:eastAsiaTheme="minorHAnsi"/>
        </w:rPr>
        <w:t xml:space="preserve">examine the </w:t>
      </w:r>
      <w:r w:rsidR="00DC121E">
        <w:rPr>
          <w:rFonts w:eastAsiaTheme="minorHAnsi"/>
        </w:rPr>
        <w:t>relationship</w:t>
      </w:r>
      <w:r w:rsidR="00E90746">
        <w:rPr>
          <w:rFonts w:eastAsiaTheme="minorHAnsi"/>
        </w:rPr>
        <w:t xml:space="preserve"> between CS&amp;H assets</w:t>
      </w:r>
      <w:r w:rsidR="00DC121E">
        <w:rPr>
          <w:rFonts w:eastAsiaTheme="minorHAnsi"/>
        </w:rPr>
        <w:t xml:space="preserve"> and </w:t>
      </w:r>
      <w:r w:rsidR="00E90746">
        <w:rPr>
          <w:rFonts w:eastAsiaTheme="minorHAnsi"/>
        </w:rPr>
        <w:t>investment and economic</w:t>
      </w:r>
      <w:r w:rsidR="00DC121E">
        <w:rPr>
          <w:rFonts w:eastAsiaTheme="minorHAnsi"/>
        </w:rPr>
        <w:t xml:space="preserve"> and </w:t>
      </w:r>
      <w:r w:rsidR="00E90746">
        <w:rPr>
          <w:rFonts w:eastAsiaTheme="minorHAnsi"/>
        </w:rPr>
        <w:t>social indicators which are important to positive place-shaping.</w:t>
      </w:r>
    </w:p>
    <w:p w14:paraId="7CCC4E54" w14:textId="30D75B4B" w:rsidR="00E90746" w:rsidRDefault="00E90746" w:rsidP="006751CE">
      <w:pPr>
        <w:pStyle w:val="Bullet"/>
        <w:rPr>
          <w:rFonts w:eastAsiaTheme="minorHAnsi"/>
        </w:rPr>
      </w:pPr>
      <w:r>
        <w:rPr>
          <w:rFonts w:eastAsiaTheme="minorHAnsi"/>
        </w:rPr>
        <w:t>Evidence regarding some social and wellbeing indicators was already in the public domain and that therefore, this study should focus on economic indicators only.</w:t>
      </w:r>
    </w:p>
    <w:p w14:paraId="50D61B85" w14:textId="7CF98D06" w:rsidR="00E90746" w:rsidRDefault="00E90746" w:rsidP="006751CE">
      <w:pPr>
        <w:pStyle w:val="Bullet"/>
        <w:rPr>
          <w:rFonts w:eastAsiaTheme="minorHAnsi"/>
        </w:rPr>
      </w:pPr>
      <w:r>
        <w:rPr>
          <w:rFonts w:eastAsiaTheme="minorHAnsi"/>
        </w:rPr>
        <w:t xml:space="preserve">Existing empirical models have been employed in studies relate to the creative industries </w:t>
      </w:r>
      <w:r w:rsidR="001D35D6">
        <w:rPr>
          <w:rFonts w:eastAsiaTheme="minorHAnsi"/>
        </w:rPr>
        <w:t xml:space="preserve">and these </w:t>
      </w:r>
      <w:r>
        <w:rPr>
          <w:rFonts w:eastAsiaTheme="minorHAnsi"/>
        </w:rPr>
        <w:t>represent the best existing approach</w:t>
      </w:r>
      <w:r w:rsidR="001D35D6">
        <w:rPr>
          <w:rFonts w:eastAsiaTheme="minorHAnsi"/>
        </w:rPr>
        <w:t>.</w:t>
      </w:r>
      <w:r w:rsidR="00A033C6">
        <w:rPr>
          <w:rFonts w:eastAsiaTheme="minorHAnsi"/>
        </w:rPr>
        <w:t xml:space="preserve"> </w:t>
      </w:r>
      <w:r w:rsidR="001D35D6">
        <w:rPr>
          <w:rFonts w:eastAsiaTheme="minorHAnsi"/>
        </w:rPr>
        <w:t>T</w:t>
      </w:r>
      <w:r>
        <w:rPr>
          <w:rFonts w:eastAsiaTheme="minorHAnsi"/>
        </w:rPr>
        <w:t>hese should therefore be modified in order to address the objectives of the study.</w:t>
      </w:r>
    </w:p>
    <w:p w14:paraId="4BF1FAD7" w14:textId="25525770" w:rsidR="00E90746" w:rsidRDefault="00E90746" w:rsidP="006751CE">
      <w:pPr>
        <w:pStyle w:val="Bullet"/>
        <w:rPr>
          <w:rFonts w:eastAsiaTheme="minorHAnsi"/>
        </w:rPr>
      </w:pPr>
      <w:r>
        <w:rPr>
          <w:rFonts w:eastAsiaTheme="minorHAnsi"/>
        </w:rPr>
        <w:t>The most relevant spatial area to be included in the empirical analysis is local authority since this allows for maximum exploitation</w:t>
      </w:r>
      <w:r w:rsidR="00F811CB">
        <w:rPr>
          <w:rFonts w:eastAsiaTheme="minorHAnsi"/>
        </w:rPr>
        <w:t xml:space="preserve"> of the available</w:t>
      </w:r>
      <w:r w:rsidR="00F811CB" w:rsidRPr="00F811CB">
        <w:rPr>
          <w:rFonts w:eastAsiaTheme="minorHAnsi"/>
        </w:rPr>
        <w:t xml:space="preserve"> </w:t>
      </w:r>
      <w:r w:rsidR="00F811CB">
        <w:rPr>
          <w:rFonts w:eastAsiaTheme="minorHAnsi"/>
        </w:rPr>
        <w:t>data</w:t>
      </w:r>
      <w:r>
        <w:rPr>
          <w:rFonts w:eastAsiaTheme="minorHAnsi"/>
        </w:rPr>
        <w:t>.</w:t>
      </w:r>
      <w:r w:rsidR="00A033C6">
        <w:rPr>
          <w:rFonts w:eastAsiaTheme="minorHAnsi"/>
        </w:rPr>
        <w:t xml:space="preserve"> </w:t>
      </w:r>
      <w:r>
        <w:rPr>
          <w:rFonts w:eastAsiaTheme="minorHAnsi"/>
        </w:rPr>
        <w:t xml:space="preserve">However, it is recognised that this has limitations for the study since some impacts may be felt at a spatial level </w:t>
      </w:r>
      <w:r w:rsidR="00F811CB">
        <w:rPr>
          <w:rFonts w:eastAsiaTheme="minorHAnsi"/>
        </w:rPr>
        <w:t>other</w:t>
      </w:r>
      <w:r>
        <w:rPr>
          <w:rFonts w:eastAsiaTheme="minorHAnsi"/>
        </w:rPr>
        <w:t xml:space="preserve"> than this.</w:t>
      </w:r>
    </w:p>
    <w:p w14:paraId="688E955A" w14:textId="0F14E3C0" w:rsidR="00E90746" w:rsidRDefault="001D35D6" w:rsidP="006751CE">
      <w:pPr>
        <w:pStyle w:val="Bullet"/>
        <w:rPr>
          <w:rFonts w:eastAsiaTheme="minorHAnsi"/>
        </w:rPr>
      </w:pPr>
      <w:r>
        <w:rPr>
          <w:rFonts w:eastAsiaTheme="minorHAnsi"/>
        </w:rPr>
        <w:t>As well as focusing on local economies as a whole, and following on from other existing studies, it was agreed that the empirical analysis would also examine the relationships between CS&amp;H assets</w:t>
      </w:r>
      <w:r w:rsidR="0024041C">
        <w:rPr>
          <w:rFonts w:eastAsiaTheme="minorHAnsi"/>
        </w:rPr>
        <w:t xml:space="preserve"> and </w:t>
      </w:r>
      <w:r>
        <w:rPr>
          <w:rFonts w:eastAsiaTheme="minorHAnsi"/>
        </w:rPr>
        <w:t>investment and economic outcomes in the creative industries.</w:t>
      </w:r>
      <w:r w:rsidR="00A033C6">
        <w:rPr>
          <w:rFonts w:eastAsiaTheme="minorHAnsi"/>
        </w:rPr>
        <w:t xml:space="preserve"> </w:t>
      </w:r>
      <w:r>
        <w:rPr>
          <w:rFonts w:eastAsiaTheme="minorHAnsi"/>
        </w:rPr>
        <w:t>This will extend the interest in and utility of the study.</w:t>
      </w:r>
    </w:p>
    <w:p w14:paraId="27D20C94" w14:textId="2F71F2C6" w:rsidR="001D35D6" w:rsidRPr="001D35D6" w:rsidRDefault="001D35D6" w:rsidP="001D35D6">
      <w:pPr>
        <w:rPr>
          <w:rFonts w:cs="Arial"/>
        </w:rPr>
      </w:pPr>
      <w:r w:rsidRPr="001D35D6">
        <w:rPr>
          <w:rFonts w:cs="Arial"/>
        </w:rPr>
        <w:t xml:space="preserve">The </w:t>
      </w:r>
      <w:r>
        <w:rPr>
          <w:rFonts w:cs="Arial"/>
        </w:rPr>
        <w:t>conclusions</w:t>
      </w:r>
      <w:r w:rsidRPr="001D35D6">
        <w:rPr>
          <w:rFonts w:cs="Arial"/>
        </w:rPr>
        <w:t xml:space="preserve"> outlined above have driven an empirical approach which is described, along with the results of the estimation and modelling, in the </w:t>
      </w:r>
      <w:r w:rsidR="0024041C">
        <w:rPr>
          <w:rFonts w:cs="Arial"/>
        </w:rPr>
        <w:t xml:space="preserve">following </w:t>
      </w:r>
      <w:r w:rsidRPr="001D35D6">
        <w:rPr>
          <w:rFonts w:cs="Arial"/>
        </w:rPr>
        <w:t>section.</w:t>
      </w:r>
    </w:p>
    <w:p w14:paraId="561F3653" w14:textId="77777777" w:rsidR="00E90746" w:rsidRPr="00514EFA" w:rsidRDefault="00E90746" w:rsidP="00775105">
      <w:pPr>
        <w:rPr>
          <w:rFonts w:eastAsiaTheme="minorHAnsi" w:cs="Arial"/>
        </w:rPr>
      </w:pPr>
    </w:p>
    <w:p w14:paraId="62D65B93" w14:textId="0DE5FBD7" w:rsidR="008E5D32" w:rsidRPr="00514EFA" w:rsidRDefault="005F2AED" w:rsidP="008E5D32">
      <w:pPr>
        <w:pStyle w:val="Heading1Numbered"/>
        <w:rPr>
          <w:rFonts w:cs="Arial"/>
        </w:rPr>
      </w:pPr>
      <w:bookmarkStart w:id="32" w:name="_Ref460315582"/>
      <w:bookmarkStart w:id="33" w:name="_Toc467569590"/>
      <w:r w:rsidRPr="00514EFA">
        <w:rPr>
          <w:rFonts w:cs="Arial"/>
        </w:rPr>
        <w:lastRenderedPageBreak/>
        <w:t>Empirical approach</w:t>
      </w:r>
      <w:bookmarkEnd w:id="32"/>
      <w:bookmarkEnd w:id="33"/>
      <w:r w:rsidRPr="00514EFA">
        <w:rPr>
          <w:rFonts w:cs="Arial"/>
        </w:rPr>
        <w:t xml:space="preserve"> </w:t>
      </w:r>
    </w:p>
    <w:p w14:paraId="5A6BBADB" w14:textId="62F1283F" w:rsidR="00E760C2" w:rsidRPr="0024041C" w:rsidRDefault="00E760C2" w:rsidP="0024041C">
      <w:pPr>
        <w:jc w:val="both"/>
        <w:rPr>
          <w:rFonts w:cs="Arial"/>
        </w:rPr>
      </w:pPr>
      <w:r w:rsidRPr="0024041C">
        <w:rPr>
          <w:rFonts w:cs="Arial"/>
        </w:rPr>
        <w:t xml:space="preserve">This section sets out the empirical approach taken in </w:t>
      </w:r>
      <w:r w:rsidR="00EA637A" w:rsidRPr="0024041C">
        <w:rPr>
          <w:rFonts w:cs="Arial"/>
        </w:rPr>
        <w:t>th</w:t>
      </w:r>
      <w:r w:rsidR="00EA637A">
        <w:rPr>
          <w:rFonts w:cs="Arial"/>
        </w:rPr>
        <w:t>e</w:t>
      </w:r>
      <w:r w:rsidR="00EA637A" w:rsidRPr="0024041C">
        <w:rPr>
          <w:rFonts w:cs="Arial"/>
        </w:rPr>
        <w:t xml:space="preserve"> </w:t>
      </w:r>
      <w:r w:rsidRPr="0024041C">
        <w:rPr>
          <w:rFonts w:cs="Arial"/>
        </w:rPr>
        <w:t>study.</w:t>
      </w:r>
      <w:r w:rsidR="00A033C6">
        <w:rPr>
          <w:rFonts w:cs="Arial"/>
        </w:rPr>
        <w:t xml:space="preserve"> </w:t>
      </w:r>
      <w:r w:rsidRPr="0024041C">
        <w:rPr>
          <w:rFonts w:cs="Arial"/>
        </w:rPr>
        <w:t>Our approach is highly exploratory, and we test a variety of relationships and models to clarify the effects of CS&amp;H assets and investment in terms of a number of potential economic impacts.</w:t>
      </w:r>
    </w:p>
    <w:p w14:paraId="71EC402B" w14:textId="77777777" w:rsidR="00E760C2" w:rsidRPr="00982C4F" w:rsidRDefault="00E760C2" w:rsidP="00E760C2">
      <w:pPr>
        <w:pStyle w:val="Heading2Numbered"/>
      </w:pPr>
      <w:bookmarkStart w:id="34" w:name="_Toc467569591"/>
      <w:r w:rsidRPr="00982C4F">
        <w:t>Empirical strategy</w:t>
      </w:r>
      <w:bookmarkEnd w:id="34"/>
    </w:p>
    <w:p w14:paraId="7CDE95F6" w14:textId="6DFA6D0F" w:rsidR="00E760C2" w:rsidRPr="009548FC" w:rsidRDefault="00E760C2" w:rsidP="00E760C2">
      <w:pPr>
        <w:jc w:val="both"/>
        <w:rPr>
          <w:rFonts w:cs="Arial"/>
        </w:rPr>
      </w:pPr>
      <w:r w:rsidRPr="009548FC">
        <w:rPr>
          <w:rFonts w:cs="Arial"/>
        </w:rPr>
        <w:t>Our empirical approach is informed by a review of the available literature, and the analytical methods used in existing studies. Although research on the location and productivity of firms and plants has been a major topic in economics since Marshall’s influential work in 1890, the research literature varies substantially in terms of modelling specifications, sampling characteristics and determinants. There is no consensus on key location factors or the best way to estimate their importance (Arzauzo-Carod et al, 2010), and p</w:t>
      </w:r>
      <w:r w:rsidRPr="009A43FB">
        <w:rPr>
          <w:rFonts w:cs="Arial"/>
        </w:rPr>
        <w:t>revious international studies have used a variety of approaches and indicators (variables) when trying t</w:t>
      </w:r>
      <w:r w:rsidRPr="00175220">
        <w:rPr>
          <w:rFonts w:cs="Arial"/>
        </w:rPr>
        <w:t xml:space="preserve">o answer similar questions to </w:t>
      </w:r>
      <w:r w:rsidR="00EA637A">
        <w:rPr>
          <w:rFonts w:cs="Arial"/>
        </w:rPr>
        <w:t>this study</w:t>
      </w:r>
      <w:r w:rsidRPr="00175220">
        <w:rPr>
          <w:rFonts w:cs="Arial"/>
        </w:rPr>
        <w:t>.</w:t>
      </w:r>
      <w:r w:rsidRPr="009548FC">
        <w:rPr>
          <w:rFonts w:cs="Arial"/>
        </w:rPr>
        <w:t xml:space="preserve"> </w:t>
      </w:r>
      <w:r w:rsidR="00FC61F2">
        <w:rPr>
          <w:rFonts w:cs="Arial"/>
        </w:rPr>
        <w:t>Some approaches take advantage of quasi-natural experiments</w:t>
      </w:r>
      <w:r w:rsidR="00DA47D0">
        <w:rPr>
          <w:rFonts w:cs="Arial"/>
        </w:rPr>
        <w:t>,</w:t>
      </w:r>
      <w:r w:rsidR="00182C4E">
        <w:rPr>
          <w:rFonts w:cs="Arial"/>
        </w:rPr>
        <w:t xml:space="preserve"> such as Falck et al’s</w:t>
      </w:r>
      <w:r w:rsidR="00EA637A">
        <w:rPr>
          <w:rFonts w:cs="Arial"/>
        </w:rPr>
        <w:t xml:space="preserve"> </w:t>
      </w:r>
      <w:r w:rsidR="00FC61F2">
        <w:rPr>
          <w:rFonts w:cs="Arial"/>
        </w:rPr>
        <w:t>study</w:t>
      </w:r>
      <w:r w:rsidR="00182C4E">
        <w:rPr>
          <w:rFonts w:cs="Arial"/>
        </w:rPr>
        <w:t xml:space="preserve"> (2011)</w:t>
      </w:r>
      <w:r w:rsidR="00FC61F2">
        <w:rPr>
          <w:rFonts w:cs="Arial"/>
        </w:rPr>
        <w:t xml:space="preserve"> into the impact of baroque opera houses built before 1800 on the </w:t>
      </w:r>
      <w:r w:rsidR="00FC61F2" w:rsidRPr="000F6B69">
        <w:rPr>
          <w:rFonts w:cs="Arial"/>
        </w:rPr>
        <w:t>spatial equilibrium share</w:t>
      </w:r>
      <w:r w:rsidR="00FC61F2">
        <w:rPr>
          <w:rFonts w:cs="Arial"/>
        </w:rPr>
        <w:t xml:space="preserve"> of high-human-capital employees. Others take a case study approach to consider the impact of cultural, sports or heritage assets or investments, such as Ahlfeldt and Kavetsos’ </w:t>
      </w:r>
      <w:r w:rsidR="00EA637A">
        <w:rPr>
          <w:rFonts w:cs="Arial"/>
        </w:rPr>
        <w:t xml:space="preserve">2014 </w:t>
      </w:r>
      <w:r w:rsidR="00FC61F2">
        <w:rPr>
          <w:rFonts w:cs="Arial"/>
        </w:rPr>
        <w:t>study into the effect of new sports stadia on property prices in London.</w:t>
      </w:r>
    </w:p>
    <w:p w14:paraId="022C03AB" w14:textId="2C2216C2" w:rsidR="00E760C2" w:rsidRPr="009548FC" w:rsidRDefault="00E760C2" w:rsidP="00E760C2">
      <w:pPr>
        <w:jc w:val="both"/>
        <w:rPr>
          <w:rFonts w:cs="Arial"/>
        </w:rPr>
      </w:pPr>
      <w:r w:rsidRPr="009A43FB">
        <w:rPr>
          <w:rFonts w:cs="Arial"/>
        </w:rPr>
        <w:t xml:space="preserve">This means that there are potentially hundreds of different combinations </w:t>
      </w:r>
      <w:r w:rsidRPr="00175220">
        <w:rPr>
          <w:rFonts w:cs="Arial"/>
        </w:rPr>
        <w:t xml:space="preserve">of variables </w:t>
      </w:r>
      <w:r w:rsidRPr="00873DB7">
        <w:rPr>
          <w:rFonts w:cs="Arial"/>
        </w:rPr>
        <w:t>and models which could be explored and tested in a regression analysis. The fact that there are always additional (or different) v</w:t>
      </w:r>
      <w:r w:rsidRPr="009548FC">
        <w:rPr>
          <w:rFonts w:cs="Arial"/>
        </w:rPr>
        <w:t xml:space="preserve">ariables </w:t>
      </w:r>
      <w:r w:rsidR="00EA637A">
        <w:rPr>
          <w:rFonts w:cs="Arial"/>
        </w:rPr>
        <w:t xml:space="preserve">which </w:t>
      </w:r>
      <w:r w:rsidRPr="009548FC">
        <w:rPr>
          <w:rFonts w:cs="Arial"/>
        </w:rPr>
        <w:t xml:space="preserve">could </w:t>
      </w:r>
      <w:r w:rsidR="00EA637A">
        <w:rPr>
          <w:rFonts w:cs="Arial"/>
        </w:rPr>
        <w:t xml:space="preserve">be </w:t>
      </w:r>
      <w:r w:rsidRPr="009548FC">
        <w:rPr>
          <w:rFonts w:cs="Arial"/>
        </w:rPr>
        <w:t>use</w:t>
      </w:r>
      <w:r w:rsidR="00EA637A">
        <w:rPr>
          <w:rFonts w:cs="Arial"/>
        </w:rPr>
        <w:t>d</w:t>
      </w:r>
      <w:r w:rsidRPr="009548FC">
        <w:rPr>
          <w:rFonts w:cs="Arial"/>
        </w:rPr>
        <w:t xml:space="preserve"> also means that </w:t>
      </w:r>
      <w:r w:rsidR="0024041C">
        <w:rPr>
          <w:rFonts w:cs="Arial"/>
        </w:rPr>
        <w:t>it</w:t>
      </w:r>
      <w:r w:rsidR="0024041C" w:rsidRPr="009548FC">
        <w:rPr>
          <w:rFonts w:cs="Arial"/>
        </w:rPr>
        <w:t xml:space="preserve"> </w:t>
      </w:r>
      <w:r w:rsidRPr="009548FC">
        <w:rPr>
          <w:rFonts w:cs="Arial"/>
        </w:rPr>
        <w:t xml:space="preserve">may not be </w:t>
      </w:r>
      <w:r w:rsidR="0024041C">
        <w:rPr>
          <w:rFonts w:cs="Arial"/>
        </w:rPr>
        <w:t>possible</w:t>
      </w:r>
      <w:r w:rsidR="0024041C" w:rsidRPr="009548FC">
        <w:rPr>
          <w:rFonts w:cs="Arial"/>
        </w:rPr>
        <w:t xml:space="preserve"> </w:t>
      </w:r>
      <w:r w:rsidRPr="009548FC">
        <w:rPr>
          <w:rFonts w:cs="Arial"/>
        </w:rPr>
        <w:t xml:space="preserve">to reach definitive conclusions. We acknowledge that this embedded complexity is one of the limits of this </w:t>
      </w:r>
      <w:r w:rsidR="0024041C">
        <w:rPr>
          <w:rFonts w:cs="Arial"/>
        </w:rPr>
        <w:t>study</w:t>
      </w:r>
      <w:r w:rsidRPr="009548FC">
        <w:rPr>
          <w:rFonts w:cs="Arial"/>
        </w:rPr>
        <w:t>, given the impossibility of testing absolutely all potential combinations</w:t>
      </w:r>
      <w:r w:rsidR="00EA637A">
        <w:rPr>
          <w:rFonts w:cs="Arial"/>
        </w:rPr>
        <w:t>,</w:t>
      </w:r>
      <w:r w:rsidRPr="009548FC">
        <w:rPr>
          <w:rFonts w:cs="Arial"/>
        </w:rPr>
        <w:t xml:space="preserve"> and the uncertainties entailed in obtaining different results when the combination of variables is altered. </w:t>
      </w:r>
    </w:p>
    <w:p w14:paraId="6D956FFD" w14:textId="41421A81" w:rsidR="00E760C2" w:rsidRPr="00175220" w:rsidRDefault="00E760C2" w:rsidP="00E760C2">
      <w:pPr>
        <w:jc w:val="both"/>
        <w:rPr>
          <w:rFonts w:cs="Arial"/>
        </w:rPr>
      </w:pPr>
      <w:r w:rsidRPr="009548FC">
        <w:rPr>
          <w:rFonts w:cs="Arial"/>
        </w:rPr>
        <w:t xml:space="preserve">Our general strategy has therefore been highly exploratory, controlling for as many determinants of outcomes as possible (given the data available to the study) to identify push/pull factors of location and economic success. These </w:t>
      </w:r>
      <w:r w:rsidR="009640D5">
        <w:rPr>
          <w:rFonts w:cs="Arial"/>
        </w:rPr>
        <w:t xml:space="preserve">factors </w:t>
      </w:r>
      <w:r w:rsidRPr="009548FC">
        <w:rPr>
          <w:rFonts w:cs="Arial"/>
        </w:rPr>
        <w:t>are drawn from multiple studies as identified in Arzauzo-Carod et al</w:t>
      </w:r>
      <w:r w:rsidR="005F4DE2">
        <w:rPr>
          <w:rFonts w:cs="Arial"/>
        </w:rPr>
        <w:t xml:space="preserve"> (2009)</w:t>
      </w:r>
      <w:r w:rsidRPr="009548FC">
        <w:rPr>
          <w:rFonts w:cs="Arial"/>
        </w:rPr>
        <w:t>, and Lazzeretti et al</w:t>
      </w:r>
      <w:r w:rsidR="005F4DE2">
        <w:rPr>
          <w:rFonts w:cs="Arial"/>
        </w:rPr>
        <w:t xml:space="preserve"> (2009)</w:t>
      </w:r>
      <w:r w:rsidRPr="009548FC">
        <w:rPr>
          <w:rFonts w:cs="Arial"/>
        </w:rPr>
        <w:t xml:space="preserve">, combining multidisciplinary approaches based on cultural economics, evolutionary geography </w:t>
      </w:r>
      <w:r w:rsidRPr="009A43FB">
        <w:rPr>
          <w:rFonts w:cs="Arial"/>
        </w:rPr>
        <w:t>and urban economics.</w:t>
      </w:r>
    </w:p>
    <w:p w14:paraId="18F637F3" w14:textId="77777777" w:rsidR="00E760C2" w:rsidRPr="00873DB7" w:rsidRDefault="00E760C2" w:rsidP="00E760C2">
      <w:pPr>
        <w:jc w:val="both"/>
        <w:rPr>
          <w:rFonts w:cs="Arial"/>
        </w:rPr>
      </w:pPr>
    </w:p>
    <w:tbl>
      <w:tblPr>
        <w:tblStyle w:val="TableGrid"/>
        <w:tblW w:w="0" w:type="auto"/>
        <w:tblInd w:w="1361" w:type="dxa"/>
        <w:tblLook w:val="04A0" w:firstRow="1" w:lastRow="0" w:firstColumn="1" w:lastColumn="0" w:noHBand="0" w:noVBand="1"/>
      </w:tblPr>
      <w:tblGrid>
        <w:gridCol w:w="8209"/>
      </w:tblGrid>
      <w:tr w:rsidR="00E760C2" w:rsidRPr="009548FC" w14:paraId="1D94A4A3" w14:textId="77777777" w:rsidTr="00753A00">
        <w:tc>
          <w:tcPr>
            <w:tcW w:w="9570" w:type="dxa"/>
          </w:tcPr>
          <w:p w14:paraId="38CD1336" w14:textId="77777777" w:rsidR="00E760C2" w:rsidRPr="00873DB7" w:rsidRDefault="00E760C2" w:rsidP="00E760C2">
            <w:pPr>
              <w:pStyle w:val="Heading3Numbered"/>
              <w:numPr>
                <w:ilvl w:val="0"/>
                <w:numId w:val="0"/>
              </w:numPr>
              <w:spacing w:before="240"/>
            </w:pPr>
            <w:r w:rsidRPr="00873DB7">
              <w:lastRenderedPageBreak/>
              <w:t>Determinants of industrial location</w:t>
            </w:r>
          </w:p>
          <w:p w14:paraId="2E66BF5B" w14:textId="25719E0C" w:rsidR="00E760C2" w:rsidRPr="009548FC" w:rsidRDefault="00E760C2" w:rsidP="004B498D">
            <w:pPr>
              <w:pStyle w:val="ListParagraph"/>
              <w:numPr>
                <w:ilvl w:val="0"/>
                <w:numId w:val="37"/>
              </w:numPr>
              <w:spacing w:before="120"/>
              <w:ind w:left="340" w:hanging="340"/>
              <w:contextualSpacing w:val="0"/>
              <w:rPr>
                <w:rFonts w:ascii="Arial" w:hAnsi="Arial" w:cs="Arial"/>
                <w:sz w:val="22"/>
                <w:szCs w:val="22"/>
              </w:rPr>
            </w:pPr>
            <w:r w:rsidRPr="009548FC">
              <w:rPr>
                <w:rFonts w:ascii="Arial" w:hAnsi="Arial" w:cs="Arial"/>
                <w:sz w:val="22"/>
                <w:szCs w:val="22"/>
              </w:rPr>
              <w:t>Agglomeration economies, advantages in costs or quality due to the spatial concentration of productive resources and actors. In particular</w:t>
            </w:r>
            <w:r w:rsidR="004B498D">
              <w:rPr>
                <w:rFonts w:ascii="Arial" w:hAnsi="Arial" w:cs="Arial"/>
                <w:sz w:val="22"/>
                <w:szCs w:val="22"/>
              </w:rPr>
              <w:t>,</w:t>
            </w:r>
            <w:r w:rsidRPr="009548FC">
              <w:rPr>
                <w:rFonts w:ascii="Arial" w:hAnsi="Arial" w:cs="Arial"/>
                <w:sz w:val="22"/>
                <w:szCs w:val="22"/>
              </w:rPr>
              <w:t xml:space="preserve"> these can be of two types:</w:t>
            </w:r>
          </w:p>
          <w:p w14:paraId="36C7DD80" w14:textId="77777777" w:rsidR="00E760C2" w:rsidRPr="009548FC" w:rsidRDefault="00E760C2" w:rsidP="004B498D">
            <w:pPr>
              <w:pStyle w:val="ListParagraph"/>
              <w:numPr>
                <w:ilvl w:val="1"/>
                <w:numId w:val="37"/>
              </w:numPr>
              <w:spacing w:before="120"/>
              <w:ind w:left="680" w:hanging="340"/>
              <w:contextualSpacing w:val="0"/>
              <w:rPr>
                <w:rFonts w:ascii="Arial" w:hAnsi="Arial" w:cs="Arial"/>
                <w:sz w:val="22"/>
                <w:szCs w:val="22"/>
              </w:rPr>
            </w:pPr>
            <w:r w:rsidRPr="009548FC">
              <w:rPr>
                <w:rFonts w:ascii="Arial" w:hAnsi="Arial" w:cs="Arial"/>
                <w:sz w:val="22"/>
                <w:szCs w:val="22"/>
              </w:rPr>
              <w:t>Urbanisation economies – concentration of industries in general in larger cities</w:t>
            </w:r>
          </w:p>
          <w:p w14:paraId="2C89505E" w14:textId="32CFEDEA" w:rsidR="00E760C2" w:rsidRPr="009548FC" w:rsidRDefault="00E760C2" w:rsidP="004B498D">
            <w:pPr>
              <w:pStyle w:val="ListParagraph"/>
              <w:numPr>
                <w:ilvl w:val="1"/>
                <w:numId w:val="37"/>
              </w:numPr>
              <w:spacing w:before="120"/>
              <w:ind w:left="680" w:hanging="340"/>
              <w:contextualSpacing w:val="0"/>
              <w:rPr>
                <w:rFonts w:ascii="Arial" w:hAnsi="Arial" w:cs="Arial"/>
                <w:sz w:val="22"/>
                <w:szCs w:val="22"/>
              </w:rPr>
            </w:pPr>
            <w:r w:rsidRPr="009548FC">
              <w:rPr>
                <w:rFonts w:ascii="Arial" w:hAnsi="Arial" w:cs="Arial"/>
                <w:sz w:val="22"/>
                <w:szCs w:val="22"/>
              </w:rPr>
              <w:t>Marshallian-sectoral economies – the concentration of firms of similar characteristics in particular localities, to benefit from local knowledge spillovers</w:t>
            </w:r>
          </w:p>
          <w:p w14:paraId="2ADCE9F6" w14:textId="77777777" w:rsidR="00E760C2" w:rsidRPr="009548FC" w:rsidRDefault="00E760C2" w:rsidP="004B498D">
            <w:pPr>
              <w:pStyle w:val="ListParagraph"/>
              <w:numPr>
                <w:ilvl w:val="0"/>
                <w:numId w:val="37"/>
              </w:numPr>
              <w:spacing w:before="120"/>
              <w:ind w:left="340" w:hanging="340"/>
              <w:contextualSpacing w:val="0"/>
              <w:rPr>
                <w:rFonts w:ascii="Arial" w:hAnsi="Arial" w:cs="Arial"/>
                <w:sz w:val="22"/>
                <w:szCs w:val="22"/>
              </w:rPr>
            </w:pPr>
            <w:r w:rsidRPr="009548FC">
              <w:rPr>
                <w:rFonts w:ascii="Arial" w:hAnsi="Arial" w:cs="Arial"/>
                <w:sz w:val="22"/>
                <w:szCs w:val="22"/>
              </w:rPr>
              <w:t>Local amenities and quality of life factors, including:</w:t>
            </w:r>
          </w:p>
          <w:p w14:paraId="7808449A" w14:textId="77777777" w:rsidR="00E760C2" w:rsidRPr="009548FC" w:rsidRDefault="00E760C2" w:rsidP="004B498D">
            <w:pPr>
              <w:pStyle w:val="ListParagraph"/>
              <w:numPr>
                <w:ilvl w:val="1"/>
                <w:numId w:val="37"/>
              </w:numPr>
              <w:spacing w:before="120"/>
              <w:ind w:left="680" w:hanging="340"/>
              <w:contextualSpacing w:val="0"/>
              <w:rPr>
                <w:rFonts w:ascii="Arial" w:hAnsi="Arial" w:cs="Arial"/>
                <w:sz w:val="22"/>
                <w:szCs w:val="22"/>
              </w:rPr>
            </w:pPr>
            <w:r w:rsidRPr="009548FC">
              <w:rPr>
                <w:rFonts w:ascii="Arial" w:hAnsi="Arial" w:cs="Arial"/>
                <w:b/>
                <w:sz w:val="22"/>
                <w:szCs w:val="22"/>
              </w:rPr>
              <w:t>Culture, arts and heritage of the area</w:t>
            </w:r>
            <w:r w:rsidRPr="009548FC">
              <w:rPr>
                <w:rFonts w:ascii="Arial" w:hAnsi="Arial" w:cs="Arial"/>
                <w:sz w:val="22"/>
                <w:szCs w:val="22"/>
              </w:rPr>
              <w:t>, including green spaces</w:t>
            </w:r>
          </w:p>
          <w:p w14:paraId="703CB7A9" w14:textId="77777777" w:rsidR="00E760C2" w:rsidRPr="009548FC" w:rsidRDefault="00E760C2" w:rsidP="004B498D">
            <w:pPr>
              <w:pStyle w:val="ListParagraph"/>
              <w:numPr>
                <w:ilvl w:val="1"/>
                <w:numId w:val="37"/>
              </w:numPr>
              <w:spacing w:before="120"/>
              <w:ind w:left="680" w:hanging="340"/>
              <w:contextualSpacing w:val="0"/>
              <w:rPr>
                <w:rFonts w:ascii="Arial" w:hAnsi="Arial" w:cs="Arial"/>
                <w:sz w:val="22"/>
                <w:szCs w:val="22"/>
              </w:rPr>
            </w:pPr>
            <w:r w:rsidRPr="009548FC">
              <w:rPr>
                <w:rFonts w:ascii="Arial" w:hAnsi="Arial" w:cs="Arial"/>
                <w:sz w:val="22"/>
                <w:szCs w:val="22"/>
              </w:rPr>
              <w:t>Life satisfaction in an area</w:t>
            </w:r>
          </w:p>
          <w:p w14:paraId="645EC800" w14:textId="77777777" w:rsidR="00E760C2" w:rsidRPr="009548FC" w:rsidRDefault="00E760C2" w:rsidP="004B498D">
            <w:pPr>
              <w:pStyle w:val="ListParagraph"/>
              <w:numPr>
                <w:ilvl w:val="0"/>
                <w:numId w:val="37"/>
              </w:numPr>
              <w:spacing w:before="120"/>
              <w:ind w:left="340" w:hanging="340"/>
              <w:contextualSpacing w:val="0"/>
              <w:rPr>
                <w:rFonts w:ascii="Arial" w:hAnsi="Arial" w:cs="Arial"/>
                <w:sz w:val="22"/>
                <w:szCs w:val="22"/>
              </w:rPr>
            </w:pPr>
            <w:r w:rsidRPr="009548FC">
              <w:rPr>
                <w:rFonts w:ascii="Arial" w:hAnsi="Arial" w:cs="Arial"/>
                <w:sz w:val="22"/>
                <w:szCs w:val="22"/>
              </w:rPr>
              <w:t>Transport and network infrastructures</w:t>
            </w:r>
          </w:p>
          <w:p w14:paraId="232BA0B6" w14:textId="77777777" w:rsidR="00E760C2" w:rsidRPr="009548FC" w:rsidRDefault="00E760C2" w:rsidP="004B498D">
            <w:pPr>
              <w:pStyle w:val="ListParagraph"/>
              <w:numPr>
                <w:ilvl w:val="0"/>
                <w:numId w:val="37"/>
              </w:numPr>
              <w:spacing w:before="120"/>
              <w:ind w:left="340" w:hanging="340"/>
              <w:contextualSpacing w:val="0"/>
              <w:rPr>
                <w:rFonts w:ascii="Arial" w:hAnsi="Arial" w:cs="Arial"/>
                <w:sz w:val="22"/>
                <w:szCs w:val="22"/>
              </w:rPr>
            </w:pPr>
            <w:r w:rsidRPr="009548FC">
              <w:rPr>
                <w:rFonts w:ascii="Arial" w:hAnsi="Arial" w:cs="Arial"/>
                <w:sz w:val="22"/>
                <w:szCs w:val="22"/>
              </w:rPr>
              <w:t>Human capital characteristics</w:t>
            </w:r>
          </w:p>
          <w:p w14:paraId="5BC1317E" w14:textId="77777777" w:rsidR="00E760C2" w:rsidRPr="009548FC" w:rsidRDefault="00E760C2" w:rsidP="00753A00">
            <w:pPr>
              <w:ind w:left="0"/>
              <w:jc w:val="both"/>
              <w:rPr>
                <w:rFonts w:cs="Arial"/>
              </w:rPr>
            </w:pPr>
          </w:p>
        </w:tc>
      </w:tr>
    </w:tbl>
    <w:p w14:paraId="6A7CD056" w14:textId="77777777" w:rsidR="00E760C2" w:rsidRPr="009548FC" w:rsidRDefault="00E760C2" w:rsidP="00E760C2">
      <w:pPr>
        <w:ind w:left="0"/>
        <w:jc w:val="both"/>
        <w:rPr>
          <w:rFonts w:cs="Arial"/>
        </w:rPr>
      </w:pPr>
    </w:p>
    <w:p w14:paraId="51516C40" w14:textId="4AED6DFE" w:rsidR="00E760C2" w:rsidRPr="00E760C2" w:rsidRDefault="00E760C2" w:rsidP="00E760C2">
      <w:pPr>
        <w:jc w:val="both"/>
        <w:rPr>
          <w:color w:val="000000"/>
        </w:rPr>
      </w:pPr>
      <w:r w:rsidRPr="009548FC">
        <w:rPr>
          <w:rFonts w:cs="Arial"/>
        </w:rPr>
        <w:t>While t</w:t>
      </w:r>
      <w:r w:rsidRPr="009548FC">
        <w:rPr>
          <w:color w:val="000000"/>
        </w:rPr>
        <w:t>here is some evidence that CS&amp;H assets and investment stimulate the economy and contribute to place-shaping, in practice existing econometric analysis</w:t>
      </w:r>
      <w:r w:rsidR="004B498D">
        <w:rPr>
          <w:color w:val="000000"/>
        </w:rPr>
        <w:t xml:space="preserve"> (</w:t>
      </w:r>
      <w:r w:rsidR="004B498D" w:rsidRPr="009548FC">
        <w:rPr>
          <w:rFonts w:cs="Arial"/>
        </w:rPr>
        <w:t xml:space="preserve">as section </w:t>
      </w:r>
      <w:r w:rsidR="004B498D" w:rsidRPr="009548FC">
        <w:rPr>
          <w:rFonts w:cs="Arial"/>
        </w:rPr>
        <w:fldChar w:fldCharType="begin"/>
      </w:r>
      <w:r w:rsidR="004B498D" w:rsidRPr="009548FC">
        <w:rPr>
          <w:rFonts w:cs="Arial"/>
        </w:rPr>
        <w:instrText xml:space="preserve"> REF _Ref457312487 \r \h  \* MERGEFORMAT </w:instrText>
      </w:r>
      <w:r w:rsidR="004B498D" w:rsidRPr="009548FC">
        <w:rPr>
          <w:rFonts w:cs="Arial"/>
        </w:rPr>
      </w:r>
      <w:r w:rsidR="004B498D" w:rsidRPr="009548FC">
        <w:rPr>
          <w:rFonts w:cs="Arial"/>
        </w:rPr>
        <w:fldChar w:fldCharType="separate"/>
      </w:r>
      <w:r w:rsidR="00F0636B">
        <w:rPr>
          <w:rFonts w:cs="Arial"/>
        </w:rPr>
        <w:t>2.3.2</w:t>
      </w:r>
      <w:r w:rsidR="004B498D" w:rsidRPr="009548FC">
        <w:rPr>
          <w:rFonts w:cs="Arial"/>
        </w:rPr>
        <w:fldChar w:fldCharType="end"/>
      </w:r>
      <w:r w:rsidR="004B498D" w:rsidRPr="009548FC">
        <w:rPr>
          <w:rFonts w:cs="Arial"/>
        </w:rPr>
        <w:t xml:space="preserve"> indicates</w:t>
      </w:r>
      <w:r w:rsidR="004B498D">
        <w:rPr>
          <w:rFonts w:cs="Arial"/>
        </w:rPr>
        <w:t>)</w:t>
      </w:r>
      <w:r w:rsidRPr="009548FC">
        <w:rPr>
          <w:color w:val="000000"/>
        </w:rPr>
        <w:t xml:space="preserve"> has tended to focus on the relationship between CS&amp;H assets</w:t>
      </w:r>
      <w:r w:rsidR="004B498D">
        <w:rPr>
          <w:color w:val="000000"/>
        </w:rPr>
        <w:t xml:space="preserve"> and </w:t>
      </w:r>
      <w:r w:rsidRPr="009548FC">
        <w:rPr>
          <w:color w:val="000000"/>
        </w:rPr>
        <w:t xml:space="preserve">investment </w:t>
      </w:r>
      <w:r w:rsidR="00555448" w:rsidRPr="009548FC">
        <w:rPr>
          <w:color w:val="000000"/>
        </w:rPr>
        <w:t xml:space="preserve">and </w:t>
      </w:r>
      <w:r w:rsidR="00555448">
        <w:rPr>
          <w:color w:val="000000"/>
        </w:rPr>
        <w:t xml:space="preserve">the presence and strength of the </w:t>
      </w:r>
      <w:r w:rsidR="00555448" w:rsidRPr="009548FC">
        <w:rPr>
          <w:color w:val="000000"/>
        </w:rPr>
        <w:t>creative industries</w:t>
      </w:r>
      <w:r w:rsidR="00555448">
        <w:rPr>
          <w:color w:val="000000"/>
        </w:rPr>
        <w:t xml:space="preserve">.  </w:t>
      </w:r>
      <w:r w:rsidRPr="009548FC">
        <w:rPr>
          <w:color w:val="000000"/>
        </w:rPr>
        <w:t xml:space="preserve">Our approach has therefore been to expand the models used in previous research, in order to examine the relationship between CS&amp;H assets and investment and </w:t>
      </w:r>
      <w:r w:rsidRPr="009548FC">
        <w:rPr>
          <w:i/>
          <w:color w:val="000000"/>
        </w:rPr>
        <w:t>all</w:t>
      </w:r>
      <w:r w:rsidRPr="009548FC">
        <w:rPr>
          <w:color w:val="000000"/>
        </w:rPr>
        <w:t xml:space="preserve"> firms. First we </w:t>
      </w:r>
      <w:r w:rsidR="004B498D">
        <w:rPr>
          <w:color w:val="000000"/>
        </w:rPr>
        <w:t>tested</w:t>
      </w:r>
      <w:r w:rsidR="004B498D" w:rsidRPr="009548FC">
        <w:rPr>
          <w:color w:val="000000"/>
        </w:rPr>
        <w:t xml:space="preserve"> </w:t>
      </w:r>
      <w:r w:rsidRPr="009548FC">
        <w:rPr>
          <w:color w:val="000000"/>
        </w:rPr>
        <w:t>whether the relationship between CSH assets and investment and the creative industries found in other studies holds for the UK</w:t>
      </w:r>
      <w:r w:rsidR="004B498D">
        <w:rPr>
          <w:color w:val="000000"/>
        </w:rPr>
        <w:t>. W</w:t>
      </w:r>
      <w:r w:rsidRPr="009548FC">
        <w:rPr>
          <w:color w:val="000000"/>
        </w:rPr>
        <w:t>e then looked at the relationship between CS</w:t>
      </w:r>
      <w:r w:rsidR="004B498D">
        <w:rPr>
          <w:color w:val="000000"/>
        </w:rPr>
        <w:t>&amp;</w:t>
      </w:r>
      <w:r w:rsidRPr="009548FC">
        <w:rPr>
          <w:color w:val="000000"/>
        </w:rPr>
        <w:t>H assets and investment and the wider economy, which was the main focus of this study.</w:t>
      </w:r>
    </w:p>
    <w:p w14:paraId="3BB2BA80" w14:textId="0C1487C5" w:rsidR="00E760C2" w:rsidRPr="009548FC" w:rsidRDefault="00E760C2" w:rsidP="00E760C2">
      <w:pPr>
        <w:jc w:val="both"/>
        <w:rPr>
          <w:rFonts w:cs="Arial"/>
        </w:rPr>
      </w:pPr>
      <w:r w:rsidRPr="009548FC">
        <w:rPr>
          <w:rFonts w:cs="Arial"/>
        </w:rPr>
        <w:t xml:space="preserve">This means that our empirical work is focused on understanding, through the application of specific econometric models, whether evidence can be detected of a </w:t>
      </w:r>
      <w:r w:rsidR="004B498D">
        <w:rPr>
          <w:rFonts w:cs="Arial"/>
        </w:rPr>
        <w:t>relationship</w:t>
      </w:r>
      <w:r w:rsidR="004B498D" w:rsidRPr="009548FC">
        <w:rPr>
          <w:rFonts w:cs="Arial"/>
        </w:rPr>
        <w:t xml:space="preserve"> </w:t>
      </w:r>
      <w:r w:rsidRPr="009548FC">
        <w:rPr>
          <w:rFonts w:cs="Arial"/>
        </w:rPr>
        <w:t>between CS&amp;H assets and investment and creative industries at a local level, as reported in the research literature.</w:t>
      </w:r>
      <w:r w:rsidR="00A033C6">
        <w:rPr>
          <w:rFonts w:cs="Arial"/>
        </w:rPr>
        <w:t xml:space="preserve"> </w:t>
      </w:r>
      <w:r w:rsidRPr="009548FC">
        <w:rPr>
          <w:rFonts w:cs="Arial"/>
        </w:rPr>
        <w:t>We then expand this analysis to consider whether CS&amp;H assets and investment contribute to more general sustained economic productivity</w:t>
      </w:r>
      <w:r w:rsidRPr="000D2FF7">
        <w:rPr>
          <w:rFonts w:cs="Arial"/>
        </w:rPr>
        <w:t>; in doing so w</w:t>
      </w:r>
      <w:r w:rsidRPr="009548FC">
        <w:rPr>
          <w:rFonts w:cs="Arial"/>
        </w:rPr>
        <w:t xml:space="preserve">e look at all firms, </w:t>
      </w:r>
      <w:r w:rsidRPr="000D2FF7">
        <w:rPr>
          <w:rFonts w:cs="Arial"/>
        </w:rPr>
        <w:t>as well as</w:t>
      </w:r>
      <w:r w:rsidRPr="009548FC">
        <w:rPr>
          <w:rFonts w:cs="Arial"/>
        </w:rPr>
        <w:t xml:space="preserve"> </w:t>
      </w:r>
      <w:r w:rsidR="004B498D">
        <w:rPr>
          <w:rFonts w:cs="Arial"/>
        </w:rPr>
        <w:t xml:space="preserve">other </w:t>
      </w:r>
      <w:r w:rsidRPr="009548FC">
        <w:rPr>
          <w:rFonts w:cs="Arial"/>
        </w:rPr>
        <w:t>specific industries</w:t>
      </w:r>
      <w:r w:rsidRPr="000D2FF7">
        <w:rPr>
          <w:rFonts w:cs="Arial"/>
        </w:rPr>
        <w:t xml:space="preserve"> including </w:t>
      </w:r>
      <w:r w:rsidRPr="009548FC">
        <w:rPr>
          <w:rFonts w:cs="Arial"/>
        </w:rPr>
        <w:t xml:space="preserve">the </w:t>
      </w:r>
      <w:r w:rsidRPr="000D2FF7">
        <w:rPr>
          <w:rFonts w:cs="Arial"/>
        </w:rPr>
        <w:t>knowledge economy</w:t>
      </w:r>
      <w:r w:rsidRPr="009548FC">
        <w:rPr>
          <w:rFonts w:cs="Arial"/>
        </w:rPr>
        <w:t xml:space="preserve">, </w:t>
      </w:r>
      <w:r w:rsidRPr="000D2FF7">
        <w:rPr>
          <w:rFonts w:cs="Arial"/>
        </w:rPr>
        <w:t>the tourism sector and professional and business services</w:t>
      </w:r>
      <w:r w:rsidRPr="009548FC">
        <w:rPr>
          <w:rFonts w:cs="Arial"/>
        </w:rPr>
        <w:t>.</w:t>
      </w:r>
    </w:p>
    <w:p w14:paraId="4737A998" w14:textId="0AA94CE3" w:rsidR="00A033C6" w:rsidRDefault="00A033C6">
      <w:pPr>
        <w:spacing w:before="0"/>
        <w:ind w:left="0"/>
        <w:rPr>
          <w:rFonts w:cs="Arial"/>
        </w:rPr>
      </w:pPr>
    </w:p>
    <w:p w14:paraId="52A9A5E1" w14:textId="35DBAAE3" w:rsidR="00E760C2" w:rsidRPr="009A43FB" w:rsidRDefault="00E760C2" w:rsidP="00E760C2">
      <w:pPr>
        <w:rPr>
          <w:rFonts w:cs="Arial"/>
        </w:rPr>
      </w:pPr>
      <w:r w:rsidRPr="009A43FB">
        <w:rPr>
          <w:rFonts w:cs="Arial"/>
        </w:rPr>
        <w:t>In summary, our research questions are as follows:</w:t>
      </w:r>
    </w:p>
    <w:p w14:paraId="514D795C" w14:textId="77777777" w:rsidR="00E760C2" w:rsidRPr="00873DB7" w:rsidRDefault="00E760C2" w:rsidP="006751CE">
      <w:pPr>
        <w:pStyle w:val="Bullet"/>
      </w:pPr>
      <w:r w:rsidRPr="00873DB7">
        <w:t>Do CS&amp;H assets and/or investment influence the location and economic success of creative industries?</w:t>
      </w:r>
    </w:p>
    <w:p w14:paraId="2435A959" w14:textId="77777777" w:rsidR="00E760C2" w:rsidRDefault="00E760C2" w:rsidP="006751CE">
      <w:pPr>
        <w:pStyle w:val="Bullet"/>
      </w:pPr>
      <w:r w:rsidRPr="009548FC">
        <w:t xml:space="preserve">More generally, do CS&amp;H assets and/or investment influence the location of other industries and the local economic performance of an area? </w:t>
      </w:r>
    </w:p>
    <w:p w14:paraId="4AA31E11" w14:textId="77777777" w:rsidR="00555448" w:rsidRPr="009548FC" w:rsidRDefault="00555448" w:rsidP="00555448">
      <w:pPr>
        <w:pStyle w:val="Bullet"/>
        <w:numPr>
          <w:ilvl w:val="0"/>
          <w:numId w:val="0"/>
        </w:numPr>
        <w:ind w:left="2041" w:hanging="340"/>
      </w:pPr>
    </w:p>
    <w:p w14:paraId="5E1259E0" w14:textId="77777777" w:rsidR="00E760C2" w:rsidRPr="00175220" w:rsidRDefault="00E760C2" w:rsidP="00E760C2">
      <w:pPr>
        <w:pStyle w:val="Heading3Numbered"/>
      </w:pPr>
      <w:bookmarkStart w:id="35" w:name="_Toc467569592"/>
      <w:r w:rsidRPr="00175220">
        <w:lastRenderedPageBreak/>
        <w:t>Model specifications</w:t>
      </w:r>
      <w:bookmarkEnd w:id="35"/>
    </w:p>
    <w:p w14:paraId="010EC444" w14:textId="63EACF3A" w:rsidR="00E760C2" w:rsidRPr="009548FC" w:rsidRDefault="00E760C2" w:rsidP="00E760C2">
      <w:pPr>
        <w:rPr>
          <w:rFonts w:cs="Arial"/>
        </w:rPr>
      </w:pPr>
      <w:r w:rsidRPr="00873DB7">
        <w:rPr>
          <w:rFonts w:cs="Arial"/>
        </w:rPr>
        <w:t xml:space="preserve">For our initial model (concentration of </w:t>
      </w:r>
      <w:r w:rsidRPr="009548FC">
        <w:rPr>
          <w:rFonts w:cs="Arial"/>
        </w:rPr>
        <w:t>industries), we follow Lazzeretti et al (2011), in specifying an exponential distribution for the location of industries:</w:t>
      </w:r>
    </w:p>
    <w:p w14:paraId="2E8C08AC" w14:textId="7BA0E79B" w:rsidR="00E760C2" w:rsidRPr="00175220" w:rsidRDefault="00E760C2" w:rsidP="00E760C2">
      <w:pPr>
        <w:tabs>
          <w:tab w:val="right" w:pos="9356"/>
        </w:tabs>
        <w:ind w:left="720" w:firstLine="720"/>
        <w:rPr>
          <w:rFonts w:cs="Arial"/>
        </w:rPr>
      </w:pPr>
      <m:oMath>
        <m:r>
          <w:rPr>
            <w:rFonts w:ascii="Cambria Math" w:hAnsi="Cambria Math" w:cs="Arial"/>
          </w:rPr>
          <m:t>Y=a</m:t>
        </m:r>
        <m:sSubSup>
          <m:sSubSupPr>
            <m:ctrlPr>
              <w:rPr>
                <w:rFonts w:ascii="Cambria Math" w:hAnsi="Cambria Math" w:cs="Arial"/>
                <w:i/>
                <w:szCs w:val="22"/>
              </w:rPr>
            </m:ctrlPr>
          </m:sSubSupPr>
          <m:e>
            <m:r>
              <w:rPr>
                <w:rFonts w:ascii="Cambria Math" w:hAnsi="Cambria Math" w:cs="Arial"/>
              </w:rPr>
              <m:t>CSH</m:t>
            </m:r>
          </m:e>
          <m:sub>
            <m:r>
              <w:rPr>
                <w:rFonts w:ascii="Cambria Math" w:hAnsi="Cambria Math" w:cs="Arial"/>
              </w:rPr>
              <m:t>i</m:t>
            </m:r>
          </m:sub>
          <m:sup>
            <m:sSub>
              <m:sSubPr>
                <m:ctrlPr>
                  <w:rPr>
                    <w:rFonts w:ascii="Cambria Math" w:hAnsi="Cambria Math" w:cs="Arial"/>
                    <w:i/>
                    <w:szCs w:val="22"/>
                  </w:rPr>
                </m:ctrlPr>
              </m:sSubPr>
              <m:e>
                <m:r>
                  <w:rPr>
                    <w:rFonts w:ascii="Cambria Math" w:hAnsi="Cambria Math" w:cs="Arial"/>
                  </w:rPr>
                  <m:t>β</m:t>
                </m:r>
              </m:e>
              <m:sub>
                <m:r>
                  <w:rPr>
                    <w:rFonts w:ascii="Cambria Math" w:hAnsi="Cambria Math" w:cs="Arial"/>
                  </w:rPr>
                  <m:t>1</m:t>
                </m:r>
              </m:sub>
            </m:sSub>
          </m:sup>
        </m:sSubSup>
        <m:sSubSup>
          <m:sSubSupPr>
            <m:ctrlPr>
              <w:rPr>
                <w:rFonts w:ascii="Cambria Math" w:hAnsi="Cambria Math" w:cs="Arial"/>
                <w:i/>
                <w:szCs w:val="22"/>
              </w:rPr>
            </m:ctrlPr>
          </m:sSubSupPr>
          <m:e>
            <m:r>
              <w:rPr>
                <w:rFonts w:ascii="Cambria Math" w:hAnsi="Cambria Math" w:cs="Arial"/>
              </w:rPr>
              <m:t>Q</m:t>
            </m:r>
          </m:e>
          <m:sub>
            <m:r>
              <w:rPr>
                <w:rFonts w:ascii="Cambria Math" w:hAnsi="Cambria Math" w:cs="Arial"/>
              </w:rPr>
              <m:t>i</m:t>
            </m:r>
          </m:sub>
          <m:sup>
            <m:sSub>
              <m:sSubPr>
                <m:ctrlPr>
                  <w:rPr>
                    <w:rFonts w:ascii="Cambria Math" w:hAnsi="Cambria Math" w:cs="Arial"/>
                    <w:i/>
                    <w:szCs w:val="22"/>
                  </w:rPr>
                </m:ctrlPr>
              </m:sSubPr>
              <m:e>
                <m:r>
                  <w:rPr>
                    <w:rFonts w:ascii="Cambria Math" w:hAnsi="Cambria Math" w:cs="Arial"/>
                  </w:rPr>
                  <m:t>β</m:t>
                </m:r>
              </m:e>
              <m:sub>
                <m:r>
                  <w:rPr>
                    <w:rFonts w:ascii="Cambria Math" w:hAnsi="Cambria Math" w:cs="Arial"/>
                  </w:rPr>
                  <m:t>2</m:t>
                </m:r>
              </m:sub>
            </m:sSub>
          </m:sup>
        </m:sSubSup>
      </m:oMath>
      <w:r w:rsidRPr="009548FC">
        <w:rPr>
          <w:rFonts w:eastAsiaTheme="minorEastAsia" w:cs="Arial"/>
        </w:rPr>
        <w:tab/>
      </w:r>
      <w:r w:rsidRPr="009A43FB">
        <w:rPr>
          <w:rFonts w:eastAsiaTheme="minorEastAsia" w:cs="Arial"/>
          <w:b/>
        </w:rPr>
        <w:t>(</w:t>
      </w:r>
      <w:r w:rsidRPr="00175220">
        <w:rPr>
          <w:rFonts w:eastAsiaTheme="minorEastAsia" w:cs="Arial"/>
          <w:b/>
        </w:rPr>
        <w:t>equation 1)</w:t>
      </w:r>
    </w:p>
    <w:p w14:paraId="4D356927" w14:textId="77777777" w:rsidR="00E760C2" w:rsidRPr="00873DB7" w:rsidRDefault="00E760C2" w:rsidP="00E760C2">
      <w:pPr>
        <w:rPr>
          <w:rFonts w:cs="Arial"/>
        </w:rPr>
      </w:pPr>
      <w:r w:rsidRPr="00873DB7">
        <w:rPr>
          <w:rFonts w:cs="Arial"/>
        </w:rPr>
        <w:t>Where:</w:t>
      </w:r>
    </w:p>
    <w:p w14:paraId="150FEB21" w14:textId="66E21FBD" w:rsidR="00E760C2" w:rsidRPr="009548FC" w:rsidRDefault="00E760C2" w:rsidP="006751CE">
      <w:pPr>
        <w:pStyle w:val="Bullet"/>
      </w:pPr>
      <w:r w:rsidRPr="009548FC">
        <w:t>Y</w:t>
      </w:r>
      <w:r w:rsidRPr="009548FC">
        <w:rPr>
          <w:vertAlign w:val="subscript"/>
        </w:rPr>
        <w:t>i</w:t>
      </w:r>
      <w:r w:rsidRPr="009548FC">
        <w:t xml:space="preserve"> is the measure of local </w:t>
      </w:r>
      <w:r w:rsidR="008F3611" w:rsidRPr="009548FC">
        <w:t>econom</w:t>
      </w:r>
      <w:r w:rsidR="008F3611">
        <w:t>ic performance</w:t>
      </w:r>
      <w:r w:rsidR="008F3611" w:rsidRPr="009548FC">
        <w:t xml:space="preserve"> </w:t>
      </w:r>
      <w:r w:rsidRPr="009548FC">
        <w:t xml:space="preserve">in local authority </w:t>
      </w:r>
      <w:r w:rsidRPr="009548FC">
        <w:rPr>
          <w:i/>
        </w:rPr>
        <w:t>i</w:t>
      </w:r>
    </w:p>
    <w:p w14:paraId="1EBC06A4" w14:textId="77777777" w:rsidR="00E760C2" w:rsidRPr="009548FC" w:rsidRDefault="00E760C2" w:rsidP="006751CE">
      <w:pPr>
        <w:pStyle w:val="Bullet"/>
      </w:pPr>
      <w:r w:rsidRPr="009548FC">
        <w:t>CSH</w:t>
      </w:r>
      <w:r w:rsidRPr="009548FC">
        <w:rPr>
          <w:vertAlign w:val="subscript"/>
        </w:rPr>
        <w:t xml:space="preserve">i </w:t>
      </w:r>
      <w:r w:rsidRPr="009548FC">
        <w:t>is a vector containing measures of culture, sport and heritage assets and investment in local authority</w:t>
      </w:r>
      <w:r w:rsidRPr="006751CE">
        <w:rPr>
          <w:i/>
        </w:rPr>
        <w:t xml:space="preserve"> i</w:t>
      </w:r>
    </w:p>
    <w:p w14:paraId="2E577727" w14:textId="77777777" w:rsidR="00E760C2" w:rsidRPr="009548FC" w:rsidRDefault="00E760C2" w:rsidP="006751CE">
      <w:pPr>
        <w:pStyle w:val="Bullet"/>
      </w:pPr>
      <w:r w:rsidRPr="009548FC">
        <w:t>Q is a vector of additional push/pull factors in the local authority as described above – note that these vary depending on availability of data in the cross-sectional and panel models</w:t>
      </w:r>
    </w:p>
    <w:p w14:paraId="6C82E822" w14:textId="77777777" w:rsidR="00E760C2" w:rsidRPr="009548FC" w:rsidRDefault="00E760C2" w:rsidP="006751CE">
      <w:pPr>
        <w:pStyle w:val="Bullet"/>
      </w:pPr>
      <w:r w:rsidRPr="009548FC">
        <w:rPr>
          <w:i/>
        </w:rPr>
        <w:t>a</w:t>
      </w:r>
      <w:r w:rsidRPr="009548FC">
        <w:t xml:space="preserve"> is a constant</w:t>
      </w:r>
    </w:p>
    <w:p w14:paraId="75105FCD" w14:textId="77777777" w:rsidR="00E760C2" w:rsidRPr="009548FC" w:rsidRDefault="00E760C2" w:rsidP="006751CE">
      <w:pPr>
        <w:pStyle w:val="Bullet"/>
      </w:pPr>
      <w:r w:rsidRPr="009548FC">
        <w:rPr>
          <w:i/>
        </w:rPr>
        <w:t>β</w:t>
      </w:r>
      <w:r w:rsidRPr="009548FC">
        <w:rPr>
          <w:i/>
          <w:vertAlign w:val="subscript"/>
        </w:rPr>
        <w:t>i</w:t>
      </w:r>
      <w:r w:rsidRPr="009548FC">
        <w:rPr>
          <w:vertAlign w:val="subscript"/>
        </w:rPr>
        <w:t xml:space="preserve"> </w:t>
      </w:r>
      <w:r w:rsidRPr="009548FC">
        <w:t>are the parameters to be estimated</w:t>
      </w:r>
    </w:p>
    <w:p w14:paraId="10383AA1" w14:textId="77777777" w:rsidR="00E760C2" w:rsidRPr="009548FC" w:rsidRDefault="00E760C2" w:rsidP="00E760C2">
      <w:pPr>
        <w:rPr>
          <w:rFonts w:cs="Arial"/>
        </w:rPr>
      </w:pPr>
      <w:r w:rsidRPr="009548FC">
        <w:rPr>
          <w:rFonts w:cs="Arial"/>
        </w:rPr>
        <w:t>This functional form can be linearized using logarithms to give the following model, where estimated parameters can be interpreted as elasticities:</w:t>
      </w:r>
    </w:p>
    <w:p w14:paraId="582DEF67" w14:textId="5063E249" w:rsidR="00E760C2" w:rsidRPr="00E760C2" w:rsidRDefault="003D0350" w:rsidP="00E760C2">
      <w:pPr>
        <w:tabs>
          <w:tab w:val="right" w:pos="9356"/>
        </w:tabs>
        <w:ind w:left="720" w:firstLine="720"/>
        <w:rPr>
          <w:rFonts w:ascii="Cambria Math" w:hAnsi="Cambria Math" w:cs="Arial"/>
          <w:i/>
        </w:rPr>
      </w:pPr>
      <m:oMath>
        <m:func>
          <m:funcPr>
            <m:ctrlPr>
              <w:rPr>
                <w:rFonts w:ascii="Cambria Math" w:hAnsi="Cambria Math" w:cs="Arial"/>
                <w:i/>
              </w:rPr>
            </m:ctrlPr>
          </m:funcPr>
          <m:fName>
            <m:r>
              <w:rPr>
                <w:rFonts w:ascii="Cambria Math" w:hAnsi="Cambria Math" w:cs="Arial"/>
              </w:rPr>
              <m:t>ln</m:t>
            </m:r>
          </m:fName>
          <m:e>
            <m:d>
              <m:dPr>
                <m:ctrlPr>
                  <w:rPr>
                    <w:rFonts w:ascii="Cambria Math" w:hAnsi="Cambria Math" w:cs="Arial"/>
                    <w:i/>
                  </w:rPr>
                </m:ctrlPr>
              </m:dPr>
              <m:e>
                <m:r>
                  <w:rPr>
                    <w:rFonts w:ascii="Cambria Math" w:hAnsi="Cambria Math" w:cs="Arial"/>
                  </w:rPr>
                  <m:t>Yi</m:t>
                </m:r>
              </m:e>
            </m:d>
          </m:e>
        </m:func>
        <m:r>
          <w:rPr>
            <w:rFonts w:ascii="Cambria Math" w:hAnsi="Cambria Math" w:cs="Arial"/>
          </w:rPr>
          <m:t xml:space="preserve">=a+ </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ln⁡(</m:t>
        </m:r>
        <m:sSub>
          <m:sSubPr>
            <m:ctrlPr>
              <w:rPr>
                <w:rFonts w:ascii="Cambria Math" w:hAnsi="Cambria Math" w:cs="Arial"/>
                <w:i/>
              </w:rPr>
            </m:ctrlPr>
          </m:sSubPr>
          <m:e>
            <m:r>
              <w:rPr>
                <w:rFonts w:ascii="Cambria Math" w:hAnsi="Cambria Math" w:cs="Arial"/>
              </w:rPr>
              <m:t>CSH</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r>
              <w:rPr>
                <w:rFonts w:ascii="Cambria Math" w:hAnsi="Cambria Math" w:cs="Arial"/>
              </w:rPr>
              <m:t>ln⁡( Q</m:t>
            </m:r>
          </m:e>
          <m:sub>
            <m:r>
              <w:rPr>
                <w:rFonts w:ascii="Cambria Math" w:hAnsi="Cambria Math" w:cs="Arial"/>
              </w:rPr>
              <m:t>i</m:t>
            </m:r>
          </m:sub>
        </m:sSub>
        <m:r>
          <w:rPr>
            <w:rFonts w:ascii="Cambria Math" w:hAnsi="Cambria Math" w:cs="Arial"/>
          </w:rPr>
          <m:t>)+ ϵ</m:t>
        </m:r>
      </m:oMath>
      <w:r w:rsidR="00E760C2" w:rsidRPr="00E760C2">
        <w:rPr>
          <w:rFonts w:ascii="Cambria Math" w:hAnsi="Cambria Math" w:cs="Arial"/>
          <w:i/>
        </w:rPr>
        <w:tab/>
      </w:r>
      <w:r w:rsidR="00E760C2" w:rsidRPr="009548FC">
        <w:rPr>
          <w:rFonts w:eastAsiaTheme="minorEastAsia" w:cs="Arial"/>
          <w:b/>
        </w:rPr>
        <w:t xml:space="preserve">(equation </w:t>
      </w:r>
      <w:r w:rsidR="00E760C2" w:rsidRPr="009A43FB">
        <w:rPr>
          <w:rFonts w:eastAsiaTheme="minorEastAsia" w:cs="Arial"/>
          <w:b/>
        </w:rPr>
        <w:t>2)</w:t>
      </w:r>
    </w:p>
    <w:p w14:paraId="7546361B" w14:textId="77777777" w:rsidR="00E760C2" w:rsidRPr="009A43FB" w:rsidRDefault="00E760C2" w:rsidP="00E760C2">
      <w:pPr>
        <w:rPr>
          <w:rFonts w:eastAsiaTheme="minorEastAsia" w:cs="Arial"/>
        </w:rPr>
      </w:pPr>
      <w:r w:rsidRPr="009548FC">
        <w:rPr>
          <w:rFonts w:cs="Arial"/>
        </w:rPr>
        <w:t xml:space="preserve">where </w:t>
      </w:r>
      <m:oMath>
        <m:r>
          <w:rPr>
            <w:rFonts w:ascii="Cambria Math" w:hAnsi="Cambria Math" w:cs="Arial"/>
          </w:rPr>
          <m:t>ϵ</m:t>
        </m:r>
      </m:oMath>
      <w:r w:rsidRPr="009A43FB">
        <w:rPr>
          <w:rFonts w:eastAsiaTheme="minorEastAsia" w:cs="Arial"/>
        </w:rPr>
        <w:t xml:space="preserve"> is an error term.</w:t>
      </w:r>
    </w:p>
    <w:p w14:paraId="21969508" w14:textId="77777777" w:rsidR="00E760C2" w:rsidRPr="009548FC" w:rsidRDefault="00E760C2" w:rsidP="00E760C2">
      <w:pPr>
        <w:rPr>
          <w:rFonts w:eastAsiaTheme="minorEastAsia" w:cs="Arial"/>
          <w:b/>
        </w:rPr>
      </w:pPr>
      <w:r w:rsidRPr="00873DB7">
        <w:rPr>
          <w:rFonts w:eastAsiaTheme="minorEastAsia" w:cs="Arial"/>
        </w:rPr>
        <w:t>Note that this model was estimated for both cross-s</w:t>
      </w:r>
      <w:r w:rsidRPr="009548FC">
        <w:rPr>
          <w:rFonts w:eastAsiaTheme="minorEastAsia" w:cs="Arial"/>
        </w:rPr>
        <w:t>ectional and panel models.</w:t>
      </w:r>
      <w:r w:rsidRPr="009548FC">
        <w:rPr>
          <w:rFonts w:eastAsiaTheme="minorEastAsia" w:cs="Arial"/>
          <w:b/>
        </w:rPr>
        <w:t xml:space="preserve"> </w:t>
      </w:r>
    </w:p>
    <w:p w14:paraId="28E02B0D" w14:textId="77777777" w:rsidR="00E760C2" w:rsidRPr="009548FC" w:rsidRDefault="00E760C2" w:rsidP="00E760C2">
      <w:pPr>
        <w:rPr>
          <w:rFonts w:eastAsiaTheme="minorEastAsia" w:cs="Arial"/>
        </w:rPr>
      </w:pPr>
      <w:r w:rsidRPr="009548FC">
        <w:rPr>
          <w:rFonts w:eastAsiaTheme="minorEastAsia" w:cs="Arial"/>
        </w:rPr>
        <w:t>We use different definitions and permutations of local economic performance, and run several different base models as follows:</w:t>
      </w:r>
    </w:p>
    <w:p w14:paraId="3AE04EB7" w14:textId="77777777" w:rsidR="00E760C2" w:rsidRPr="00982C4F" w:rsidRDefault="00E760C2" w:rsidP="006751CE">
      <w:pPr>
        <w:pStyle w:val="ListParagraph"/>
        <w:ind w:left="1701"/>
        <w:rPr>
          <w:rFonts w:eastAsiaTheme="minorEastAsia" w:cs="Arial"/>
        </w:rPr>
      </w:pPr>
    </w:p>
    <w:p w14:paraId="4A3896C6" w14:textId="22ECEE8D" w:rsidR="00E760C2" w:rsidRPr="009548FC" w:rsidRDefault="00E760C2" w:rsidP="006751CE">
      <w:pPr>
        <w:tabs>
          <w:tab w:val="right" w:pos="9356"/>
        </w:tabs>
        <w:ind w:left="1701"/>
        <w:rPr>
          <w:rFonts w:eastAsiaTheme="minorEastAsia" w:cs="Arial"/>
          <w:b/>
        </w:rPr>
      </w:pPr>
      <w:r w:rsidRPr="009548FC">
        <w:rPr>
          <w:rFonts w:eastAsiaTheme="minorEastAsia" w:cs="Arial"/>
          <w:b/>
        </w:rPr>
        <w:t>Industry concentration cross</w:t>
      </w:r>
      <w:r w:rsidR="008F3611">
        <w:rPr>
          <w:rFonts w:eastAsiaTheme="minorEastAsia" w:cs="Arial"/>
          <w:b/>
        </w:rPr>
        <w:t>-</w:t>
      </w:r>
      <w:r w:rsidRPr="009548FC">
        <w:rPr>
          <w:rFonts w:eastAsiaTheme="minorEastAsia" w:cs="Arial"/>
          <w:b/>
        </w:rPr>
        <w:t>sectional model 1</w:t>
      </w:r>
      <w:r w:rsidRPr="009548FC">
        <w:rPr>
          <w:rFonts w:eastAsiaTheme="minorEastAsia" w:cs="Arial"/>
          <w:b/>
        </w:rPr>
        <w:tab/>
        <w:t>(equation 2.1)</w:t>
      </w:r>
    </w:p>
    <w:p w14:paraId="77FD1107" w14:textId="0EC7E4D1" w:rsidR="00E760C2" w:rsidRPr="009548FC" w:rsidRDefault="00E760C2" w:rsidP="006751CE">
      <w:pPr>
        <w:ind w:left="1701"/>
        <w:rPr>
          <w:rFonts w:eastAsiaTheme="minorEastAsia" w:cs="Arial"/>
        </w:rPr>
      </w:pPr>
      <w:r w:rsidRPr="009548FC">
        <w:rPr>
          <w:rFonts w:eastAsiaTheme="minorEastAsia" w:cs="Arial"/>
        </w:rPr>
        <w:t>Equation 2 where Y = [location quotient of industry] and Q = [heritage assets density, sports assets density, libraries density, cultural events, cumulative local authority investment in culture per capita, cumulative local authority investment in heritage per capita, cumulative local authority investment in sports per capita, cumulative arts lottery investment per capita, cumulative sports lottery investment per capita, cumulative heritage lottery investment per capita, number of individuals in creative employment, employment rate, proportion of labour with level 4</w:t>
      </w:r>
      <w:r w:rsidR="008F3611">
        <w:rPr>
          <w:rFonts w:eastAsiaTheme="minorEastAsia" w:cs="Arial"/>
        </w:rPr>
        <w:t>+</w:t>
      </w:r>
      <w:r w:rsidRPr="009548FC">
        <w:rPr>
          <w:rFonts w:eastAsiaTheme="minorEastAsia" w:cs="Arial"/>
        </w:rPr>
        <w:t xml:space="preserve"> qualifications, housing density, network infrastructure, transport infrastructure, life satisfaction, proportion of population meeting physical activity guidelines, size of the market, GVA per capita]</w:t>
      </w:r>
    </w:p>
    <w:p w14:paraId="42833759" w14:textId="77777777" w:rsidR="00E760C2" w:rsidRPr="009548FC" w:rsidRDefault="00E760C2" w:rsidP="006751CE">
      <w:pPr>
        <w:pStyle w:val="ListParagraph"/>
        <w:ind w:left="1701"/>
        <w:rPr>
          <w:rFonts w:ascii="Arial" w:eastAsiaTheme="minorEastAsia" w:hAnsi="Arial" w:cs="Arial"/>
        </w:rPr>
      </w:pPr>
    </w:p>
    <w:p w14:paraId="3EEF2A46" w14:textId="76885D81" w:rsidR="00E760C2" w:rsidRPr="009548FC" w:rsidRDefault="00E760C2" w:rsidP="006751CE">
      <w:pPr>
        <w:tabs>
          <w:tab w:val="right" w:pos="9356"/>
        </w:tabs>
        <w:ind w:left="1701"/>
        <w:rPr>
          <w:rFonts w:eastAsiaTheme="minorEastAsia" w:cs="Arial"/>
          <w:b/>
        </w:rPr>
      </w:pPr>
      <w:r w:rsidRPr="009548FC">
        <w:rPr>
          <w:rFonts w:eastAsiaTheme="minorEastAsia" w:cs="Arial"/>
          <w:b/>
        </w:rPr>
        <w:t>Industry concentration cross</w:t>
      </w:r>
      <w:r w:rsidR="008F3611">
        <w:rPr>
          <w:rFonts w:eastAsiaTheme="minorEastAsia" w:cs="Arial"/>
          <w:b/>
        </w:rPr>
        <w:t>-</w:t>
      </w:r>
      <w:r w:rsidRPr="009548FC">
        <w:rPr>
          <w:rFonts w:eastAsiaTheme="minorEastAsia" w:cs="Arial"/>
          <w:b/>
        </w:rPr>
        <w:t>sectional model 2</w:t>
      </w:r>
      <w:r w:rsidRPr="009548FC">
        <w:rPr>
          <w:rFonts w:eastAsiaTheme="minorEastAsia" w:cs="Arial"/>
          <w:b/>
        </w:rPr>
        <w:tab/>
        <w:t>(equation 2.2)</w:t>
      </w:r>
    </w:p>
    <w:p w14:paraId="78358A34" w14:textId="25A1CFD0" w:rsidR="00E760C2" w:rsidRPr="009548FC" w:rsidRDefault="00E760C2" w:rsidP="006751CE">
      <w:pPr>
        <w:ind w:left="1701"/>
        <w:rPr>
          <w:rFonts w:eastAsiaTheme="minorEastAsia" w:cs="Arial"/>
        </w:rPr>
      </w:pPr>
      <w:r w:rsidRPr="009548FC">
        <w:rPr>
          <w:rFonts w:eastAsiaTheme="minorEastAsia" w:cs="Arial"/>
        </w:rPr>
        <w:t>As equation 2.1 but Y = [net migration of industry] and Q = [heritage assets density, sports assets density, libraries density, cultural events listings per capita, annual local authority investment in culture per capita, annual local authority investment in heritage per capita, annual local authority investment in sports per capita, annual arts lottery investment per capita, annual sports lottery investment per capita, annual heritage lottery investment per capita, number of individuals in creative employment, employment rate, proportion of labour with level 4</w:t>
      </w:r>
      <w:r w:rsidR="008F3611">
        <w:rPr>
          <w:rFonts w:eastAsiaTheme="minorEastAsia" w:cs="Arial"/>
        </w:rPr>
        <w:t>+</w:t>
      </w:r>
      <w:r w:rsidRPr="009548FC">
        <w:rPr>
          <w:rFonts w:eastAsiaTheme="minorEastAsia" w:cs="Arial"/>
        </w:rPr>
        <w:t xml:space="preserve"> qualifications, housing density, network infrastructure, transport infrastructure, life satisfaction, proportion of population meeting physical activity guidelines, size of the market, GVA per capita]</w:t>
      </w:r>
    </w:p>
    <w:p w14:paraId="3903F7BC" w14:textId="77777777" w:rsidR="00E760C2" w:rsidRPr="009548FC" w:rsidRDefault="00E760C2" w:rsidP="006751CE">
      <w:pPr>
        <w:pStyle w:val="ListParagraph"/>
        <w:ind w:left="1701"/>
        <w:rPr>
          <w:rFonts w:ascii="Arial" w:eastAsiaTheme="minorEastAsia" w:hAnsi="Arial" w:cs="Arial"/>
        </w:rPr>
      </w:pPr>
    </w:p>
    <w:p w14:paraId="6843B119" w14:textId="6878063C" w:rsidR="00E760C2" w:rsidRPr="009548FC" w:rsidRDefault="00E760C2" w:rsidP="006751CE">
      <w:pPr>
        <w:tabs>
          <w:tab w:val="right" w:pos="9356"/>
        </w:tabs>
        <w:ind w:left="1701"/>
        <w:rPr>
          <w:rFonts w:eastAsiaTheme="minorEastAsia" w:cs="Arial"/>
          <w:b/>
        </w:rPr>
      </w:pPr>
      <w:r w:rsidRPr="009548FC">
        <w:rPr>
          <w:rFonts w:eastAsiaTheme="minorEastAsia" w:cs="Arial"/>
          <w:b/>
        </w:rPr>
        <w:lastRenderedPageBreak/>
        <w:t>Industry turnover cross</w:t>
      </w:r>
      <w:r w:rsidR="008F3611">
        <w:rPr>
          <w:rFonts w:eastAsiaTheme="minorEastAsia" w:cs="Arial"/>
          <w:b/>
        </w:rPr>
        <w:t>-</w:t>
      </w:r>
      <w:r w:rsidRPr="009548FC">
        <w:rPr>
          <w:rFonts w:eastAsiaTheme="minorEastAsia" w:cs="Arial"/>
          <w:b/>
        </w:rPr>
        <w:t xml:space="preserve">sectional model </w:t>
      </w:r>
      <w:r w:rsidRPr="009548FC">
        <w:rPr>
          <w:rFonts w:eastAsiaTheme="minorEastAsia" w:cs="Arial"/>
          <w:b/>
        </w:rPr>
        <w:tab/>
        <w:t>(equation 2.3)</w:t>
      </w:r>
    </w:p>
    <w:p w14:paraId="07EE0911" w14:textId="1F78BB19" w:rsidR="00E760C2" w:rsidRPr="009548FC" w:rsidRDefault="00E760C2" w:rsidP="006751CE">
      <w:pPr>
        <w:ind w:left="1701"/>
        <w:rPr>
          <w:rFonts w:eastAsiaTheme="minorEastAsia" w:cs="Arial"/>
        </w:rPr>
      </w:pPr>
      <w:r w:rsidRPr="009548FC">
        <w:rPr>
          <w:rFonts w:eastAsiaTheme="minorEastAsia" w:cs="Arial"/>
        </w:rPr>
        <w:t xml:space="preserve">As equation 2.1 but Y = [turnover of industry] </w:t>
      </w:r>
    </w:p>
    <w:p w14:paraId="51DE83C0" w14:textId="77777777" w:rsidR="00E760C2" w:rsidRPr="009548FC" w:rsidRDefault="00E760C2" w:rsidP="006751CE">
      <w:pPr>
        <w:ind w:left="1701"/>
        <w:rPr>
          <w:rFonts w:cs="Arial"/>
        </w:rPr>
      </w:pPr>
    </w:p>
    <w:p w14:paraId="60714DE4" w14:textId="77777777" w:rsidR="00E760C2" w:rsidRPr="009548FC" w:rsidRDefault="00E760C2" w:rsidP="00E760C2">
      <w:pPr>
        <w:rPr>
          <w:rFonts w:cs="Arial"/>
          <w:b/>
        </w:rPr>
      </w:pPr>
      <w:r w:rsidRPr="009548FC">
        <w:rPr>
          <w:rFonts w:cs="Arial"/>
        </w:rPr>
        <w:t>Models were also tested to exploit the availability of panel data where possible, considering both turnover of firms and location/concentration of firms. Lagged investment was used as firm location decisions may not occur immediately, and firms’ success may depend on prior investment that is not realised immediately.</w:t>
      </w:r>
      <w:r w:rsidRPr="009548FC">
        <w:rPr>
          <w:rFonts w:cs="Arial"/>
          <w:b/>
        </w:rPr>
        <w:t xml:space="preserve"> </w:t>
      </w:r>
    </w:p>
    <w:p w14:paraId="75C6084E" w14:textId="5F22A599" w:rsidR="00E760C2" w:rsidRPr="00873DB7" w:rsidRDefault="00E760C2" w:rsidP="00E760C2">
      <w:pPr>
        <w:rPr>
          <w:rFonts w:cs="Arial"/>
        </w:rPr>
      </w:pPr>
      <w:r w:rsidRPr="009548FC">
        <w:rPr>
          <w:rFonts w:cs="Arial"/>
        </w:rPr>
        <w:t>Results were separated by location for local authorities within major urban centres and those outside, using government definitions of rural-urban classification. This is important</w:t>
      </w:r>
      <w:r w:rsidRPr="009A43FB">
        <w:rPr>
          <w:rFonts w:cs="Arial"/>
        </w:rPr>
        <w:t xml:space="preserve"> </w:t>
      </w:r>
      <w:r w:rsidRPr="008666BF">
        <w:rPr>
          <w:rFonts w:cs="Arial"/>
        </w:rPr>
        <w:t xml:space="preserve">as if results are the same across both specifications we can be more confident that </w:t>
      </w:r>
      <w:r w:rsidRPr="00873DB7">
        <w:rPr>
          <w:rFonts w:cs="Arial"/>
        </w:rPr>
        <w:t>our results are not just showing urban agglomeration effects.</w:t>
      </w:r>
    </w:p>
    <w:p w14:paraId="4939886E" w14:textId="77777777" w:rsidR="00E760C2" w:rsidRPr="009548FC" w:rsidRDefault="00E760C2" w:rsidP="00E760C2">
      <w:pPr>
        <w:rPr>
          <w:rFonts w:cs="Arial"/>
          <w:szCs w:val="22"/>
        </w:rPr>
      </w:pPr>
      <w:r w:rsidRPr="009548FC">
        <w:rPr>
          <w:rFonts w:cs="Arial"/>
          <w:szCs w:val="22"/>
        </w:rPr>
        <w:t>Both fixed effects and random effects models were considered:</w:t>
      </w:r>
    </w:p>
    <w:p w14:paraId="7EA09F12" w14:textId="63A92817" w:rsidR="00574CE2" w:rsidRDefault="00574CE2" w:rsidP="00574CE2">
      <w:pPr>
        <w:pStyle w:val="Bullet"/>
      </w:pPr>
      <w:r>
        <w:t>Random effects models assume that unobserved individual specific effects are uncorrelated with the independent variables. That is, any individual specific time-invariant characteristics of local authorities that are not included in the model, are completely uncorrelated with CS&amp;H assets or investments – the relationship between individual local authority characteristics not included and CS&amp;H assets or investments are random. This is a strong assumption</w:t>
      </w:r>
      <w:r w:rsidR="00CF6CB8">
        <w:t>, and if we omit time-independent causal variables, our results would be biased.</w:t>
      </w:r>
    </w:p>
    <w:p w14:paraId="3D7E44BC" w14:textId="11A1916D" w:rsidR="00E760C2" w:rsidRPr="00511EC8" w:rsidRDefault="00574CE2" w:rsidP="006751CE">
      <w:pPr>
        <w:pStyle w:val="Bullet"/>
      </w:pPr>
      <w:r>
        <w:t>Fixed effects models do not make this assumption, and instead assume that unobserved individual specific effects are correlated with the independent variables – that is there is some relationship between specific time-invariant characteristics of local authorities that are not included in the model, that are correlated with CS&amp;H asset</w:t>
      </w:r>
      <w:r w:rsidR="00CF6CB8">
        <w:t xml:space="preserve">s and investments. For example, if there are specific lobbying group in some particular local authorities that encourage CS&amp;H investment. </w:t>
      </w:r>
      <w:r w:rsidR="00E760C2" w:rsidRPr="00511EC8">
        <w:t xml:space="preserve">However, </w:t>
      </w:r>
      <w:r w:rsidR="00CF6CB8">
        <w:t xml:space="preserve">the disadvantage of fixed effects models is that </w:t>
      </w:r>
      <w:r w:rsidR="00E760C2" w:rsidRPr="00511EC8">
        <w:t>we cannot include time-invariant variables (such as assets data)</w:t>
      </w:r>
      <w:r w:rsidR="00CF6CB8">
        <w:t>, as fixed effects models effectively cancel out all time-invariant variables.</w:t>
      </w:r>
    </w:p>
    <w:p w14:paraId="301FAAB4" w14:textId="7CEB4A38" w:rsidR="00E760C2" w:rsidRPr="009548FC" w:rsidRDefault="00E760C2" w:rsidP="00E760C2">
      <w:pPr>
        <w:rPr>
          <w:rFonts w:cs="Arial"/>
        </w:rPr>
      </w:pPr>
      <w:r w:rsidRPr="009548FC">
        <w:rPr>
          <w:rFonts w:cs="Arial"/>
        </w:rPr>
        <w:t xml:space="preserve">The Hausman Test was used to determine the appropriate statistical model, which determined that </w:t>
      </w:r>
      <w:r w:rsidR="00FA1EAA">
        <w:rPr>
          <w:rFonts w:cs="Arial"/>
        </w:rPr>
        <w:t xml:space="preserve">the </w:t>
      </w:r>
      <w:r w:rsidRPr="009548FC">
        <w:rPr>
          <w:rFonts w:cs="Arial"/>
        </w:rPr>
        <w:t>fixed effects was likely to be more appropriate than the random effects model. However, this means that time invariant variables must be excluded – which applies to all the CS&amp;H assets data we have available.</w:t>
      </w:r>
      <w:r w:rsidRPr="009548FC">
        <w:rPr>
          <w:rFonts w:cs="Arial"/>
          <w:b/>
        </w:rPr>
        <w:t xml:space="preserve"> </w:t>
      </w:r>
    </w:p>
    <w:p w14:paraId="49E47D07" w14:textId="77777777" w:rsidR="00E760C2" w:rsidRDefault="00E760C2" w:rsidP="00E760C2">
      <w:pPr>
        <w:rPr>
          <w:rFonts w:cs="Arial"/>
        </w:rPr>
      </w:pPr>
      <w:r w:rsidRPr="009548FC">
        <w:rPr>
          <w:rFonts w:cs="Arial"/>
        </w:rPr>
        <w:t xml:space="preserve">Errors are clustered at the Local Authority level – this means the observations may be correlated within local authorities but would be independent between them. </w:t>
      </w:r>
    </w:p>
    <w:p w14:paraId="3415A965" w14:textId="77777777" w:rsidR="00F447A6" w:rsidRPr="009548FC" w:rsidRDefault="00F447A6" w:rsidP="006751CE">
      <w:pPr>
        <w:ind w:left="1701"/>
        <w:rPr>
          <w:rFonts w:cs="Arial"/>
        </w:rPr>
      </w:pPr>
    </w:p>
    <w:p w14:paraId="77A7AC83" w14:textId="3E575752" w:rsidR="00E760C2" w:rsidRPr="008666BF" w:rsidRDefault="00E760C2" w:rsidP="006751CE">
      <w:pPr>
        <w:tabs>
          <w:tab w:val="right" w:pos="9356"/>
        </w:tabs>
        <w:ind w:left="1701"/>
        <w:rPr>
          <w:rFonts w:eastAsiaTheme="minorEastAsia" w:cs="Arial"/>
          <w:b/>
        </w:rPr>
      </w:pPr>
      <w:r w:rsidRPr="008666BF">
        <w:rPr>
          <w:rFonts w:eastAsiaTheme="minorEastAsia" w:cs="Arial"/>
          <w:b/>
        </w:rPr>
        <w:t>Industry concentration panel model 1</w:t>
      </w:r>
      <w:r w:rsidRPr="008666BF">
        <w:rPr>
          <w:rFonts w:eastAsiaTheme="minorEastAsia" w:cs="Arial"/>
          <w:b/>
        </w:rPr>
        <w:tab/>
        <w:t>(equation 2.4)</w:t>
      </w:r>
    </w:p>
    <w:p w14:paraId="76920C42" w14:textId="5F942D0C" w:rsidR="00E760C2" w:rsidRPr="009548FC" w:rsidRDefault="00E760C2" w:rsidP="006751CE">
      <w:pPr>
        <w:ind w:left="1701"/>
        <w:rPr>
          <w:rFonts w:eastAsiaTheme="minorEastAsia" w:cs="Arial"/>
        </w:rPr>
      </w:pPr>
      <w:r w:rsidRPr="00873DB7">
        <w:rPr>
          <w:rFonts w:eastAsiaTheme="minorEastAsia" w:cs="Arial"/>
        </w:rPr>
        <w:t xml:space="preserve">As equation 2.1 but Q = [per capita investment in CS&amp;H, lagged per capita investment in CS&amp;H, </w:t>
      </w:r>
      <w:r w:rsidR="00F447A6">
        <w:rPr>
          <w:rFonts w:eastAsiaTheme="minorEastAsia" w:cs="Arial"/>
        </w:rPr>
        <w:t>two</w:t>
      </w:r>
      <w:r w:rsidRPr="009548FC">
        <w:rPr>
          <w:rFonts w:eastAsiaTheme="minorEastAsia" w:cs="Arial"/>
        </w:rPr>
        <w:t>-year lagged per capita investment in CS&amp;H, employment rate, skilled employment proportion, GVA, proportion of population meeting physical activity guidelines]</w:t>
      </w:r>
    </w:p>
    <w:p w14:paraId="5BED24C1" w14:textId="5CE5E222" w:rsidR="00E760C2" w:rsidRPr="009548FC" w:rsidRDefault="00E760C2" w:rsidP="006751CE">
      <w:pPr>
        <w:pStyle w:val="ListParagraph"/>
        <w:ind w:left="1701"/>
        <w:rPr>
          <w:rFonts w:ascii="Arial" w:eastAsiaTheme="minorEastAsia" w:hAnsi="Arial" w:cs="Arial"/>
        </w:rPr>
      </w:pPr>
    </w:p>
    <w:p w14:paraId="03C524A4" w14:textId="77777777" w:rsidR="005D0771" w:rsidRDefault="005D0771" w:rsidP="006751CE">
      <w:pPr>
        <w:tabs>
          <w:tab w:val="right" w:pos="9356"/>
        </w:tabs>
        <w:ind w:left="1701"/>
        <w:rPr>
          <w:rFonts w:eastAsiaTheme="minorEastAsia" w:cs="Arial"/>
          <w:b/>
        </w:rPr>
      </w:pPr>
    </w:p>
    <w:p w14:paraId="3D1B531D" w14:textId="77777777" w:rsidR="005D0771" w:rsidRDefault="005D0771" w:rsidP="006751CE">
      <w:pPr>
        <w:tabs>
          <w:tab w:val="right" w:pos="9356"/>
        </w:tabs>
        <w:ind w:left="1701"/>
        <w:rPr>
          <w:rFonts w:eastAsiaTheme="minorEastAsia" w:cs="Arial"/>
          <w:b/>
        </w:rPr>
      </w:pPr>
    </w:p>
    <w:p w14:paraId="5C504777" w14:textId="77777777" w:rsidR="005D0771" w:rsidRDefault="005D0771" w:rsidP="006751CE">
      <w:pPr>
        <w:tabs>
          <w:tab w:val="right" w:pos="9356"/>
        </w:tabs>
        <w:ind w:left="1701"/>
        <w:rPr>
          <w:rFonts w:eastAsiaTheme="minorEastAsia" w:cs="Arial"/>
          <w:b/>
        </w:rPr>
      </w:pPr>
    </w:p>
    <w:p w14:paraId="33A7E5CB" w14:textId="1BBB840A" w:rsidR="00E760C2" w:rsidRPr="009548FC" w:rsidRDefault="005D0771" w:rsidP="006751CE">
      <w:pPr>
        <w:tabs>
          <w:tab w:val="right" w:pos="9356"/>
        </w:tabs>
        <w:ind w:left="1701"/>
        <w:rPr>
          <w:rFonts w:eastAsiaTheme="minorEastAsia" w:cs="Arial"/>
          <w:b/>
        </w:rPr>
      </w:pPr>
      <w:r>
        <w:rPr>
          <w:rFonts w:eastAsiaTheme="minorEastAsia" w:cs="Arial"/>
          <w:b/>
        </w:rPr>
        <w:lastRenderedPageBreak/>
        <w:t>I</w:t>
      </w:r>
      <w:r w:rsidR="00E760C2" w:rsidRPr="009548FC">
        <w:rPr>
          <w:rFonts w:eastAsiaTheme="minorEastAsia" w:cs="Arial"/>
          <w:b/>
        </w:rPr>
        <w:t>ndustry concentration panel model 2</w:t>
      </w:r>
      <w:r w:rsidR="00E760C2" w:rsidRPr="009548FC">
        <w:rPr>
          <w:rFonts w:eastAsiaTheme="minorEastAsia" w:cs="Arial"/>
          <w:b/>
        </w:rPr>
        <w:tab/>
        <w:t>(equation 2.5)</w:t>
      </w:r>
    </w:p>
    <w:p w14:paraId="4B2762E1" w14:textId="52910BDC" w:rsidR="00E760C2" w:rsidRPr="009548FC" w:rsidRDefault="00E760C2" w:rsidP="006751CE">
      <w:pPr>
        <w:ind w:left="1701"/>
        <w:rPr>
          <w:rFonts w:eastAsiaTheme="minorEastAsia" w:cs="Arial"/>
        </w:rPr>
      </w:pPr>
      <w:r w:rsidRPr="009548FC">
        <w:rPr>
          <w:rFonts w:eastAsiaTheme="minorEastAsia" w:cs="Arial"/>
        </w:rPr>
        <w:t xml:space="preserve">As equation 2.2 but Q = [per capita investment in CS&amp;H, lagged per capita investment in CS&amp;H, </w:t>
      </w:r>
      <w:r w:rsidR="00F447A6">
        <w:rPr>
          <w:rFonts w:eastAsiaTheme="minorEastAsia" w:cs="Arial"/>
        </w:rPr>
        <w:t>two</w:t>
      </w:r>
      <w:r w:rsidRPr="009548FC">
        <w:rPr>
          <w:rFonts w:eastAsiaTheme="minorEastAsia" w:cs="Arial"/>
        </w:rPr>
        <w:t>-year lagged per capita investment in CS&amp;H, employment rate, skilled employment proportion, GVA]</w:t>
      </w:r>
    </w:p>
    <w:p w14:paraId="41092C2D" w14:textId="77777777" w:rsidR="00E760C2" w:rsidRPr="009548FC" w:rsidRDefault="00E760C2" w:rsidP="006751CE">
      <w:pPr>
        <w:pStyle w:val="ListParagraph"/>
        <w:tabs>
          <w:tab w:val="left" w:pos="1134"/>
        </w:tabs>
        <w:ind w:left="1701"/>
        <w:rPr>
          <w:rFonts w:ascii="Arial" w:eastAsiaTheme="minorEastAsia" w:hAnsi="Arial" w:cs="Arial"/>
        </w:rPr>
      </w:pPr>
    </w:p>
    <w:p w14:paraId="17F09D68" w14:textId="5134BC30" w:rsidR="00E760C2" w:rsidRPr="009548FC" w:rsidRDefault="00E760C2" w:rsidP="006751CE">
      <w:pPr>
        <w:tabs>
          <w:tab w:val="right" w:pos="9356"/>
        </w:tabs>
        <w:ind w:left="1701"/>
        <w:rPr>
          <w:rFonts w:eastAsiaTheme="minorEastAsia" w:cs="Arial"/>
          <w:b/>
        </w:rPr>
      </w:pPr>
      <w:r w:rsidRPr="009548FC">
        <w:rPr>
          <w:rFonts w:eastAsiaTheme="minorEastAsia" w:cs="Arial"/>
          <w:b/>
        </w:rPr>
        <w:t xml:space="preserve">Industry turnover panel model </w:t>
      </w:r>
      <w:r w:rsidRPr="009548FC">
        <w:rPr>
          <w:rFonts w:eastAsiaTheme="minorEastAsia" w:cs="Arial"/>
          <w:b/>
        </w:rPr>
        <w:tab/>
        <w:t>(equation 2.6)</w:t>
      </w:r>
    </w:p>
    <w:p w14:paraId="04D35735" w14:textId="2180E358" w:rsidR="00E760C2" w:rsidRPr="009548FC" w:rsidRDefault="00E760C2" w:rsidP="006751CE">
      <w:pPr>
        <w:tabs>
          <w:tab w:val="right" w:pos="9356"/>
        </w:tabs>
        <w:ind w:left="1701"/>
        <w:rPr>
          <w:rFonts w:eastAsiaTheme="minorEastAsia" w:cs="Arial"/>
        </w:rPr>
      </w:pPr>
      <w:r w:rsidRPr="009548FC">
        <w:rPr>
          <w:rFonts w:eastAsiaTheme="minorEastAsia" w:cs="Arial"/>
        </w:rPr>
        <w:t xml:space="preserve">As equation 2.3 but Q = [per capita investment in CS&amp;H, lagged per capita investment in CS&amp;H, </w:t>
      </w:r>
      <w:r w:rsidR="00F447A6">
        <w:rPr>
          <w:rFonts w:eastAsiaTheme="minorEastAsia" w:cs="Arial"/>
        </w:rPr>
        <w:t>two-</w:t>
      </w:r>
      <w:r w:rsidRPr="009548FC">
        <w:rPr>
          <w:rFonts w:eastAsiaTheme="minorEastAsia" w:cs="Arial"/>
        </w:rPr>
        <w:t>year lagged per capita investment in CS&amp;H, employment rate, skilled employment proportion, GVA]</w:t>
      </w:r>
    </w:p>
    <w:p w14:paraId="3AC5371D" w14:textId="77777777" w:rsidR="00E760C2" w:rsidRPr="009548FC" w:rsidRDefault="00E760C2" w:rsidP="006751CE">
      <w:pPr>
        <w:pStyle w:val="ListParagraph"/>
        <w:tabs>
          <w:tab w:val="left" w:pos="1134"/>
        </w:tabs>
        <w:ind w:left="1701"/>
        <w:rPr>
          <w:rFonts w:ascii="Arial" w:eastAsiaTheme="minorEastAsia" w:hAnsi="Arial" w:cs="Arial"/>
        </w:rPr>
      </w:pPr>
    </w:p>
    <w:p w14:paraId="3AE0297B" w14:textId="77777777" w:rsidR="00E760C2" w:rsidRPr="009548FC" w:rsidRDefault="00E760C2" w:rsidP="00E760C2">
      <w:pPr>
        <w:rPr>
          <w:rFonts w:eastAsiaTheme="minorEastAsia" w:cs="Arial"/>
        </w:rPr>
      </w:pPr>
      <w:r w:rsidRPr="009548FC">
        <w:rPr>
          <w:rFonts w:eastAsiaTheme="minorEastAsia" w:cs="Arial"/>
        </w:rPr>
        <w:t>Equations 2.2, 2.3, 2.5, and 2.6 were re-estimated for all firms.</w:t>
      </w:r>
    </w:p>
    <w:p w14:paraId="233E6E97" w14:textId="6E53E742" w:rsidR="00E760C2" w:rsidRPr="009548FC" w:rsidRDefault="00E760C2" w:rsidP="00E760C2">
      <w:pPr>
        <w:pStyle w:val="Heading2Numbered"/>
      </w:pPr>
      <w:bookmarkStart w:id="36" w:name="_Toc467569593"/>
      <w:r w:rsidRPr="009548FC">
        <w:t>Data and model specifications</w:t>
      </w:r>
      <w:bookmarkEnd w:id="36"/>
    </w:p>
    <w:p w14:paraId="2D256649" w14:textId="689E7A70" w:rsidR="00E760C2" w:rsidRPr="009548FC" w:rsidRDefault="00E760C2" w:rsidP="00E760C2">
      <w:pPr>
        <w:jc w:val="both"/>
        <w:rPr>
          <w:rFonts w:cs="Arial"/>
        </w:rPr>
      </w:pPr>
      <w:r w:rsidRPr="009548FC">
        <w:rPr>
          <w:rFonts w:cs="Arial"/>
        </w:rPr>
        <w:t xml:space="preserve">To enable our analysis, we developed an extensive and unique local authority level database consisting of </w:t>
      </w:r>
      <w:r w:rsidR="00427EE1">
        <w:rPr>
          <w:rFonts w:cs="Arial"/>
        </w:rPr>
        <w:t>multiple variables and observations o</w:t>
      </w:r>
      <w:r w:rsidRPr="009548FC">
        <w:rPr>
          <w:rFonts w:cs="Arial"/>
        </w:rPr>
        <w:t>ver the time period 2003–2013. This database covers all English local authorities and encompasses a wide range of socio-economic indicators (variables), clustered in</w:t>
      </w:r>
      <w:r w:rsidR="00634025">
        <w:rPr>
          <w:rFonts w:cs="Arial"/>
        </w:rPr>
        <w:t>to</w:t>
      </w:r>
      <w:r w:rsidRPr="009548FC">
        <w:rPr>
          <w:rFonts w:cs="Arial"/>
        </w:rPr>
        <w:t xml:space="preserve"> the following groups:</w:t>
      </w:r>
      <w:r w:rsidR="00A033C6">
        <w:rPr>
          <w:rFonts w:cs="Arial"/>
        </w:rPr>
        <w:t xml:space="preserve">  </w:t>
      </w:r>
    </w:p>
    <w:p w14:paraId="0ED1B752" w14:textId="05873E55" w:rsidR="00E760C2" w:rsidRPr="009548FC" w:rsidRDefault="00E760C2" w:rsidP="006751CE">
      <w:pPr>
        <w:pStyle w:val="Bullet"/>
      </w:pPr>
      <w:r w:rsidRPr="009548FC">
        <w:t xml:space="preserve">CS&amp;H investment variables, including </w:t>
      </w:r>
      <w:r w:rsidR="004F518D">
        <w:t>a</w:t>
      </w:r>
      <w:r w:rsidR="004F518D" w:rsidRPr="009548FC">
        <w:t xml:space="preserve"> </w:t>
      </w:r>
      <w:r w:rsidRPr="009548FC">
        <w:t xml:space="preserve">breakdown of investment </w:t>
      </w:r>
      <w:r w:rsidR="004F518D">
        <w:t>by</w:t>
      </w:r>
      <w:r w:rsidRPr="009548FC">
        <w:t xml:space="preserve"> source (e.g. Big Lottery investment) and type (</w:t>
      </w:r>
      <w:r w:rsidR="004F518D">
        <w:t xml:space="preserve">e.g. </w:t>
      </w:r>
      <w:r w:rsidRPr="009548FC">
        <w:t>arts).</w:t>
      </w:r>
    </w:p>
    <w:p w14:paraId="1E726C21" w14:textId="306F01BF" w:rsidR="00E760C2" w:rsidRPr="009548FC" w:rsidRDefault="00E760C2" w:rsidP="006751CE">
      <w:pPr>
        <w:pStyle w:val="Bullet"/>
      </w:pPr>
      <w:r w:rsidRPr="009548FC">
        <w:t>CS&amp;H assets variables</w:t>
      </w:r>
      <w:r w:rsidR="004F518D">
        <w:t>,</w:t>
      </w:r>
      <w:r w:rsidR="004F518D" w:rsidRPr="009548FC">
        <w:t xml:space="preserve"> </w:t>
      </w:r>
      <w:r w:rsidRPr="009548FC">
        <w:t>as with investment including variables representing the type of assets and their ownership.</w:t>
      </w:r>
    </w:p>
    <w:p w14:paraId="26AAEF54" w14:textId="2DA2BF13" w:rsidR="00E760C2" w:rsidRPr="009548FC" w:rsidRDefault="00E760C2" w:rsidP="006751CE">
      <w:pPr>
        <w:pStyle w:val="Bullet"/>
      </w:pPr>
      <w:r w:rsidRPr="009548FC">
        <w:t xml:space="preserve">Creative industry-related variables, including for example net </w:t>
      </w:r>
      <w:r w:rsidR="004F518D">
        <w:t xml:space="preserve">firm </w:t>
      </w:r>
      <w:r w:rsidRPr="009548FC">
        <w:t>migration in and out of respective local authorities and measures of creative industry concentration.</w:t>
      </w:r>
    </w:p>
    <w:p w14:paraId="06AC2BFB" w14:textId="4407DF3B" w:rsidR="00E760C2" w:rsidRPr="009548FC" w:rsidRDefault="00E760C2" w:rsidP="006751CE">
      <w:pPr>
        <w:pStyle w:val="Bullet"/>
      </w:pPr>
      <w:r w:rsidRPr="009548FC">
        <w:t>Wider industry performance variables, including net migration of all firms, turnover growth of firms, and variables as for the creative industries for a number of other sectors of interest – the knowledge economy, tourism and professional and business services.</w:t>
      </w:r>
    </w:p>
    <w:p w14:paraId="161FF415" w14:textId="4069EC14" w:rsidR="00E760C2" w:rsidRDefault="00E760C2" w:rsidP="006751CE">
      <w:pPr>
        <w:pStyle w:val="Bullet"/>
      </w:pPr>
      <w:r w:rsidRPr="009548FC">
        <w:t>A set of control variables, accounting for different characteristics of local authorities including</w:t>
      </w:r>
      <w:r w:rsidR="004F518D">
        <w:t>,</w:t>
      </w:r>
      <w:r w:rsidRPr="009548FC">
        <w:t xml:space="preserve"> for example</w:t>
      </w:r>
      <w:r w:rsidR="004F518D">
        <w:t>,</w:t>
      </w:r>
      <w:r w:rsidRPr="009548FC">
        <w:t xml:space="preserve"> economic performance, infrastructure development, employment, human capital (education levels) and well-being indicators (e.g. life satisfaction scores and physical activity rates).</w:t>
      </w:r>
      <w:r w:rsidR="00A033C6">
        <w:t xml:space="preserve"> </w:t>
      </w:r>
    </w:p>
    <w:p w14:paraId="1C7A9B59" w14:textId="77777777" w:rsidR="003251F5" w:rsidRDefault="0043732F" w:rsidP="006658AF">
      <w:pPr>
        <w:rPr>
          <w:rFonts w:cs="Arial"/>
        </w:rPr>
      </w:pPr>
      <w:r>
        <w:rPr>
          <w:rFonts w:cs="Arial"/>
        </w:rPr>
        <w:t xml:space="preserve">The variables used in our analysis are not exhaustive. The choice of variables is limited by data </w:t>
      </w:r>
      <w:r w:rsidRPr="009548FC">
        <w:rPr>
          <w:rFonts w:cs="Arial"/>
        </w:rPr>
        <w:t>availability</w:t>
      </w:r>
      <w:r>
        <w:rPr>
          <w:rFonts w:cs="Arial"/>
        </w:rPr>
        <w:t xml:space="preserve"> (including the availability of longitudinal data)</w:t>
      </w:r>
      <w:r w:rsidRPr="009548FC">
        <w:rPr>
          <w:rFonts w:cs="Arial"/>
        </w:rPr>
        <w:t xml:space="preserve"> at local authority level</w:t>
      </w:r>
      <w:r>
        <w:rPr>
          <w:rFonts w:cs="Arial"/>
        </w:rPr>
        <w:t xml:space="preserve">. </w:t>
      </w:r>
      <w:r w:rsidR="00752E72">
        <w:rPr>
          <w:rFonts w:cs="Arial"/>
        </w:rPr>
        <w:t>Initial correlation analysis was also undertaken to examine whether relationships exist between infrastructure and investment indicators, and indicators of local economic performance</w:t>
      </w:r>
      <w:r w:rsidR="003251F5">
        <w:rPr>
          <w:rFonts w:cs="Arial"/>
        </w:rPr>
        <w:t>; effectively, this tested whether subsequent regression analysis would be likely to yield results.</w:t>
      </w:r>
    </w:p>
    <w:p w14:paraId="05F71B83" w14:textId="226C5A42" w:rsidR="00D3786B" w:rsidRDefault="003251F5" w:rsidP="006658AF">
      <w:pPr>
        <w:rPr>
          <w:rFonts w:cs="Arial"/>
        </w:rPr>
      </w:pPr>
      <w:r>
        <w:rPr>
          <w:rFonts w:cs="Arial"/>
        </w:rPr>
        <w:t xml:space="preserve">Correlation analysis found positive relationships between CS&amp;H investment </w:t>
      </w:r>
      <w:r w:rsidR="00EB6B21">
        <w:rPr>
          <w:rFonts w:cs="Arial"/>
        </w:rPr>
        <w:t xml:space="preserve">(and lagged investment) </w:t>
      </w:r>
      <w:r>
        <w:rPr>
          <w:rFonts w:cs="Arial"/>
        </w:rPr>
        <w:t>and many local economic indicators. These relationships persisted across years, but some weakened when outliers (in particular, the City of London and Isles</w:t>
      </w:r>
      <w:r w:rsidR="00EB6B21">
        <w:rPr>
          <w:rFonts w:cs="Arial"/>
        </w:rPr>
        <w:t xml:space="preserve"> of Scilly) were removed. In particular, </w:t>
      </w:r>
      <w:r w:rsidR="00D3786B">
        <w:rPr>
          <w:rFonts w:cs="Arial"/>
        </w:rPr>
        <w:t>the analysis suggested strong relationships between CS&amp;H investment and firm numbers (total firms and creative industries firms), turnover growth rates and firm migration. These were identified as indicators on which further analysis should focus.</w:t>
      </w:r>
    </w:p>
    <w:p w14:paraId="31435A0A" w14:textId="134D655E" w:rsidR="0043732F" w:rsidRDefault="003251F5" w:rsidP="006658AF">
      <w:pPr>
        <w:rPr>
          <w:rFonts w:cs="Arial"/>
        </w:rPr>
      </w:pPr>
      <w:r>
        <w:rPr>
          <w:rFonts w:cs="Arial"/>
        </w:rPr>
        <w:lastRenderedPageBreak/>
        <w:t>Weaker relationships were found between CS&amp;H asset</w:t>
      </w:r>
      <w:r w:rsidR="00EB6B21">
        <w:rPr>
          <w:rFonts w:cs="Arial"/>
        </w:rPr>
        <w:t xml:space="preserve">s and local economic indicators, </w:t>
      </w:r>
      <w:r w:rsidR="00E11FF1">
        <w:rPr>
          <w:rFonts w:cs="Arial"/>
        </w:rPr>
        <w:t xml:space="preserve">and the correlation analysis suggested that further exploration of the relationships between assets and local economic performance would be unlikely to yield meaningful results. </w:t>
      </w:r>
      <w:r w:rsidR="00673CA3">
        <w:rPr>
          <w:rFonts w:cs="Arial"/>
        </w:rPr>
        <w:t>D</w:t>
      </w:r>
      <w:r w:rsidR="00CF7CE6">
        <w:rPr>
          <w:rFonts w:cs="Arial"/>
        </w:rPr>
        <w:t>ata quality</w:t>
      </w:r>
      <w:r w:rsidR="00E11FF1">
        <w:rPr>
          <w:rFonts w:cs="Arial"/>
        </w:rPr>
        <w:t>, and the absence of longitudinal data on CS&amp;H assets in particular,</w:t>
      </w:r>
      <w:r w:rsidR="00CF7CE6">
        <w:rPr>
          <w:rFonts w:cs="Arial"/>
        </w:rPr>
        <w:t xml:space="preserve"> </w:t>
      </w:r>
      <w:r w:rsidR="00E11FF1">
        <w:rPr>
          <w:rFonts w:cs="Arial"/>
        </w:rPr>
        <w:t xml:space="preserve">was identified </w:t>
      </w:r>
      <w:r w:rsidR="000353DE">
        <w:rPr>
          <w:rFonts w:cs="Arial"/>
        </w:rPr>
        <w:t>as</w:t>
      </w:r>
      <w:r w:rsidR="00CF7CE6">
        <w:rPr>
          <w:rFonts w:cs="Arial"/>
        </w:rPr>
        <w:t xml:space="preserve"> an issue. For example,</w:t>
      </w:r>
      <w:r w:rsidR="00D3786B">
        <w:rPr>
          <w:rFonts w:cs="Arial"/>
        </w:rPr>
        <w:t xml:space="preserve"> </w:t>
      </w:r>
      <w:r w:rsidR="00EB6B21">
        <w:rPr>
          <w:rFonts w:cs="Arial"/>
        </w:rPr>
        <w:t xml:space="preserve">there tends to be a lag in </w:t>
      </w:r>
      <w:r w:rsidR="00D3786B">
        <w:rPr>
          <w:rFonts w:cs="Arial"/>
        </w:rPr>
        <w:t xml:space="preserve">of one to two years in </w:t>
      </w:r>
      <w:r w:rsidR="00EB6B21">
        <w:rPr>
          <w:rFonts w:cs="Arial"/>
        </w:rPr>
        <w:t>availability of economic variables (the most recent consistently available data was for 2013)</w:t>
      </w:r>
      <w:r w:rsidR="00D3786B">
        <w:rPr>
          <w:rFonts w:cs="Arial"/>
        </w:rPr>
        <w:t xml:space="preserve"> while data on CS&amp;H assets is largely based on a more current snapshot</w:t>
      </w:r>
      <w:r w:rsidR="00CF7CE6">
        <w:rPr>
          <w:rFonts w:cs="Arial"/>
        </w:rPr>
        <w:t>. T</w:t>
      </w:r>
      <w:r w:rsidR="00EB6B21">
        <w:rPr>
          <w:rFonts w:cs="Arial"/>
        </w:rPr>
        <w:t>h</w:t>
      </w:r>
      <w:r w:rsidR="00CF7CE6">
        <w:rPr>
          <w:rFonts w:cs="Arial"/>
        </w:rPr>
        <w:t>is means that th</w:t>
      </w:r>
      <w:r w:rsidR="00EB6B21">
        <w:rPr>
          <w:rFonts w:cs="Arial"/>
        </w:rPr>
        <w:t xml:space="preserve">e analysis does not test </w:t>
      </w:r>
      <w:r w:rsidR="00CF7CE6">
        <w:rPr>
          <w:rFonts w:cs="Arial"/>
        </w:rPr>
        <w:t xml:space="preserve">correlation in </w:t>
      </w:r>
      <w:r w:rsidR="00EB6B21">
        <w:rPr>
          <w:rFonts w:cs="Arial"/>
        </w:rPr>
        <w:t>like-for-like time periods.</w:t>
      </w:r>
      <w:r w:rsidR="00CF7CE6">
        <w:rPr>
          <w:rFonts w:cs="Arial"/>
        </w:rPr>
        <w:t xml:space="preserve"> </w:t>
      </w:r>
    </w:p>
    <w:p w14:paraId="7E2D9899" w14:textId="33351B62" w:rsidR="00752E72" w:rsidRDefault="00E11FF1" w:rsidP="006658AF">
      <w:pPr>
        <w:rPr>
          <w:rFonts w:cs="Arial"/>
        </w:rPr>
      </w:pPr>
      <w:r>
        <w:rPr>
          <w:rFonts w:cs="Arial"/>
        </w:rPr>
        <w:t xml:space="preserve">The results of the correlation analysis can be found in section </w:t>
      </w:r>
    </w:p>
    <w:p w14:paraId="785B09F3" w14:textId="1D821920" w:rsidR="006658AF" w:rsidRPr="009548FC" w:rsidRDefault="006658AF" w:rsidP="006658AF">
      <w:pPr>
        <w:rPr>
          <w:rFonts w:cs="Arial"/>
        </w:rPr>
      </w:pPr>
      <w:r>
        <w:rPr>
          <w:rFonts w:cs="Arial"/>
        </w:rPr>
        <w:t xml:space="preserve">The following sections describe the variables used in our models. A detailed list of data sources used in the analysis can be found section </w:t>
      </w:r>
      <w:r>
        <w:rPr>
          <w:rFonts w:cs="Arial"/>
        </w:rPr>
        <w:fldChar w:fldCharType="begin"/>
      </w:r>
      <w:r>
        <w:rPr>
          <w:rFonts w:cs="Arial"/>
        </w:rPr>
        <w:instrText xml:space="preserve"> REF _Ref460261622 \r \h </w:instrText>
      </w:r>
      <w:r>
        <w:rPr>
          <w:rFonts w:cs="Arial"/>
        </w:rPr>
      </w:r>
      <w:r>
        <w:rPr>
          <w:rFonts w:cs="Arial"/>
        </w:rPr>
        <w:fldChar w:fldCharType="separate"/>
      </w:r>
      <w:r w:rsidR="00F0636B">
        <w:rPr>
          <w:rFonts w:cs="Arial"/>
        </w:rPr>
        <w:t>11:</w:t>
      </w:r>
      <w:r>
        <w:rPr>
          <w:rFonts w:cs="Arial"/>
        </w:rPr>
        <w:fldChar w:fldCharType="end"/>
      </w:r>
      <w:r>
        <w:rPr>
          <w:rFonts w:cs="Arial"/>
        </w:rPr>
        <w:t xml:space="preserve"> (p.</w:t>
      </w:r>
      <w:r>
        <w:rPr>
          <w:rFonts w:cs="Arial"/>
        </w:rPr>
        <w:fldChar w:fldCharType="begin"/>
      </w:r>
      <w:r>
        <w:rPr>
          <w:rFonts w:cs="Arial"/>
        </w:rPr>
        <w:instrText xml:space="preserve"> PAGEREF _Ref460261622 \h </w:instrText>
      </w:r>
      <w:r>
        <w:rPr>
          <w:rFonts w:cs="Arial"/>
        </w:rPr>
      </w:r>
      <w:r>
        <w:rPr>
          <w:rFonts w:cs="Arial"/>
        </w:rPr>
        <w:fldChar w:fldCharType="separate"/>
      </w:r>
      <w:r w:rsidR="00F0636B">
        <w:rPr>
          <w:rFonts w:cs="Arial"/>
          <w:noProof/>
        </w:rPr>
        <w:t>102</w:t>
      </w:r>
      <w:r>
        <w:rPr>
          <w:rFonts w:cs="Arial"/>
        </w:rPr>
        <w:fldChar w:fldCharType="end"/>
      </w:r>
      <w:r>
        <w:rPr>
          <w:rFonts w:cs="Arial"/>
        </w:rPr>
        <w:t>).</w:t>
      </w:r>
    </w:p>
    <w:p w14:paraId="62E3906F" w14:textId="77777777" w:rsidR="00E760C2" w:rsidRPr="009548FC" w:rsidRDefault="00E760C2" w:rsidP="00E760C2">
      <w:pPr>
        <w:pStyle w:val="Heading3Numbered"/>
      </w:pPr>
      <w:bookmarkStart w:id="37" w:name="_Toc467569594"/>
      <w:r w:rsidRPr="009548FC">
        <w:t>Dependent variables</w:t>
      </w:r>
      <w:bookmarkEnd w:id="37"/>
    </w:p>
    <w:p w14:paraId="4F28E51D" w14:textId="27839019" w:rsidR="00E760C2" w:rsidRPr="009548FC" w:rsidRDefault="00E760C2" w:rsidP="00E760C2">
      <w:pPr>
        <w:rPr>
          <w:rFonts w:cs="Arial"/>
        </w:rPr>
      </w:pPr>
      <w:r w:rsidRPr="009548FC">
        <w:rPr>
          <w:rFonts w:cs="Arial"/>
        </w:rPr>
        <w:t>We tested multiple indicators as dependent variables in order to obtain different information regarding the impacts of CS&amp;H assets and investment at local authority level. For the wider economy, we considered:</w:t>
      </w:r>
    </w:p>
    <w:p w14:paraId="6EEA6DDD" w14:textId="77777777" w:rsidR="00E760C2" w:rsidRPr="009548FC" w:rsidRDefault="00E760C2" w:rsidP="006751CE">
      <w:pPr>
        <w:pStyle w:val="Bullet"/>
      </w:pPr>
      <w:r w:rsidRPr="009548FC">
        <w:t>Net migration of all firms per local authority</w:t>
      </w:r>
    </w:p>
    <w:p w14:paraId="32859971" w14:textId="77777777" w:rsidR="00E760C2" w:rsidRPr="009548FC" w:rsidRDefault="00E760C2" w:rsidP="006751CE">
      <w:pPr>
        <w:pStyle w:val="Bullet"/>
      </w:pPr>
      <w:r w:rsidRPr="009548FC">
        <w:t>Total turnover of all firms per local authority</w:t>
      </w:r>
    </w:p>
    <w:p w14:paraId="4A5C5C17" w14:textId="77777777" w:rsidR="00E760C2" w:rsidRPr="009548FC" w:rsidRDefault="00E760C2" w:rsidP="006751CE">
      <w:pPr>
        <w:pStyle w:val="Bullet"/>
      </w:pPr>
      <w:r w:rsidRPr="009548FC">
        <w:t>Total turnover of knowledge industries per local authority</w:t>
      </w:r>
    </w:p>
    <w:p w14:paraId="5445C89A" w14:textId="77777777" w:rsidR="00E760C2" w:rsidRPr="009548FC" w:rsidRDefault="00E760C2" w:rsidP="006751CE">
      <w:pPr>
        <w:pStyle w:val="Bullet"/>
      </w:pPr>
      <w:r w:rsidRPr="009548FC">
        <w:t>Total turnover of tourism industries per local authority</w:t>
      </w:r>
    </w:p>
    <w:p w14:paraId="142DAB84" w14:textId="77777777" w:rsidR="00E760C2" w:rsidRPr="009548FC" w:rsidRDefault="00E760C2" w:rsidP="006751CE">
      <w:pPr>
        <w:pStyle w:val="Bullet"/>
      </w:pPr>
      <w:r w:rsidRPr="009548FC">
        <w:t>Total turnover of professional services industries per local authority</w:t>
      </w:r>
    </w:p>
    <w:p w14:paraId="3719AC30" w14:textId="229850A7" w:rsidR="00E760C2" w:rsidRPr="002B2A84" w:rsidRDefault="00E760C2" w:rsidP="00E760C2">
      <w:pPr>
        <w:rPr>
          <w:rFonts w:cs="Arial"/>
        </w:rPr>
      </w:pPr>
      <w:r w:rsidRPr="009548FC">
        <w:rPr>
          <w:rFonts w:cs="Arial"/>
        </w:rPr>
        <w:t>For the creative industries, t</w:t>
      </w:r>
      <w:r w:rsidRPr="009A43FB">
        <w:rPr>
          <w:rFonts w:cs="Arial"/>
        </w:rPr>
        <w:t xml:space="preserve">he </w:t>
      </w:r>
      <w:r w:rsidRPr="008666BF">
        <w:rPr>
          <w:rFonts w:cs="Arial"/>
        </w:rPr>
        <w:t xml:space="preserve">key indicators we tested </w:t>
      </w:r>
      <w:r w:rsidRPr="002B2A84">
        <w:rPr>
          <w:rFonts w:cs="Arial"/>
        </w:rPr>
        <w:t>were:</w:t>
      </w:r>
    </w:p>
    <w:p w14:paraId="6EEF80FB" w14:textId="77777777" w:rsidR="00E760C2" w:rsidRPr="00873DB7" w:rsidRDefault="00E760C2" w:rsidP="006751CE">
      <w:pPr>
        <w:pStyle w:val="Bullet"/>
      </w:pPr>
      <w:r w:rsidRPr="00873DB7">
        <w:t>Net migration of creative firms per local authority</w:t>
      </w:r>
    </w:p>
    <w:p w14:paraId="75340B53" w14:textId="617C3769" w:rsidR="00E760C2" w:rsidRPr="009548FC" w:rsidRDefault="00E760C2" w:rsidP="006751CE">
      <w:pPr>
        <w:pStyle w:val="Bullet"/>
      </w:pPr>
      <w:r w:rsidRPr="009548FC">
        <w:t>Total turnover of creative firms per local authority</w:t>
      </w:r>
    </w:p>
    <w:p w14:paraId="68A36FF4" w14:textId="7BCA8042" w:rsidR="00E760C2" w:rsidRPr="009A43FB" w:rsidRDefault="00E760C2" w:rsidP="006751CE">
      <w:pPr>
        <w:pStyle w:val="Bullet"/>
      </w:pPr>
      <w:r w:rsidRPr="009548FC">
        <w:t>The location quotient for creative firms in a local authority</w:t>
      </w:r>
    </w:p>
    <w:p w14:paraId="610AC6C5" w14:textId="77777777" w:rsidR="00E760C2" w:rsidRPr="00873DB7" w:rsidRDefault="00E760C2" w:rsidP="00E760C2">
      <w:pPr>
        <w:rPr>
          <w:rFonts w:cs="Arial"/>
        </w:rPr>
      </w:pPr>
    </w:p>
    <w:tbl>
      <w:tblPr>
        <w:tblStyle w:val="TableGrid"/>
        <w:tblW w:w="0" w:type="auto"/>
        <w:tblInd w:w="1361" w:type="dxa"/>
        <w:tblLook w:val="04A0" w:firstRow="1" w:lastRow="0" w:firstColumn="1" w:lastColumn="0" w:noHBand="0" w:noVBand="1"/>
      </w:tblPr>
      <w:tblGrid>
        <w:gridCol w:w="8209"/>
      </w:tblGrid>
      <w:tr w:rsidR="00E760C2" w:rsidRPr="009548FC" w14:paraId="7613DC9C" w14:textId="77777777" w:rsidTr="00753A00">
        <w:tc>
          <w:tcPr>
            <w:tcW w:w="9570" w:type="dxa"/>
          </w:tcPr>
          <w:p w14:paraId="75785951" w14:textId="77777777" w:rsidR="00E760C2" w:rsidRPr="00873DB7" w:rsidRDefault="00E760C2" w:rsidP="00E760C2">
            <w:pPr>
              <w:pStyle w:val="Heading3Numbered"/>
              <w:numPr>
                <w:ilvl w:val="0"/>
                <w:numId w:val="0"/>
              </w:numPr>
            </w:pPr>
            <w:r w:rsidRPr="00873DB7">
              <w:lastRenderedPageBreak/>
              <w:t>Location quotients</w:t>
            </w:r>
          </w:p>
          <w:p w14:paraId="25076BE4" w14:textId="77777777" w:rsidR="00E760C2" w:rsidRPr="009548FC" w:rsidRDefault="00E760C2" w:rsidP="00753A00">
            <w:pPr>
              <w:ind w:left="0"/>
              <w:rPr>
                <w:rFonts w:cs="Arial"/>
              </w:rPr>
            </w:pPr>
            <w:r w:rsidRPr="009548FC">
              <w:rPr>
                <w:rFonts w:cs="Arial"/>
              </w:rPr>
              <w:t>To determine the patterns of spatial clustering of creative industries, we created a territorial indicator of concentration-specialisation to indicate whether a place is specialised in creative industries, and if this is a relatively important part of industry in the area. Our unit of analysis is the local authority, and the location quotient is defined as:</w:t>
            </w:r>
          </w:p>
          <w:p w14:paraId="28C2E039" w14:textId="77777777" w:rsidR="00E760C2" w:rsidRPr="009548FC" w:rsidRDefault="003D0350" w:rsidP="00753A00">
            <w:pPr>
              <w:ind w:left="0"/>
              <w:rPr>
                <w:rFonts w:cs="Arial"/>
                <w:sz w:val="20"/>
                <w:szCs w:val="20"/>
              </w:rPr>
            </w:pPr>
            <m:oMathPara>
              <m:oMath>
                <m:sSub>
                  <m:sSubPr>
                    <m:ctrlPr>
                      <w:rPr>
                        <w:rFonts w:ascii="Cambria Math" w:hAnsi="Cambria Math" w:cs="Arial"/>
                        <w:i/>
                      </w:rPr>
                    </m:ctrlPr>
                  </m:sSubPr>
                  <m:e>
                    <m:r>
                      <w:rPr>
                        <w:rFonts w:ascii="Cambria Math" w:hAnsi="Cambria Math" w:cs="Arial"/>
                        <w:sz w:val="20"/>
                        <w:szCs w:val="20"/>
                      </w:rPr>
                      <m:t>LQ</m:t>
                    </m:r>
                  </m:e>
                  <m:sub>
                    <m:r>
                      <w:rPr>
                        <w:rFonts w:ascii="Cambria Math" w:hAnsi="Cambria Math" w:cs="Arial"/>
                        <w:sz w:val="20"/>
                        <w:szCs w:val="20"/>
                      </w:rPr>
                      <m:t>local_authority</m:t>
                    </m:r>
                  </m:sub>
                </m:sSub>
                <m:r>
                  <w:rPr>
                    <w:rFonts w:ascii="Cambria Math" w:hAnsi="Cambria Math" w:cs="Arial"/>
                    <w:sz w:val="20"/>
                    <w:szCs w:val="20"/>
                  </w:rPr>
                  <m:t xml:space="preserve">= </m:t>
                </m:r>
                <m:f>
                  <m:fPr>
                    <m:ctrlPr>
                      <w:rPr>
                        <w:rFonts w:ascii="Cambria Math" w:hAnsi="Cambria Math" w:cs="Arial"/>
                        <w:i/>
                      </w:rPr>
                    </m:ctrlPr>
                  </m:fPr>
                  <m:num>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sz w:val="20"/>
                                <w:szCs w:val="20"/>
                              </w:rPr>
                              <m:t>Creative firms</m:t>
                            </m:r>
                          </m:e>
                          <m:sub>
                            <m:r>
                              <w:rPr>
                                <w:rFonts w:ascii="Cambria Math" w:hAnsi="Cambria Math" w:cs="Arial"/>
                                <w:sz w:val="20"/>
                                <w:szCs w:val="20"/>
                              </w:rPr>
                              <m:t>local_authority</m:t>
                            </m:r>
                          </m:sub>
                        </m:sSub>
                      </m:num>
                      <m:den>
                        <m:sSub>
                          <m:sSubPr>
                            <m:ctrlPr>
                              <w:rPr>
                                <w:rFonts w:ascii="Cambria Math" w:hAnsi="Cambria Math" w:cs="Arial"/>
                                <w:i/>
                              </w:rPr>
                            </m:ctrlPr>
                          </m:sSubPr>
                          <m:e>
                            <m:r>
                              <w:rPr>
                                <w:rFonts w:ascii="Cambria Math" w:hAnsi="Cambria Math" w:cs="Arial"/>
                                <w:sz w:val="20"/>
                                <w:szCs w:val="20"/>
                              </w:rPr>
                              <m:t>Creative firms</m:t>
                            </m:r>
                          </m:e>
                          <m:sub>
                            <m:r>
                              <w:rPr>
                                <w:rFonts w:ascii="Cambria Math" w:hAnsi="Cambria Math" w:cs="Arial"/>
                                <w:sz w:val="20"/>
                                <w:szCs w:val="20"/>
                              </w:rPr>
                              <m:t>national</m:t>
                            </m:r>
                          </m:sub>
                        </m:sSub>
                      </m:den>
                    </m:f>
                  </m:num>
                  <m:den>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sz w:val="20"/>
                                <w:szCs w:val="20"/>
                              </w:rPr>
                              <m:t>All firms</m:t>
                            </m:r>
                          </m:e>
                          <m:sub>
                            <m:r>
                              <w:rPr>
                                <w:rFonts w:ascii="Cambria Math" w:hAnsi="Cambria Math" w:cs="Arial"/>
                                <w:sz w:val="20"/>
                                <w:szCs w:val="20"/>
                              </w:rPr>
                              <m:t>local_authority</m:t>
                            </m:r>
                          </m:sub>
                        </m:sSub>
                      </m:num>
                      <m:den>
                        <m:sSub>
                          <m:sSubPr>
                            <m:ctrlPr>
                              <w:rPr>
                                <w:rFonts w:ascii="Cambria Math" w:hAnsi="Cambria Math" w:cs="Arial"/>
                                <w:i/>
                              </w:rPr>
                            </m:ctrlPr>
                          </m:sSubPr>
                          <m:e>
                            <m:r>
                              <w:rPr>
                                <w:rFonts w:ascii="Cambria Math" w:hAnsi="Cambria Math" w:cs="Arial"/>
                                <w:sz w:val="20"/>
                                <w:szCs w:val="20"/>
                              </w:rPr>
                              <m:t>All firms</m:t>
                            </m:r>
                          </m:e>
                          <m:sub>
                            <m:r>
                              <w:rPr>
                                <w:rFonts w:ascii="Cambria Math" w:hAnsi="Cambria Math" w:cs="Arial"/>
                                <w:sz w:val="20"/>
                                <w:szCs w:val="20"/>
                              </w:rPr>
                              <m:t>national</m:t>
                            </m:r>
                          </m:sub>
                        </m:sSub>
                      </m:den>
                    </m:f>
                  </m:den>
                </m:f>
              </m:oMath>
            </m:oMathPara>
          </w:p>
          <w:p w14:paraId="5720AEBE" w14:textId="226904BE" w:rsidR="00E760C2" w:rsidRPr="009548FC" w:rsidRDefault="004F518D" w:rsidP="00753A00">
            <w:pPr>
              <w:ind w:left="0"/>
              <w:rPr>
                <w:rFonts w:cstheme="minorBidi"/>
              </w:rPr>
            </w:pPr>
            <w:r>
              <w:rPr>
                <w:rFonts w:cs="Arial"/>
              </w:rPr>
              <w:t>Location quotients</w:t>
            </w:r>
            <w:r w:rsidR="00E760C2" w:rsidRPr="002B2A84">
              <w:rPr>
                <w:rFonts w:cs="Arial"/>
              </w:rPr>
              <w:t xml:space="preserve"> can be used </w:t>
            </w:r>
            <w:r>
              <w:rPr>
                <w:rFonts w:cs="Arial"/>
              </w:rPr>
              <w:t>to</w:t>
            </w:r>
            <w:r w:rsidRPr="002B2A84">
              <w:rPr>
                <w:rFonts w:cs="Arial"/>
              </w:rPr>
              <w:t xml:space="preserve"> compar</w:t>
            </w:r>
            <w:r>
              <w:rPr>
                <w:rFonts w:cs="Arial"/>
              </w:rPr>
              <w:t>e</w:t>
            </w:r>
            <w:r w:rsidRPr="002B2A84">
              <w:rPr>
                <w:rFonts w:cs="Arial"/>
              </w:rPr>
              <w:t xml:space="preserve"> </w:t>
            </w:r>
            <w:r w:rsidR="00E760C2" w:rsidRPr="002B2A84">
              <w:rPr>
                <w:rFonts w:cs="Arial"/>
              </w:rPr>
              <w:t xml:space="preserve">the relative concentration of creative firms in a local area compared </w:t>
            </w:r>
            <w:r w:rsidR="00E760C2" w:rsidRPr="00873DB7">
              <w:rPr>
                <w:rFonts w:cs="Arial"/>
              </w:rPr>
              <w:t>with</w:t>
            </w:r>
            <w:r w:rsidR="00E760C2" w:rsidRPr="009548FC">
              <w:rPr>
                <w:rFonts w:cs="Arial"/>
              </w:rPr>
              <w:t xml:space="preserve"> </w:t>
            </w:r>
            <w:r>
              <w:rPr>
                <w:rFonts w:cs="Arial"/>
              </w:rPr>
              <w:t>a wider comparator area (in this study, the country as a whole)</w:t>
            </w:r>
            <w:r w:rsidR="00E760C2" w:rsidRPr="009548FC">
              <w:rPr>
                <w:rFonts w:cs="Arial"/>
              </w:rPr>
              <w:t>. A location quotient of more than one indicates the clustering of creative industry in a local authority is higher than the national average, and the local labour market is specialised in creative industries. Higher concentrations of creative firms are most likely to be found in London, the South East and the West Midlands.</w:t>
            </w:r>
          </w:p>
          <w:p w14:paraId="1BDC862B" w14:textId="77777777" w:rsidR="00E760C2" w:rsidRPr="009548FC" w:rsidRDefault="00E760C2" w:rsidP="00753A00">
            <w:pPr>
              <w:ind w:left="0"/>
              <w:rPr>
                <w:rFonts w:cs="Arial"/>
              </w:rPr>
            </w:pPr>
          </w:p>
        </w:tc>
      </w:tr>
    </w:tbl>
    <w:p w14:paraId="73034754" w14:textId="77777777" w:rsidR="00E760C2" w:rsidRPr="009548FC" w:rsidRDefault="00E760C2" w:rsidP="00E760C2">
      <w:pPr>
        <w:rPr>
          <w:rFonts w:cs="Arial"/>
        </w:rPr>
      </w:pPr>
    </w:p>
    <w:p w14:paraId="38171323" w14:textId="77777777" w:rsidR="00E760C2" w:rsidRPr="009548FC" w:rsidRDefault="00E760C2" w:rsidP="00E760C2">
      <w:pPr>
        <w:pStyle w:val="Heading3Numbered"/>
      </w:pPr>
      <w:bookmarkStart w:id="38" w:name="_Toc467569595"/>
      <w:r w:rsidRPr="009548FC">
        <w:t>Independent variables</w:t>
      </w:r>
      <w:bookmarkEnd w:id="38"/>
    </w:p>
    <w:p w14:paraId="6845E4E1" w14:textId="31E7B9FA" w:rsidR="00E760C2" w:rsidRPr="009548FC" w:rsidRDefault="00E760C2" w:rsidP="00E760C2">
      <w:pPr>
        <w:rPr>
          <w:rFonts w:cs="Arial"/>
        </w:rPr>
      </w:pPr>
      <w:r w:rsidRPr="009548FC">
        <w:rPr>
          <w:rFonts w:cs="Arial"/>
        </w:rPr>
        <w:t xml:space="preserve">In order to test the impact of CS&amp;H assets and investment </w:t>
      </w:r>
      <w:r w:rsidR="00984816">
        <w:rPr>
          <w:rFonts w:cs="Arial"/>
        </w:rPr>
        <w:t>i</w:t>
      </w:r>
      <w:r w:rsidR="00984816" w:rsidRPr="009548FC">
        <w:rPr>
          <w:rFonts w:cs="Arial"/>
        </w:rPr>
        <w:t xml:space="preserve">n </w:t>
      </w:r>
      <w:r w:rsidRPr="009548FC">
        <w:rPr>
          <w:rFonts w:cs="Arial"/>
        </w:rPr>
        <w:t>local areas across England, we collected data on both stocks and flows</w:t>
      </w:r>
      <w:r w:rsidR="00427EE1">
        <w:rPr>
          <w:rFonts w:cs="Arial"/>
        </w:rPr>
        <w:t>.</w:t>
      </w:r>
    </w:p>
    <w:p w14:paraId="5C6A6A4C" w14:textId="438BA20F" w:rsidR="00E760C2" w:rsidRPr="009548FC" w:rsidRDefault="00E760C2" w:rsidP="006751CE">
      <w:pPr>
        <w:pStyle w:val="Bullet"/>
      </w:pPr>
      <w:r w:rsidRPr="009548FC">
        <w:t xml:space="preserve">Stocks reflect the concentration of different CS&amp;H assets in respective local authorities. This data is not available on a longitudinal basis, but only for 2013. </w:t>
      </w:r>
      <w:r w:rsidR="00C966AD" w:rsidRPr="009548FC">
        <w:t>Despite not being exhaustive, this data can be used as a proxy for CS&amp;H assets</w:t>
      </w:r>
      <w:r w:rsidR="00984816">
        <w:t>.</w:t>
      </w:r>
      <w:r w:rsidR="00C966AD" w:rsidRPr="009548FC">
        <w:t xml:space="preserve"> </w:t>
      </w:r>
      <w:r w:rsidRPr="009548FC">
        <w:t>It includes:</w:t>
      </w:r>
    </w:p>
    <w:p w14:paraId="1D15AA80" w14:textId="791E5F11" w:rsidR="00427EE1" w:rsidRPr="009548FC" w:rsidRDefault="00E760C2" w:rsidP="006751CE">
      <w:pPr>
        <w:pStyle w:val="Bullet2"/>
      </w:pPr>
      <w:r w:rsidRPr="009548FC">
        <w:t>Active places (i.e. sports venues – the variable is named ‘sports assets’ in the analysis)</w:t>
      </w:r>
    </w:p>
    <w:p w14:paraId="431CA130" w14:textId="2E3C0B58" w:rsidR="00E760C2" w:rsidRPr="00427EE1" w:rsidRDefault="00931A3D" w:rsidP="006751CE">
      <w:pPr>
        <w:pStyle w:val="Bullet2"/>
      </w:pPr>
      <w:r>
        <w:t>Listed and designated heritage sites</w:t>
      </w:r>
      <w:r w:rsidR="00427EE1">
        <w:t xml:space="preserve"> </w:t>
      </w:r>
      <w:r w:rsidR="00E760C2" w:rsidRPr="00427EE1">
        <w:t>(‘heritage assets’)</w:t>
      </w:r>
    </w:p>
    <w:p w14:paraId="3C609444" w14:textId="77777777" w:rsidR="00E760C2" w:rsidRPr="002B2A84" w:rsidRDefault="00E760C2" w:rsidP="006751CE">
      <w:pPr>
        <w:pStyle w:val="Bullet2"/>
      </w:pPr>
      <w:r w:rsidRPr="009A43FB">
        <w:t>Culture24 events</w:t>
      </w:r>
      <w:r w:rsidRPr="002B2A84">
        <w:t xml:space="preserve"> listings (‘cultural events’)</w:t>
      </w:r>
    </w:p>
    <w:p w14:paraId="6024C8C5" w14:textId="77777777" w:rsidR="00E760C2" w:rsidRPr="00873DB7" w:rsidRDefault="00E760C2" w:rsidP="006751CE">
      <w:pPr>
        <w:pStyle w:val="Bullet2"/>
      </w:pPr>
      <w:r w:rsidRPr="00873DB7">
        <w:t>Libraries</w:t>
      </w:r>
    </w:p>
    <w:p w14:paraId="24BE7D6E" w14:textId="6FF1E30A" w:rsidR="00E760C2" w:rsidRPr="00C966AD" w:rsidRDefault="00E760C2" w:rsidP="006751CE">
      <w:pPr>
        <w:pStyle w:val="Bullet"/>
      </w:pPr>
      <w:r w:rsidRPr="00C966AD">
        <w:t>Flows reflect the yearly investment in CS&amp;H in respective local authorities. This data is available for the period 2003</w:t>
      </w:r>
      <w:r w:rsidR="00D65C9E">
        <w:t>–</w:t>
      </w:r>
      <w:r w:rsidRPr="00C966AD">
        <w:t xml:space="preserve">2013, and accounts both for local authority investment and Big Lottery investment (sports, arts and heritage </w:t>
      </w:r>
      <w:r w:rsidR="00984816">
        <w:t>L</w:t>
      </w:r>
      <w:r w:rsidR="00984816" w:rsidRPr="00C966AD">
        <w:t>otter</w:t>
      </w:r>
      <w:r w:rsidR="00984816">
        <w:t>y funding</w:t>
      </w:r>
      <w:r w:rsidRPr="00C966AD">
        <w:t xml:space="preserve">). </w:t>
      </w:r>
    </w:p>
    <w:p w14:paraId="3ADEBCB4" w14:textId="2D9FE0A8" w:rsidR="00E760C2" w:rsidRPr="009548FC" w:rsidRDefault="00E760C2" w:rsidP="00E760C2">
      <w:pPr>
        <w:rPr>
          <w:rFonts w:cs="Arial"/>
        </w:rPr>
      </w:pPr>
      <w:r w:rsidRPr="009548FC">
        <w:rPr>
          <w:rFonts w:cs="Arial"/>
        </w:rPr>
        <w:t>Overall, investment data is of considerably better quality and covers a wider range of CS&amp;H components than assets data.</w:t>
      </w:r>
      <w:r w:rsidR="00A033C6">
        <w:rPr>
          <w:rFonts w:cs="Arial"/>
        </w:rPr>
        <w:t xml:space="preserve"> </w:t>
      </w:r>
    </w:p>
    <w:p w14:paraId="0DFA13C5" w14:textId="77777777" w:rsidR="00E760C2" w:rsidRPr="009548FC" w:rsidRDefault="00E760C2" w:rsidP="00E760C2">
      <w:pPr>
        <w:rPr>
          <w:rFonts w:cs="Arial"/>
        </w:rPr>
      </w:pPr>
      <w:r w:rsidRPr="009548FC">
        <w:rPr>
          <w:rFonts w:cs="Arial"/>
        </w:rPr>
        <w:t xml:space="preserve">The raw data was also used to generate a number of composite indicators, such as: </w:t>
      </w:r>
    </w:p>
    <w:p w14:paraId="4DD51FE4" w14:textId="77777777" w:rsidR="00E760C2" w:rsidRPr="009548FC" w:rsidRDefault="00E760C2" w:rsidP="006751CE">
      <w:pPr>
        <w:pStyle w:val="Bullet"/>
      </w:pPr>
      <w:r w:rsidRPr="009548FC">
        <w:t xml:space="preserve">Total annual investment per capita </w:t>
      </w:r>
    </w:p>
    <w:p w14:paraId="043557EE" w14:textId="77777777" w:rsidR="00E760C2" w:rsidRPr="009548FC" w:rsidRDefault="00E760C2" w:rsidP="006751CE">
      <w:pPr>
        <w:pStyle w:val="Bullet"/>
      </w:pPr>
      <w:r w:rsidRPr="009548FC">
        <w:t xml:space="preserve">Total annual investment per capita by investment source (local authority and Big Lottery respectively) </w:t>
      </w:r>
    </w:p>
    <w:p w14:paraId="0D7B00BC" w14:textId="77777777" w:rsidR="00E760C2" w:rsidRPr="009548FC" w:rsidRDefault="00E760C2" w:rsidP="006751CE">
      <w:pPr>
        <w:pStyle w:val="Bullet"/>
      </w:pPr>
      <w:r w:rsidRPr="009548FC">
        <w:lastRenderedPageBreak/>
        <w:t>Total annual investment per capita by source and type (e.g. open spaces, museums, galleries, theatres, libraries, sports facilities, etc.)</w:t>
      </w:r>
    </w:p>
    <w:p w14:paraId="42D7D369" w14:textId="70AFCFAB" w:rsidR="00E760C2" w:rsidRPr="009548FC" w:rsidRDefault="00E760C2" w:rsidP="006751CE">
      <w:pPr>
        <w:pStyle w:val="Bullet"/>
      </w:pPr>
      <w:r w:rsidRPr="009548FC">
        <w:t>Cumulative investment in CS&amp;H for the period 2003</w:t>
      </w:r>
      <w:r w:rsidR="00D65C9E">
        <w:t>–</w:t>
      </w:r>
      <w:r w:rsidRPr="009548FC">
        <w:t>2013, in aggregate and by source and type</w:t>
      </w:r>
    </w:p>
    <w:p w14:paraId="6CD635F0" w14:textId="77777777" w:rsidR="00E760C2" w:rsidRPr="009548FC" w:rsidRDefault="00E760C2" w:rsidP="006751CE">
      <w:pPr>
        <w:pStyle w:val="Bullet"/>
      </w:pPr>
      <w:r w:rsidRPr="009548FC">
        <w:t xml:space="preserve">Assets density per local authority </w:t>
      </w:r>
    </w:p>
    <w:p w14:paraId="70E02D5F" w14:textId="17EBC922" w:rsidR="00E760C2" w:rsidRPr="009548FC" w:rsidRDefault="00E760C2" w:rsidP="00E760C2">
      <w:pPr>
        <w:rPr>
          <w:rFonts w:cs="Arial"/>
        </w:rPr>
      </w:pPr>
      <w:r w:rsidRPr="009548FC">
        <w:rPr>
          <w:rFonts w:cs="Arial"/>
        </w:rPr>
        <w:t>These composite indicators potentially allow identification of the components of CS&amp;H assets and investment which may</w:t>
      </w:r>
      <w:r w:rsidR="00984816">
        <w:rPr>
          <w:rFonts w:cs="Arial"/>
        </w:rPr>
        <w:t xml:space="preserve"> lead to particular</w:t>
      </w:r>
      <w:r w:rsidRPr="009548FC">
        <w:rPr>
          <w:rFonts w:cs="Arial"/>
        </w:rPr>
        <w:t xml:space="preserve"> impacts.</w:t>
      </w:r>
    </w:p>
    <w:p w14:paraId="63399902" w14:textId="1B78A0C7" w:rsidR="00E760C2" w:rsidRPr="009548FC" w:rsidRDefault="00E760C2" w:rsidP="00E760C2">
      <w:pPr>
        <w:jc w:val="both"/>
        <w:rPr>
          <w:rFonts w:cs="Arial"/>
          <w:b/>
        </w:rPr>
      </w:pPr>
      <w:r w:rsidRPr="009548FC">
        <w:rPr>
          <w:rFonts w:cs="Arial"/>
        </w:rPr>
        <w:t>As with dependent variables, we interchangeably tested respective independent variables. The variables used in each model are specified in the respective model.</w:t>
      </w:r>
    </w:p>
    <w:p w14:paraId="33AFD98A" w14:textId="77777777" w:rsidR="00E760C2" w:rsidRPr="009548FC" w:rsidRDefault="00E760C2" w:rsidP="00E760C2">
      <w:pPr>
        <w:pStyle w:val="Heading3Numbered"/>
      </w:pPr>
      <w:bookmarkStart w:id="39" w:name="_Toc467569596"/>
      <w:r w:rsidRPr="009548FC">
        <w:t>Control variables</w:t>
      </w:r>
      <w:bookmarkEnd w:id="39"/>
    </w:p>
    <w:p w14:paraId="7C39479D" w14:textId="56961868" w:rsidR="00E760C2" w:rsidRPr="009548FC" w:rsidRDefault="00E760C2" w:rsidP="00E760C2">
      <w:pPr>
        <w:rPr>
          <w:rFonts w:cs="Arial"/>
        </w:rPr>
      </w:pPr>
      <w:r w:rsidRPr="009548FC">
        <w:rPr>
          <w:rFonts w:cs="Arial"/>
        </w:rPr>
        <w:t>In order to test the impact of CS&amp;H assets and investment, it is necessary to account for other push and pull factors affecting firms’ location decisions as well as other socio-economic characteristics which may affect sector performance and size</w:t>
      </w:r>
      <w:r w:rsidR="004E34F8">
        <w:rPr>
          <w:rFonts w:cs="Arial"/>
        </w:rPr>
        <w:t xml:space="preserve"> at the local authority level</w:t>
      </w:r>
      <w:r w:rsidRPr="009548FC">
        <w:rPr>
          <w:rFonts w:cs="Arial"/>
        </w:rPr>
        <w:t xml:space="preserve">. </w:t>
      </w:r>
      <w:r w:rsidR="004E34F8">
        <w:rPr>
          <w:rFonts w:cs="Arial"/>
        </w:rPr>
        <w:t>W</w:t>
      </w:r>
      <w:r w:rsidRPr="009548FC">
        <w:rPr>
          <w:rFonts w:cs="Arial"/>
        </w:rPr>
        <w:t xml:space="preserve">e collected a range of control variables </w:t>
      </w:r>
      <w:r w:rsidR="004E34F8">
        <w:rPr>
          <w:rFonts w:cs="Arial"/>
        </w:rPr>
        <w:t>for this purpose</w:t>
      </w:r>
      <w:r w:rsidRPr="009548FC">
        <w:rPr>
          <w:rFonts w:cs="Arial"/>
        </w:rPr>
        <w:t xml:space="preserve">. </w:t>
      </w:r>
    </w:p>
    <w:p w14:paraId="3C7D52FD" w14:textId="076A080A" w:rsidR="00E760C2" w:rsidRPr="009548FC" w:rsidRDefault="00E760C2" w:rsidP="00E760C2">
      <w:pPr>
        <w:rPr>
          <w:rFonts w:cs="Arial"/>
        </w:rPr>
      </w:pPr>
      <w:r w:rsidRPr="009548FC">
        <w:rPr>
          <w:rFonts w:cs="Arial"/>
        </w:rPr>
        <w:t xml:space="preserve">The control variables are not exhaustive. Indeed, the choice has been subject to </w:t>
      </w:r>
      <w:r w:rsidR="00D65C9E">
        <w:rPr>
          <w:rFonts w:cs="Arial"/>
        </w:rPr>
        <w:t xml:space="preserve">data </w:t>
      </w:r>
      <w:r w:rsidRPr="009548FC">
        <w:rPr>
          <w:rFonts w:cs="Arial"/>
        </w:rPr>
        <w:t>availability at local authority level. We also attempted, inasmuch as possible, to collect information which is available for multiple years. Although numerous control indicators were explored</w:t>
      </w:r>
      <w:r w:rsidR="0043732F">
        <w:rPr>
          <w:rFonts w:cs="Arial"/>
        </w:rPr>
        <w:t xml:space="preserve"> (see section </w:t>
      </w:r>
      <w:r w:rsidR="0043732F">
        <w:rPr>
          <w:rFonts w:cs="Arial"/>
        </w:rPr>
        <w:fldChar w:fldCharType="begin"/>
      </w:r>
      <w:r w:rsidR="0043732F">
        <w:rPr>
          <w:rFonts w:cs="Arial"/>
        </w:rPr>
        <w:instrText xml:space="preserve"> REF _Ref464204652 \r \h </w:instrText>
      </w:r>
      <w:r w:rsidR="0043732F">
        <w:rPr>
          <w:rFonts w:cs="Arial"/>
        </w:rPr>
      </w:r>
      <w:r w:rsidR="0043732F">
        <w:rPr>
          <w:rFonts w:cs="Arial"/>
        </w:rPr>
        <w:fldChar w:fldCharType="separate"/>
      </w:r>
      <w:r w:rsidR="00F0636B">
        <w:rPr>
          <w:rFonts w:cs="Arial"/>
        </w:rPr>
        <w:t>8:</w:t>
      </w:r>
      <w:r w:rsidR="0043732F">
        <w:rPr>
          <w:rFonts w:cs="Arial"/>
        </w:rPr>
        <w:fldChar w:fldCharType="end"/>
      </w:r>
      <w:r w:rsidR="0043732F">
        <w:rPr>
          <w:rFonts w:cs="Arial"/>
        </w:rPr>
        <w:t xml:space="preserve"> p.</w:t>
      </w:r>
      <w:r w:rsidR="0043732F">
        <w:rPr>
          <w:rFonts w:cs="Arial"/>
        </w:rPr>
        <w:fldChar w:fldCharType="begin"/>
      </w:r>
      <w:r w:rsidR="0043732F">
        <w:rPr>
          <w:rFonts w:cs="Arial"/>
        </w:rPr>
        <w:instrText xml:space="preserve"> PAGEREF _Ref464204674 \h </w:instrText>
      </w:r>
      <w:r w:rsidR="0043732F">
        <w:rPr>
          <w:rFonts w:cs="Arial"/>
        </w:rPr>
      </w:r>
      <w:r w:rsidR="0043732F">
        <w:rPr>
          <w:rFonts w:cs="Arial"/>
        </w:rPr>
        <w:fldChar w:fldCharType="separate"/>
      </w:r>
      <w:r w:rsidR="00F0636B">
        <w:rPr>
          <w:rFonts w:cs="Arial"/>
          <w:noProof/>
        </w:rPr>
        <w:t>85</w:t>
      </w:r>
      <w:r w:rsidR="0043732F">
        <w:rPr>
          <w:rFonts w:cs="Arial"/>
        </w:rPr>
        <w:fldChar w:fldCharType="end"/>
      </w:r>
      <w:r w:rsidR="0043732F">
        <w:rPr>
          <w:rFonts w:cs="Arial"/>
        </w:rPr>
        <w:t>)</w:t>
      </w:r>
      <w:r w:rsidRPr="009548FC">
        <w:rPr>
          <w:rFonts w:cs="Arial"/>
        </w:rPr>
        <w:t>, those ultimately used for the quantitative analysis</w:t>
      </w:r>
      <w:r w:rsidR="004E34F8">
        <w:rPr>
          <w:rFonts w:cs="Arial"/>
        </w:rPr>
        <w:t xml:space="preserve"> </w:t>
      </w:r>
      <w:r w:rsidR="00747EB9">
        <w:rPr>
          <w:rFonts w:cs="Arial"/>
        </w:rPr>
        <w:t>i</w:t>
      </w:r>
      <w:r w:rsidR="004E34F8">
        <w:rPr>
          <w:rFonts w:cs="Arial"/>
        </w:rPr>
        <w:t xml:space="preserve">nclude: </w:t>
      </w:r>
    </w:p>
    <w:p w14:paraId="2EE57E9D" w14:textId="77777777" w:rsidR="00E760C2" w:rsidRPr="006751CE" w:rsidRDefault="00E760C2" w:rsidP="009640D5">
      <w:pPr>
        <w:rPr>
          <w:b/>
        </w:rPr>
      </w:pPr>
      <w:r w:rsidRPr="006751CE">
        <w:rPr>
          <w:b/>
        </w:rPr>
        <w:t>Wider economic performance</w:t>
      </w:r>
    </w:p>
    <w:p w14:paraId="2D7F6364" w14:textId="0968E55E" w:rsidR="00634025" w:rsidRPr="009548FC" w:rsidRDefault="00E760C2">
      <w:pPr>
        <w:rPr>
          <w:rFonts w:cs="Arial"/>
        </w:rPr>
      </w:pPr>
      <w:r w:rsidRPr="009548FC">
        <w:rPr>
          <w:rFonts w:cs="Arial"/>
        </w:rPr>
        <w:t xml:space="preserve">The wider socio-economic performance of local authorities may obviously play a critical role in a) attracting businesses, b) the birth of new businesses and c) business performance (e.g. aggregate turnover). </w:t>
      </w:r>
    </w:p>
    <w:p w14:paraId="20680AB6" w14:textId="77777777" w:rsidR="00E760C2" w:rsidRPr="006751CE" w:rsidRDefault="00E760C2" w:rsidP="009640D5">
      <w:pPr>
        <w:rPr>
          <w:b/>
        </w:rPr>
      </w:pPr>
      <w:r w:rsidRPr="006751CE">
        <w:rPr>
          <w:b/>
        </w:rPr>
        <w:t>Availability of human capital</w:t>
      </w:r>
    </w:p>
    <w:p w14:paraId="526FB764" w14:textId="09C32035" w:rsidR="00E760C2" w:rsidRPr="002B2A84" w:rsidRDefault="00E760C2" w:rsidP="00E760C2">
      <w:pPr>
        <w:rPr>
          <w:rFonts w:cs="Arial"/>
        </w:rPr>
      </w:pPr>
      <w:r w:rsidRPr="00873DB7">
        <w:rPr>
          <w:rFonts w:cs="Arial"/>
        </w:rPr>
        <w:t>The availability of human capital is impor</w:t>
      </w:r>
      <w:r w:rsidRPr="009548FC">
        <w:rPr>
          <w:rFonts w:cs="Arial"/>
        </w:rPr>
        <w:t xml:space="preserve">tant both in terms of attracting existing businesses and </w:t>
      </w:r>
      <w:r w:rsidR="00864B69">
        <w:rPr>
          <w:rFonts w:cs="Arial"/>
        </w:rPr>
        <w:t>the</w:t>
      </w:r>
      <w:r w:rsidRPr="009548FC">
        <w:rPr>
          <w:rFonts w:cs="Arial"/>
        </w:rPr>
        <w:t xml:space="preserve"> creation of new businesses.</w:t>
      </w:r>
    </w:p>
    <w:p w14:paraId="22DB57EA" w14:textId="77777777" w:rsidR="00E760C2" w:rsidRPr="006751CE" w:rsidRDefault="00E760C2" w:rsidP="009640D5">
      <w:pPr>
        <w:rPr>
          <w:b/>
        </w:rPr>
      </w:pPr>
      <w:r w:rsidRPr="006751CE">
        <w:rPr>
          <w:b/>
        </w:rPr>
        <w:t>Transport infrastructure</w:t>
      </w:r>
    </w:p>
    <w:p w14:paraId="0A2D8921" w14:textId="21FDE2C2" w:rsidR="00427EE1" w:rsidRDefault="00427EE1" w:rsidP="009640D5">
      <w:pPr>
        <w:rPr>
          <w:rFonts w:cs="Arial"/>
        </w:rPr>
      </w:pPr>
      <w:r>
        <w:rPr>
          <w:rFonts w:cs="Arial"/>
        </w:rPr>
        <w:t>Transport infrastructure may be a factor in economic development, providing better access to jobs and markets, as well as reducing costs of production.</w:t>
      </w:r>
    </w:p>
    <w:p w14:paraId="49CA40CC" w14:textId="1BA0A26D" w:rsidR="00E760C2" w:rsidRPr="006751CE" w:rsidRDefault="00E760C2" w:rsidP="009640D5">
      <w:pPr>
        <w:rPr>
          <w:b/>
        </w:rPr>
      </w:pPr>
      <w:r w:rsidRPr="006751CE">
        <w:rPr>
          <w:b/>
        </w:rPr>
        <w:t>Network infrastructure</w:t>
      </w:r>
    </w:p>
    <w:p w14:paraId="4E9FABE6" w14:textId="7C83F0EF" w:rsidR="00427EE1" w:rsidRPr="009548FC" w:rsidRDefault="00427EE1" w:rsidP="009640D5">
      <w:pPr>
        <w:rPr>
          <w:rFonts w:cs="Arial"/>
        </w:rPr>
      </w:pPr>
      <w:r>
        <w:rPr>
          <w:rFonts w:cs="Arial"/>
        </w:rPr>
        <w:t>Network infrastructure may be a crucial pull factor for digital or media businesses. Digital and technology companies are a</w:t>
      </w:r>
      <w:r w:rsidR="00D65C9E">
        <w:rPr>
          <w:rFonts w:cs="Arial"/>
        </w:rPr>
        <w:t>n important</w:t>
      </w:r>
      <w:r w:rsidR="00864B69">
        <w:rPr>
          <w:rFonts w:cs="Arial"/>
        </w:rPr>
        <w:t xml:space="preserve"> </w:t>
      </w:r>
      <w:r>
        <w:rPr>
          <w:rFonts w:cs="Arial"/>
        </w:rPr>
        <w:t xml:space="preserve">driver of current economic </w:t>
      </w:r>
      <w:r w:rsidR="00864B69">
        <w:rPr>
          <w:rFonts w:cs="Arial"/>
        </w:rPr>
        <w:t xml:space="preserve">performance </w:t>
      </w:r>
      <w:r>
        <w:rPr>
          <w:rFonts w:cs="Arial"/>
        </w:rPr>
        <w:t>in the UK.</w:t>
      </w:r>
    </w:p>
    <w:p w14:paraId="6A759703" w14:textId="7103DC72" w:rsidR="00E760C2" w:rsidRPr="006751CE" w:rsidRDefault="00E760C2" w:rsidP="009640D5">
      <w:pPr>
        <w:rPr>
          <w:b/>
        </w:rPr>
      </w:pPr>
      <w:r w:rsidRPr="006751CE">
        <w:rPr>
          <w:b/>
        </w:rPr>
        <w:t>Housing density</w:t>
      </w:r>
    </w:p>
    <w:p w14:paraId="3C2F3378" w14:textId="6CBEE9A6" w:rsidR="00E760C2" w:rsidRPr="009548FC" w:rsidRDefault="00864B69" w:rsidP="00E760C2">
      <w:pPr>
        <w:rPr>
          <w:rFonts w:cs="Arial"/>
        </w:rPr>
      </w:pPr>
      <w:r>
        <w:rPr>
          <w:rFonts w:cs="Arial"/>
        </w:rPr>
        <w:t>Housing density</w:t>
      </w:r>
      <w:r w:rsidR="00E760C2" w:rsidRPr="009548FC">
        <w:rPr>
          <w:rFonts w:cs="Arial"/>
        </w:rPr>
        <w:t xml:space="preserve"> was used as a proxy for the degree of “urbanity” of respective local authorities. This may indeed influence business location, either as a push or a pull factor. The push component may be linked to higher premises prices in densely populated areas. The pull component may consist in wanting to locate in densely populated urban centres rather than in semi-urban or rural local authorities. </w:t>
      </w:r>
    </w:p>
    <w:p w14:paraId="0ED28876" w14:textId="77777777" w:rsidR="005D0771" w:rsidRDefault="005D0771" w:rsidP="009640D5">
      <w:pPr>
        <w:rPr>
          <w:b/>
        </w:rPr>
      </w:pPr>
    </w:p>
    <w:p w14:paraId="5211BFF3" w14:textId="5788157E" w:rsidR="00682CD3" w:rsidRPr="006751CE" w:rsidRDefault="00682CD3" w:rsidP="009640D5">
      <w:pPr>
        <w:rPr>
          <w:b/>
        </w:rPr>
      </w:pPr>
      <w:r w:rsidRPr="006751CE">
        <w:rPr>
          <w:b/>
        </w:rPr>
        <w:t>Population</w:t>
      </w:r>
    </w:p>
    <w:p w14:paraId="0DFDAAA4" w14:textId="740E5EDD" w:rsidR="00682CD3" w:rsidRDefault="00682CD3" w:rsidP="00171CF3">
      <w:pPr>
        <w:rPr>
          <w:rFonts w:cs="Arial"/>
        </w:rPr>
      </w:pPr>
      <w:r>
        <w:rPr>
          <w:rFonts w:cs="Arial"/>
        </w:rPr>
        <w:lastRenderedPageBreak/>
        <w:t>The ‘size of the market’ can be represented by the population.</w:t>
      </w:r>
    </w:p>
    <w:p w14:paraId="675D328C" w14:textId="731663A3" w:rsidR="00E760C2" w:rsidRPr="006751CE" w:rsidRDefault="00E760C2" w:rsidP="009640D5">
      <w:pPr>
        <w:rPr>
          <w:b/>
        </w:rPr>
      </w:pPr>
      <w:r w:rsidRPr="006751CE">
        <w:rPr>
          <w:b/>
        </w:rPr>
        <w:t>Wellbeing</w:t>
      </w:r>
    </w:p>
    <w:p w14:paraId="4C87298C" w14:textId="3CF9586E" w:rsidR="00427EE1" w:rsidRDefault="00E760C2">
      <w:pPr>
        <w:rPr>
          <w:rFonts w:cs="Arial"/>
        </w:rPr>
      </w:pPr>
      <w:r w:rsidRPr="009548FC">
        <w:rPr>
          <w:rFonts w:cs="Arial"/>
        </w:rPr>
        <w:t xml:space="preserve">Beyond strictly “hard” economic push and pull factors, other aspects may also attract firms or constitute enabling conditions for businesses. For example, areas of high wellbeing may constitute a pull factor for entrepreneurs – and by extension for firms. </w:t>
      </w:r>
    </w:p>
    <w:p w14:paraId="43E55DD3" w14:textId="77777777" w:rsidR="00E760C2" w:rsidRPr="009548FC" w:rsidRDefault="00E760C2" w:rsidP="00E760C2">
      <w:pPr>
        <w:pStyle w:val="Heading3Numbered"/>
      </w:pPr>
      <w:bookmarkStart w:id="40" w:name="_Toc467569597"/>
      <w:r w:rsidRPr="009548FC">
        <w:t>Spatial considerations</w:t>
      </w:r>
      <w:bookmarkEnd w:id="40"/>
    </w:p>
    <w:p w14:paraId="61F7FBAE" w14:textId="77777777" w:rsidR="003F0EF7" w:rsidRDefault="00E760C2" w:rsidP="00E760C2">
      <w:pPr>
        <w:rPr>
          <w:rFonts w:cs="Arial"/>
        </w:rPr>
      </w:pPr>
      <w:r w:rsidRPr="009548FC">
        <w:rPr>
          <w:rFonts w:cs="Arial"/>
        </w:rPr>
        <w:t>In additional to control indicators, we also derived proxy indicators to make the geographical distinction between different groups of local authorities. Indeed, it may be challenging to understand the impact of CS&amp;H assets and investment by simply aggregating all local authorities, regardless of whether they are predominantly urban or rural, or indeed located in major urban centres or not.</w:t>
      </w:r>
    </w:p>
    <w:p w14:paraId="068BD791" w14:textId="77777777" w:rsidR="003F0EF7" w:rsidRDefault="003F0EF7" w:rsidP="003F0EF7">
      <w:pPr>
        <w:rPr>
          <w:rFonts w:cs="Arial"/>
        </w:rPr>
      </w:pPr>
      <w:r>
        <w:rPr>
          <w:rFonts w:cs="Arial"/>
        </w:rPr>
        <w:t>Areas more central to cities may tend to have more listed buildings, and a higher concentration of firms. Therefore, effects of the impact of cultural and heritage assets on economic development in an area may relate to the fact that both are more likely to occur in centrally located local authorities in urban areas. In larger urban population centres with multiple local authorities, the distribution of listed buildings is important, and thus results are sensitive to geography.</w:t>
      </w:r>
    </w:p>
    <w:p w14:paraId="514D368D" w14:textId="5F71D1A2" w:rsidR="00E760C2" w:rsidRPr="009548FC" w:rsidRDefault="00E760C2" w:rsidP="00E760C2">
      <w:pPr>
        <w:rPr>
          <w:rFonts w:cs="Arial"/>
        </w:rPr>
      </w:pPr>
      <w:r w:rsidRPr="009548FC">
        <w:rPr>
          <w:rFonts w:cs="Arial"/>
        </w:rPr>
        <w:t xml:space="preserve">To account for these differences, we </w:t>
      </w:r>
      <w:r w:rsidR="00D65C9E">
        <w:rPr>
          <w:rFonts w:cs="Arial"/>
        </w:rPr>
        <w:t>grouped</w:t>
      </w:r>
      <w:r w:rsidR="00D65C9E" w:rsidRPr="009548FC">
        <w:rPr>
          <w:rFonts w:cs="Arial"/>
        </w:rPr>
        <w:t xml:space="preserve"> </w:t>
      </w:r>
      <w:r w:rsidRPr="009548FC">
        <w:rPr>
          <w:rFonts w:cs="Arial"/>
        </w:rPr>
        <w:t xml:space="preserve">local authorities into </w:t>
      </w:r>
      <w:r w:rsidR="003F0EF7">
        <w:rPr>
          <w:rFonts w:cs="Arial"/>
        </w:rPr>
        <w:t>two</w:t>
      </w:r>
      <w:r w:rsidR="003F0EF7" w:rsidRPr="009548FC">
        <w:rPr>
          <w:rFonts w:cs="Arial"/>
        </w:rPr>
        <w:t xml:space="preserve"> </w:t>
      </w:r>
      <w:r w:rsidRPr="009548FC">
        <w:rPr>
          <w:rFonts w:cs="Arial"/>
        </w:rPr>
        <w:t>categories</w:t>
      </w:r>
      <w:r w:rsidR="003F0EF7" w:rsidRPr="003F0EF7">
        <w:rPr>
          <w:rFonts w:cs="Arial"/>
        </w:rPr>
        <w:t xml:space="preserve">, to test if results </w:t>
      </w:r>
      <w:r w:rsidR="003F0EF7">
        <w:rPr>
          <w:rFonts w:cs="Arial"/>
        </w:rPr>
        <w:t>varied</w:t>
      </w:r>
      <w:r w:rsidR="003F0EF7" w:rsidRPr="003F0EF7">
        <w:rPr>
          <w:rFonts w:cs="Arial"/>
        </w:rPr>
        <w:t xml:space="preserve"> in different areas</w:t>
      </w:r>
      <w:r w:rsidRPr="009548FC">
        <w:rPr>
          <w:rFonts w:cs="Arial"/>
        </w:rPr>
        <w:t xml:space="preserve">: </w:t>
      </w:r>
    </w:p>
    <w:p w14:paraId="23B09AC5" w14:textId="77777777" w:rsidR="00E760C2" w:rsidRPr="009548FC" w:rsidRDefault="00E760C2" w:rsidP="006751CE">
      <w:pPr>
        <w:pStyle w:val="Bullet"/>
      </w:pPr>
      <w:r w:rsidRPr="009548FC">
        <w:t>Those which form part of a major urban centre (even if partially), including Greater London</w:t>
      </w:r>
    </w:p>
    <w:p w14:paraId="492E3575" w14:textId="6380B4C7" w:rsidR="00E760C2" w:rsidRPr="009548FC" w:rsidRDefault="00E760C2" w:rsidP="006751CE">
      <w:pPr>
        <w:pStyle w:val="Bullet"/>
      </w:pPr>
      <w:r w:rsidRPr="009548FC">
        <w:t xml:space="preserve">Those which contain no urban centre at all, i.e. </w:t>
      </w:r>
      <w:r w:rsidR="000D590D">
        <w:t>those</w:t>
      </w:r>
      <w:r w:rsidRPr="009548FC">
        <w:t xml:space="preserve"> which are predominantly rural</w:t>
      </w:r>
    </w:p>
    <w:p w14:paraId="465309F2" w14:textId="5BA42602" w:rsidR="003F0EF7" w:rsidRDefault="00E760C2" w:rsidP="00E760C2">
      <w:pPr>
        <w:rPr>
          <w:rFonts w:cs="Arial"/>
        </w:rPr>
      </w:pPr>
      <w:r w:rsidRPr="009548FC">
        <w:rPr>
          <w:rFonts w:cs="Arial"/>
        </w:rPr>
        <w:t xml:space="preserve">This clustering allowed us to provide aggregate estimations for each of the regressions run, </w:t>
      </w:r>
      <w:r w:rsidR="00D65C9E">
        <w:rPr>
          <w:rFonts w:cs="Arial"/>
        </w:rPr>
        <w:t>and</w:t>
      </w:r>
      <w:r w:rsidRPr="009548FC">
        <w:rPr>
          <w:rFonts w:cs="Arial"/>
        </w:rPr>
        <w:t xml:space="preserve"> to test relationship</w:t>
      </w:r>
      <w:r w:rsidR="000D590D">
        <w:rPr>
          <w:rFonts w:cs="Arial"/>
        </w:rPr>
        <w:t>s</w:t>
      </w:r>
      <w:r w:rsidRPr="009548FC">
        <w:rPr>
          <w:rFonts w:cs="Arial"/>
        </w:rPr>
        <w:t xml:space="preserve"> for different groups of local authorities.</w:t>
      </w:r>
    </w:p>
    <w:p w14:paraId="0CC5A4B2" w14:textId="43531443" w:rsidR="00E760C2" w:rsidRPr="009548FC" w:rsidRDefault="003F0EF7" w:rsidP="00E760C2">
      <w:pPr>
        <w:rPr>
          <w:rFonts w:cs="Arial"/>
        </w:rPr>
      </w:pPr>
      <w:r>
        <w:rPr>
          <w:rFonts w:cs="Arial"/>
        </w:rPr>
        <w:t>The results were run separately in the panel data for local authorities in rural and urban locations, to account for these differences. These are reported for the creative firms analysis, where it can be seen that results do not vary significantly whether the Local Authority contains a major urban centre or not.</w:t>
      </w:r>
    </w:p>
    <w:p w14:paraId="154BF651" w14:textId="77777777" w:rsidR="00E760C2" w:rsidRPr="009548FC" w:rsidRDefault="00E760C2" w:rsidP="00E760C2">
      <w:pPr>
        <w:pStyle w:val="Heading3Numbered"/>
      </w:pPr>
      <w:bookmarkStart w:id="41" w:name="_Toc467569598"/>
      <w:r w:rsidRPr="009548FC">
        <w:t>Temporal considerations</w:t>
      </w:r>
      <w:bookmarkEnd w:id="41"/>
    </w:p>
    <w:p w14:paraId="1E353700" w14:textId="77777777" w:rsidR="00E760C2" w:rsidRPr="009548FC" w:rsidRDefault="00E760C2" w:rsidP="00E760C2">
      <w:pPr>
        <w:jc w:val="both"/>
        <w:rPr>
          <w:rFonts w:cs="Arial"/>
        </w:rPr>
      </w:pPr>
      <w:r w:rsidRPr="009548FC">
        <w:rPr>
          <w:rFonts w:cs="Arial"/>
        </w:rPr>
        <w:t>Some of the data was only available at a single point in time, and was not available longitudinally. Therefore we estimate two sets of models:</w:t>
      </w:r>
    </w:p>
    <w:p w14:paraId="7A8BCFF7" w14:textId="228DD79D" w:rsidR="00E760C2" w:rsidRPr="009548FC" w:rsidRDefault="00E760C2" w:rsidP="006751CE">
      <w:pPr>
        <w:pStyle w:val="Bullet"/>
      </w:pPr>
      <w:r w:rsidRPr="009548FC">
        <w:t>Cross-sectional models</w:t>
      </w:r>
    </w:p>
    <w:p w14:paraId="60B6362F" w14:textId="77777777" w:rsidR="00E760C2" w:rsidRPr="009548FC" w:rsidRDefault="00E760C2" w:rsidP="006751CE">
      <w:pPr>
        <w:pStyle w:val="Bullet"/>
      </w:pPr>
      <w:r w:rsidRPr="009548FC">
        <w:t>Panel data models</w:t>
      </w:r>
    </w:p>
    <w:p w14:paraId="494981DD" w14:textId="7A27427A" w:rsidR="00E760C2" w:rsidRPr="009548FC" w:rsidRDefault="00E760C2" w:rsidP="00E760C2">
      <w:pPr>
        <w:jc w:val="both"/>
        <w:rPr>
          <w:rFonts w:cs="Arial"/>
        </w:rPr>
      </w:pPr>
      <w:r w:rsidRPr="009548FC">
        <w:rPr>
          <w:rFonts w:cs="Arial"/>
        </w:rPr>
        <w:t xml:space="preserve">Cross-sectional models are estimated using point in time data for 2013 only. This allows more variables to be included. </w:t>
      </w:r>
    </w:p>
    <w:p w14:paraId="2407DE7E" w14:textId="653D19A4" w:rsidR="00E760C2" w:rsidRPr="009548FC" w:rsidRDefault="00E760C2" w:rsidP="00E760C2">
      <w:pPr>
        <w:jc w:val="both"/>
        <w:rPr>
          <w:rFonts w:cs="Arial"/>
        </w:rPr>
      </w:pPr>
      <w:r w:rsidRPr="009548FC">
        <w:rPr>
          <w:rFonts w:cs="Arial"/>
        </w:rPr>
        <w:t>Panel data models allow us to test data over multiple points in time, although fewer variables can be tested. This has a stronger causal interpretation, as we can control for unobserved area-specific agglomeration effects (i</w:t>
      </w:r>
      <w:r w:rsidR="000D590D">
        <w:rPr>
          <w:rFonts w:cs="Arial"/>
        </w:rPr>
        <w:t>.</w:t>
      </w:r>
      <w:r w:rsidRPr="009548FC">
        <w:rPr>
          <w:rFonts w:cs="Arial"/>
        </w:rPr>
        <w:t>e. any time-invariant characteristics of an area for which we do not currently have data but may be skewing results).</w:t>
      </w:r>
    </w:p>
    <w:p w14:paraId="5CEF4E21" w14:textId="4878D034" w:rsidR="00E760C2" w:rsidRPr="00873DB7" w:rsidRDefault="00E760C2" w:rsidP="00E760C2">
      <w:pPr>
        <w:jc w:val="both"/>
        <w:rPr>
          <w:rFonts w:cs="Arial"/>
        </w:rPr>
      </w:pPr>
      <w:r w:rsidRPr="009A43FB">
        <w:rPr>
          <w:rFonts w:cs="Arial"/>
        </w:rPr>
        <w:fldChar w:fldCharType="begin"/>
      </w:r>
      <w:r w:rsidRPr="009548FC">
        <w:rPr>
          <w:rFonts w:cs="Arial"/>
        </w:rPr>
        <w:instrText xml:space="preserve"> REF _Ref457387995 \h </w:instrText>
      </w:r>
      <w:r>
        <w:rPr>
          <w:rFonts w:cs="Arial"/>
        </w:rPr>
        <w:instrText xml:space="preserve"> \* MERGEFORMAT </w:instrText>
      </w:r>
      <w:r w:rsidRPr="009A43FB">
        <w:rPr>
          <w:rFonts w:cs="Arial"/>
        </w:rPr>
      </w:r>
      <w:r w:rsidRPr="009A43FB">
        <w:rPr>
          <w:rFonts w:cs="Arial"/>
        </w:rPr>
        <w:fldChar w:fldCharType="separate"/>
      </w:r>
      <w:r w:rsidR="00F0636B" w:rsidRPr="009548FC">
        <w:t xml:space="preserve">Table </w:t>
      </w:r>
      <w:r w:rsidR="00F0636B">
        <w:rPr>
          <w:noProof/>
        </w:rPr>
        <w:t>1</w:t>
      </w:r>
      <w:r w:rsidRPr="009A43FB">
        <w:rPr>
          <w:rFonts w:cs="Arial"/>
        </w:rPr>
        <w:fldChar w:fldCharType="end"/>
      </w:r>
      <w:r w:rsidRPr="009548FC">
        <w:rPr>
          <w:rFonts w:cs="Arial"/>
        </w:rPr>
        <w:t xml:space="preserve"> </w:t>
      </w:r>
      <w:r w:rsidRPr="009A43FB">
        <w:rPr>
          <w:rFonts w:cs="Arial"/>
        </w:rPr>
        <w:t>show</w:t>
      </w:r>
      <w:r w:rsidRPr="00873DB7">
        <w:rPr>
          <w:rFonts w:cs="Arial"/>
        </w:rPr>
        <w:t>s the variables for which we have single or multiple points.</w:t>
      </w:r>
    </w:p>
    <w:p w14:paraId="63953754" w14:textId="77777777" w:rsidR="00E760C2" w:rsidRPr="009548FC" w:rsidRDefault="00E760C2" w:rsidP="00E760C2">
      <w:pPr>
        <w:jc w:val="both"/>
        <w:rPr>
          <w:rFonts w:cs="Arial"/>
        </w:rPr>
      </w:pPr>
    </w:p>
    <w:p w14:paraId="6E788E92" w14:textId="77777777" w:rsidR="00E760C2" w:rsidRPr="009548FC" w:rsidRDefault="00E760C2" w:rsidP="00E760C2">
      <w:pPr>
        <w:pStyle w:val="Caption"/>
      </w:pPr>
      <w:bookmarkStart w:id="42" w:name="_Ref457387995"/>
      <w:bookmarkStart w:id="43" w:name="_Ref457387988"/>
      <w:bookmarkStart w:id="44" w:name="_Toc467569656"/>
      <w:r w:rsidRPr="009548FC">
        <w:t xml:space="preserve">Table </w:t>
      </w:r>
      <w:r w:rsidRPr="00982C4F">
        <w:fldChar w:fldCharType="begin"/>
      </w:r>
      <w:r w:rsidRPr="009548FC">
        <w:instrText xml:space="preserve"> SEQ Table \* ARABIC </w:instrText>
      </w:r>
      <w:r w:rsidRPr="00982C4F">
        <w:fldChar w:fldCharType="separate"/>
      </w:r>
      <w:r w:rsidR="00F0636B">
        <w:rPr>
          <w:noProof/>
        </w:rPr>
        <w:t>1</w:t>
      </w:r>
      <w:r w:rsidRPr="00982C4F">
        <w:rPr>
          <w:noProof/>
        </w:rPr>
        <w:fldChar w:fldCharType="end"/>
      </w:r>
      <w:bookmarkEnd w:id="42"/>
      <w:r w:rsidRPr="009548FC">
        <w:t>: Data types</w:t>
      </w:r>
      <w:bookmarkEnd w:id="43"/>
      <w:bookmarkEnd w:id="44"/>
    </w:p>
    <w:tbl>
      <w:tblPr>
        <w:tblStyle w:val="TableGrid"/>
        <w:tblW w:w="0" w:type="auto"/>
        <w:tblLook w:val="04A0" w:firstRow="1" w:lastRow="0" w:firstColumn="1" w:lastColumn="0" w:noHBand="0" w:noVBand="1"/>
      </w:tblPr>
      <w:tblGrid>
        <w:gridCol w:w="4508"/>
        <w:gridCol w:w="4508"/>
      </w:tblGrid>
      <w:tr w:rsidR="00E760C2" w:rsidRPr="009548FC" w14:paraId="6082ABAD" w14:textId="77777777" w:rsidTr="00753A00">
        <w:tc>
          <w:tcPr>
            <w:tcW w:w="4508" w:type="dxa"/>
            <w:tcBorders>
              <w:top w:val="single" w:sz="4" w:space="0" w:color="auto"/>
              <w:left w:val="single" w:sz="4" w:space="0" w:color="auto"/>
              <w:bottom w:val="single" w:sz="4" w:space="0" w:color="auto"/>
              <w:right w:val="single" w:sz="4" w:space="0" w:color="auto"/>
            </w:tcBorders>
            <w:hideMark/>
          </w:tcPr>
          <w:p w14:paraId="220256F3" w14:textId="4F2E48E4" w:rsidR="00E760C2" w:rsidRPr="009548FC" w:rsidRDefault="00E760C2" w:rsidP="00753A00">
            <w:pPr>
              <w:spacing w:after="120"/>
              <w:ind w:left="0"/>
              <w:rPr>
                <w:rFonts w:cs="Arial"/>
                <w:szCs w:val="22"/>
              </w:rPr>
            </w:pPr>
            <w:r w:rsidRPr="009548FC">
              <w:rPr>
                <w:rFonts w:cs="Arial"/>
              </w:rPr>
              <w:t>Cross-sectional data</w:t>
            </w:r>
          </w:p>
        </w:tc>
        <w:tc>
          <w:tcPr>
            <w:tcW w:w="4508" w:type="dxa"/>
            <w:tcBorders>
              <w:top w:val="single" w:sz="4" w:space="0" w:color="auto"/>
              <w:left w:val="single" w:sz="4" w:space="0" w:color="auto"/>
              <w:bottom w:val="single" w:sz="4" w:space="0" w:color="auto"/>
              <w:right w:val="single" w:sz="4" w:space="0" w:color="auto"/>
            </w:tcBorders>
            <w:hideMark/>
          </w:tcPr>
          <w:p w14:paraId="4ECE6EEF" w14:textId="77777777" w:rsidR="00E760C2" w:rsidRPr="009548FC" w:rsidRDefault="00E760C2" w:rsidP="00753A00">
            <w:pPr>
              <w:spacing w:after="120"/>
              <w:ind w:left="0"/>
              <w:rPr>
                <w:rFonts w:cs="Arial"/>
                <w:szCs w:val="22"/>
              </w:rPr>
            </w:pPr>
            <w:r w:rsidRPr="009548FC">
              <w:rPr>
                <w:rFonts w:cs="Arial"/>
              </w:rPr>
              <w:t>Panel data</w:t>
            </w:r>
          </w:p>
        </w:tc>
      </w:tr>
      <w:tr w:rsidR="00E760C2" w:rsidRPr="009548FC" w14:paraId="28A386B4" w14:textId="77777777" w:rsidTr="00753A00">
        <w:tc>
          <w:tcPr>
            <w:tcW w:w="4508" w:type="dxa"/>
            <w:tcBorders>
              <w:top w:val="single" w:sz="4" w:space="0" w:color="auto"/>
              <w:left w:val="single" w:sz="4" w:space="0" w:color="auto"/>
              <w:bottom w:val="single" w:sz="4" w:space="0" w:color="auto"/>
              <w:right w:val="single" w:sz="4" w:space="0" w:color="auto"/>
            </w:tcBorders>
            <w:hideMark/>
          </w:tcPr>
          <w:p w14:paraId="1000F86C" w14:textId="77777777" w:rsidR="00E760C2" w:rsidRPr="009548FC" w:rsidRDefault="00E760C2" w:rsidP="00753A00">
            <w:pPr>
              <w:ind w:left="0"/>
              <w:rPr>
                <w:rFonts w:cs="Arial"/>
              </w:rPr>
            </w:pPr>
            <w:r w:rsidRPr="009548FC">
              <w:rPr>
                <w:rFonts w:cs="Arial"/>
              </w:rPr>
              <w:t>Heritage assets density (natural assets and listed buildings/monuments)</w:t>
            </w:r>
          </w:p>
          <w:p w14:paraId="10470248" w14:textId="77777777" w:rsidR="00E760C2" w:rsidRPr="009548FC" w:rsidRDefault="00E760C2" w:rsidP="00753A00">
            <w:pPr>
              <w:ind w:left="0"/>
              <w:rPr>
                <w:rFonts w:cs="Arial"/>
              </w:rPr>
            </w:pPr>
            <w:r w:rsidRPr="009548FC">
              <w:rPr>
                <w:rFonts w:cs="Arial"/>
              </w:rPr>
              <w:t>Sports assets density</w:t>
            </w:r>
          </w:p>
          <w:p w14:paraId="0F2F3CBB" w14:textId="77777777" w:rsidR="00E760C2" w:rsidRPr="009548FC" w:rsidRDefault="00E760C2" w:rsidP="00753A00">
            <w:pPr>
              <w:ind w:left="0"/>
              <w:rPr>
                <w:rFonts w:cs="Arial"/>
              </w:rPr>
            </w:pPr>
            <w:r w:rsidRPr="009548FC">
              <w:rPr>
                <w:rFonts w:cs="Arial"/>
              </w:rPr>
              <w:t>Libraries</w:t>
            </w:r>
          </w:p>
          <w:p w14:paraId="22398ABB" w14:textId="77777777" w:rsidR="00E760C2" w:rsidRPr="009548FC" w:rsidRDefault="00E760C2" w:rsidP="00753A00">
            <w:pPr>
              <w:ind w:left="0"/>
              <w:rPr>
                <w:rFonts w:cs="Arial"/>
              </w:rPr>
            </w:pPr>
            <w:r w:rsidRPr="009548FC">
              <w:rPr>
                <w:rFonts w:cs="Arial"/>
              </w:rPr>
              <w:t>Life satisfaction</w:t>
            </w:r>
          </w:p>
          <w:p w14:paraId="148BF5A3" w14:textId="77777777" w:rsidR="00E760C2" w:rsidRPr="009548FC" w:rsidRDefault="00E760C2" w:rsidP="00753A00">
            <w:pPr>
              <w:ind w:left="0"/>
              <w:rPr>
                <w:rFonts w:cs="Arial"/>
              </w:rPr>
            </w:pPr>
            <w:r w:rsidRPr="009548FC">
              <w:rPr>
                <w:rFonts w:cs="Arial"/>
              </w:rPr>
              <w:t>Transport infrastructure</w:t>
            </w:r>
          </w:p>
          <w:p w14:paraId="585B2F8D" w14:textId="77777777" w:rsidR="00E760C2" w:rsidRPr="009548FC" w:rsidRDefault="00E760C2" w:rsidP="00753A00">
            <w:pPr>
              <w:spacing w:after="120"/>
              <w:ind w:left="0"/>
              <w:rPr>
                <w:rFonts w:cs="Arial"/>
                <w:szCs w:val="22"/>
              </w:rPr>
            </w:pPr>
            <w:r w:rsidRPr="009548FC">
              <w:rPr>
                <w:rFonts w:cs="Arial"/>
              </w:rPr>
              <w:t>Network infrastructure</w:t>
            </w:r>
          </w:p>
        </w:tc>
        <w:tc>
          <w:tcPr>
            <w:tcW w:w="4508" w:type="dxa"/>
            <w:tcBorders>
              <w:top w:val="single" w:sz="4" w:space="0" w:color="auto"/>
              <w:left w:val="single" w:sz="4" w:space="0" w:color="auto"/>
              <w:bottom w:val="single" w:sz="4" w:space="0" w:color="auto"/>
              <w:right w:val="single" w:sz="4" w:space="0" w:color="auto"/>
            </w:tcBorders>
            <w:hideMark/>
          </w:tcPr>
          <w:p w14:paraId="3D3C1D0C" w14:textId="77777777" w:rsidR="00E760C2" w:rsidRPr="009548FC" w:rsidRDefault="00E760C2" w:rsidP="00753A00">
            <w:pPr>
              <w:ind w:left="0"/>
              <w:rPr>
                <w:rFonts w:cs="Arial"/>
              </w:rPr>
            </w:pPr>
            <w:r w:rsidRPr="009548FC">
              <w:rPr>
                <w:rFonts w:cs="Arial"/>
              </w:rPr>
              <w:t>Per capita investment in CS&amp;H</w:t>
            </w:r>
          </w:p>
          <w:p w14:paraId="4633339E" w14:textId="77777777" w:rsidR="00E760C2" w:rsidRPr="009548FC" w:rsidRDefault="00E760C2" w:rsidP="00753A00">
            <w:pPr>
              <w:ind w:left="0"/>
              <w:rPr>
                <w:rFonts w:cs="Arial"/>
              </w:rPr>
            </w:pPr>
            <w:r w:rsidRPr="009548FC">
              <w:rPr>
                <w:rFonts w:cs="Arial"/>
              </w:rPr>
              <w:t>Employment rate</w:t>
            </w:r>
          </w:p>
          <w:p w14:paraId="35502192" w14:textId="77777777" w:rsidR="00E760C2" w:rsidRPr="009548FC" w:rsidRDefault="00E760C2" w:rsidP="00753A00">
            <w:pPr>
              <w:ind w:left="0"/>
              <w:rPr>
                <w:rFonts w:cs="Arial"/>
              </w:rPr>
            </w:pPr>
            <w:r w:rsidRPr="009548FC">
              <w:rPr>
                <w:rFonts w:cs="Arial"/>
              </w:rPr>
              <w:t>Proportion of skilled employment</w:t>
            </w:r>
          </w:p>
          <w:p w14:paraId="5E24AA77" w14:textId="77777777" w:rsidR="00E760C2" w:rsidRPr="009548FC" w:rsidRDefault="00E760C2" w:rsidP="00753A00">
            <w:pPr>
              <w:ind w:left="0"/>
              <w:rPr>
                <w:rFonts w:cs="Arial"/>
              </w:rPr>
            </w:pPr>
            <w:r w:rsidRPr="009548FC">
              <w:rPr>
                <w:rFonts w:cs="Arial"/>
              </w:rPr>
              <w:t>GVA</w:t>
            </w:r>
          </w:p>
          <w:p w14:paraId="3FAC7B8F" w14:textId="77777777" w:rsidR="00E760C2" w:rsidRPr="009548FC" w:rsidRDefault="00E760C2" w:rsidP="00753A00">
            <w:pPr>
              <w:ind w:left="0"/>
              <w:rPr>
                <w:rFonts w:cs="Arial"/>
              </w:rPr>
            </w:pPr>
            <w:r w:rsidRPr="009548FC">
              <w:rPr>
                <w:rFonts w:cs="Arial"/>
              </w:rPr>
              <w:t>Size of the market (population)</w:t>
            </w:r>
          </w:p>
          <w:p w14:paraId="570CFF1B" w14:textId="77777777" w:rsidR="00E760C2" w:rsidRPr="009548FC" w:rsidRDefault="00E760C2" w:rsidP="00753A00">
            <w:pPr>
              <w:spacing w:after="120"/>
              <w:ind w:left="0"/>
              <w:rPr>
                <w:rFonts w:cs="Arial"/>
                <w:szCs w:val="22"/>
              </w:rPr>
            </w:pPr>
            <w:r w:rsidRPr="009548FC">
              <w:rPr>
                <w:rFonts w:cs="Arial"/>
              </w:rPr>
              <w:t>Housing density</w:t>
            </w:r>
          </w:p>
        </w:tc>
      </w:tr>
    </w:tbl>
    <w:p w14:paraId="121FD4A8" w14:textId="77777777" w:rsidR="00E760C2" w:rsidRPr="009548FC" w:rsidRDefault="00E760C2" w:rsidP="00E760C2">
      <w:pPr>
        <w:widowControl w:val="0"/>
        <w:autoSpaceDE w:val="0"/>
        <w:autoSpaceDN w:val="0"/>
        <w:adjustRightInd w:val="0"/>
        <w:spacing w:before="0" w:after="120" w:line="276" w:lineRule="auto"/>
        <w:ind w:left="0"/>
        <w:contextualSpacing/>
        <w:rPr>
          <w:rFonts w:eastAsia="Calibri" w:cs="Arial"/>
          <w:szCs w:val="22"/>
        </w:rPr>
      </w:pPr>
    </w:p>
    <w:p w14:paraId="6A2DF9B6" w14:textId="77777777" w:rsidR="00E760C2" w:rsidRPr="009548FC" w:rsidRDefault="00E760C2" w:rsidP="00E760C2">
      <w:pPr>
        <w:pStyle w:val="Heading1Numbered"/>
        <w:rPr>
          <w:rFonts w:eastAsia="Calibri" w:cs="Arial"/>
        </w:rPr>
      </w:pPr>
      <w:bookmarkStart w:id="45" w:name="_Toc467569599"/>
      <w:r w:rsidRPr="009548FC">
        <w:rPr>
          <w:rFonts w:eastAsia="Calibri" w:cs="Arial"/>
        </w:rPr>
        <w:lastRenderedPageBreak/>
        <w:t>Econometric analysis and findings</w:t>
      </w:r>
      <w:bookmarkEnd w:id="45"/>
    </w:p>
    <w:p w14:paraId="00D19C4E" w14:textId="5DD82D3C" w:rsidR="00E760C2" w:rsidRPr="009548FC" w:rsidRDefault="00E760C2" w:rsidP="00E760C2">
      <w:pPr>
        <w:rPr>
          <w:rFonts w:eastAsia="Calibri" w:cs="Arial"/>
        </w:rPr>
      </w:pPr>
      <w:r w:rsidRPr="009548FC">
        <w:rPr>
          <w:rFonts w:eastAsia="Calibri" w:cs="Arial"/>
        </w:rPr>
        <w:t>This chapter sets out the results of our econometric analysis. Although some results are promising and there are clear links between some variables and CS&amp;H assets and investment, results are not always consistent across models or specifications. Therefore the chapter concludes by discussing some important caveats of the results.</w:t>
      </w:r>
    </w:p>
    <w:p w14:paraId="04660001" w14:textId="77777777" w:rsidR="00E760C2" w:rsidRPr="009548FC" w:rsidRDefault="00E760C2" w:rsidP="00E760C2">
      <w:pPr>
        <w:pStyle w:val="Heading2Numbered"/>
        <w:rPr>
          <w:rFonts w:eastAsia="Calibri"/>
        </w:rPr>
      </w:pPr>
      <w:bookmarkStart w:id="46" w:name="_Toc467569600"/>
      <w:r w:rsidRPr="009548FC">
        <w:rPr>
          <w:rFonts w:eastAsia="Calibri"/>
        </w:rPr>
        <w:t>All firms</w:t>
      </w:r>
      <w:bookmarkEnd w:id="46"/>
    </w:p>
    <w:p w14:paraId="5FC39BFA" w14:textId="494C488A" w:rsidR="00135AE3" w:rsidRDefault="00E760C2" w:rsidP="00E760C2">
      <w:pPr>
        <w:rPr>
          <w:rFonts w:eastAsia="Calibri" w:cs="Arial"/>
        </w:rPr>
      </w:pPr>
      <w:r w:rsidRPr="009548FC">
        <w:rPr>
          <w:rFonts w:eastAsia="Calibri" w:cs="Arial"/>
        </w:rPr>
        <w:t>We first present the results of our analysis of the relationship</w:t>
      </w:r>
      <w:r w:rsidR="0044105E">
        <w:rPr>
          <w:rFonts w:eastAsia="Calibri" w:cs="Arial"/>
        </w:rPr>
        <w:t>s</w:t>
      </w:r>
      <w:r w:rsidRPr="009548FC">
        <w:rPr>
          <w:rFonts w:eastAsia="Calibri" w:cs="Arial"/>
        </w:rPr>
        <w:t xml:space="preserve"> between CS&amp;H assets and investment and local economies as a whole (including all firms). As this is an analysis that – to the authors’ knowledge – has not been considered econometrically before, these results are highly exploratory and should be considered a starting point for future research.</w:t>
      </w:r>
    </w:p>
    <w:p w14:paraId="581AEB86" w14:textId="0E87A5A3" w:rsidR="00E760C2" w:rsidRPr="009548FC" w:rsidRDefault="00E760C2" w:rsidP="00E760C2">
      <w:pPr>
        <w:rPr>
          <w:rFonts w:eastAsia="Calibri" w:cs="Arial"/>
        </w:rPr>
      </w:pPr>
      <w:r w:rsidRPr="009548FC">
        <w:rPr>
          <w:rFonts w:eastAsia="Calibri" w:cs="Arial"/>
        </w:rPr>
        <w:t xml:space="preserve">All models are estimated using data for the year 2013. </w:t>
      </w:r>
    </w:p>
    <w:p w14:paraId="1BCA4BC1" w14:textId="77777777" w:rsidR="00E760C2" w:rsidRPr="009548FC" w:rsidRDefault="00E760C2" w:rsidP="00E760C2">
      <w:pPr>
        <w:pStyle w:val="Heading3Numbered"/>
        <w:rPr>
          <w:rFonts w:eastAsia="Calibri"/>
        </w:rPr>
      </w:pPr>
      <w:bookmarkStart w:id="47" w:name="_Toc467569601"/>
      <w:r w:rsidRPr="009548FC">
        <w:rPr>
          <w:rFonts w:eastAsia="Calibri"/>
        </w:rPr>
        <w:t>Cross-sectional models – all firms</w:t>
      </w:r>
      <w:bookmarkEnd w:id="47"/>
    </w:p>
    <w:p w14:paraId="3AC8FE0F" w14:textId="0F65F77C" w:rsidR="00E760C2" w:rsidRPr="009548FC" w:rsidRDefault="00E760C2" w:rsidP="00E760C2">
      <w:pPr>
        <w:rPr>
          <w:rFonts w:eastAsia="Calibri" w:cs="Arial"/>
        </w:rPr>
      </w:pPr>
      <w:r w:rsidRPr="009548FC">
        <w:rPr>
          <w:rFonts w:eastAsia="Calibri" w:cs="Arial"/>
        </w:rPr>
        <w:t xml:space="preserve">The results for the relationships between all firms’ turnover, concentration and migration and CS&amp;H assets and investment are presented below in </w:t>
      </w:r>
      <w:r w:rsidRPr="00E760C2">
        <w:rPr>
          <w:rFonts w:eastAsia="Calibri" w:cs="Arial"/>
        </w:rPr>
        <w:fldChar w:fldCharType="begin"/>
      </w:r>
      <w:r w:rsidRPr="009548FC">
        <w:rPr>
          <w:rFonts w:eastAsia="Calibri" w:cs="Arial"/>
        </w:rPr>
        <w:instrText xml:space="preserve"> REF _Ref450040279 \h  \* MERGEFORMAT </w:instrText>
      </w:r>
      <w:r w:rsidRPr="00E760C2">
        <w:rPr>
          <w:rFonts w:eastAsia="Calibri" w:cs="Arial"/>
        </w:rPr>
      </w:r>
      <w:r w:rsidRPr="00E760C2">
        <w:rPr>
          <w:rFonts w:eastAsia="Calibri" w:cs="Arial"/>
        </w:rPr>
        <w:fldChar w:fldCharType="separate"/>
      </w:r>
      <w:r w:rsidR="00F0636B" w:rsidRPr="00F0636B">
        <w:rPr>
          <w:rFonts w:cs="Arial"/>
        </w:rPr>
        <w:t xml:space="preserve">Table </w:t>
      </w:r>
      <w:r w:rsidR="00F0636B" w:rsidRPr="00F0636B">
        <w:rPr>
          <w:rFonts w:cs="Arial"/>
          <w:noProof/>
        </w:rPr>
        <w:t>2</w:t>
      </w:r>
      <w:r w:rsidRPr="00E760C2">
        <w:rPr>
          <w:rFonts w:eastAsia="Calibri" w:cs="Arial"/>
        </w:rPr>
        <w:fldChar w:fldCharType="end"/>
      </w:r>
      <w:r w:rsidRPr="009548FC">
        <w:rPr>
          <w:rFonts w:eastAsia="Calibri" w:cs="Arial"/>
        </w:rPr>
        <w:t>.</w:t>
      </w:r>
    </w:p>
    <w:p w14:paraId="4BC76236" w14:textId="696673B8" w:rsidR="00E760C2" w:rsidRDefault="00E760C2" w:rsidP="00E760C2">
      <w:pPr>
        <w:rPr>
          <w:rFonts w:eastAsia="Calibri" w:cs="Arial"/>
        </w:rPr>
      </w:pPr>
      <w:r w:rsidRPr="009A43FB">
        <w:rPr>
          <w:rFonts w:eastAsia="Calibri" w:cs="Arial"/>
        </w:rPr>
        <w:t xml:space="preserve">The number of firms per capita is strongly and positively associated with </w:t>
      </w:r>
      <w:r w:rsidRPr="00873DB7">
        <w:rPr>
          <w:rFonts w:eastAsia="Calibri" w:cs="Arial"/>
        </w:rPr>
        <w:t xml:space="preserve">heritage assets density, and cultural events per capita. Net migration of all firms is also strongly and positively associated with cultural events per capita. </w:t>
      </w:r>
      <w:r w:rsidRPr="009548FC">
        <w:rPr>
          <w:rFonts w:eastAsia="Calibri" w:cs="Arial"/>
        </w:rPr>
        <w:t xml:space="preserve">These results are robust when considering local authorities in major urban centres, as well as those that aren’t – this is an important result as it suggests </w:t>
      </w:r>
      <w:r w:rsidR="002D2364">
        <w:rPr>
          <w:rFonts w:eastAsia="Calibri" w:cs="Arial"/>
        </w:rPr>
        <w:t>a direct relationship, and</w:t>
      </w:r>
      <w:r w:rsidRPr="009548FC">
        <w:rPr>
          <w:rFonts w:eastAsia="Calibri" w:cs="Arial"/>
        </w:rPr>
        <w:t xml:space="preserve"> not simply that agglomeration is driving a high level of both cultural events and a greater concentration of industry.</w:t>
      </w:r>
    </w:p>
    <w:p w14:paraId="3F592176" w14:textId="77777777" w:rsidR="00F87951" w:rsidRPr="009548FC" w:rsidRDefault="00F87951" w:rsidP="00F87951">
      <w:pPr>
        <w:rPr>
          <w:rFonts w:eastAsia="Calibri" w:cs="Arial"/>
        </w:rPr>
      </w:pPr>
      <w:r w:rsidRPr="009548FC">
        <w:rPr>
          <w:rFonts w:eastAsia="Calibri" w:cs="Arial"/>
        </w:rPr>
        <w:t>Investment in CS&amp;H is in general negatively associated with indicators of all firms’ economic performance, although it is only significant for local authority investment and number of firms per capita.</w:t>
      </w:r>
    </w:p>
    <w:p w14:paraId="596592D1" w14:textId="4352A96F" w:rsidR="00F87951" w:rsidRPr="009548FC" w:rsidRDefault="00F87951" w:rsidP="00F87951">
      <w:pPr>
        <w:rPr>
          <w:rFonts w:eastAsia="Calibri" w:cs="Arial"/>
        </w:rPr>
      </w:pPr>
      <w:r w:rsidRPr="009548FC">
        <w:rPr>
          <w:rFonts w:eastAsia="Calibri" w:cs="Arial"/>
        </w:rPr>
        <w:t>Number of firms per capita is also significantly associated with the employment rate, the availability of skilled labour, housing density, transport infrastructure, GVA per capita and population</w:t>
      </w:r>
      <w:r w:rsidR="000B6D23">
        <w:rPr>
          <w:rFonts w:eastAsia="Calibri" w:cs="Arial"/>
        </w:rPr>
        <w:t xml:space="preserve"> size</w:t>
      </w:r>
      <w:r w:rsidRPr="009548FC">
        <w:rPr>
          <w:rFonts w:eastAsia="Calibri" w:cs="Arial"/>
        </w:rPr>
        <w:t xml:space="preserve">. The most significant variable is GVA per capita – however, this variable </w:t>
      </w:r>
      <w:r w:rsidR="008D5892">
        <w:rPr>
          <w:rFonts w:eastAsia="Calibri" w:cs="Arial"/>
        </w:rPr>
        <w:t>may</w:t>
      </w:r>
      <w:r w:rsidR="008D5892" w:rsidRPr="009548FC">
        <w:rPr>
          <w:rFonts w:eastAsia="Calibri" w:cs="Arial"/>
        </w:rPr>
        <w:t xml:space="preserve"> </w:t>
      </w:r>
      <w:r w:rsidRPr="009548FC">
        <w:rPr>
          <w:rFonts w:eastAsia="Calibri" w:cs="Arial"/>
        </w:rPr>
        <w:t xml:space="preserve">be subject to </w:t>
      </w:r>
      <w:r w:rsidR="008D5892" w:rsidRPr="009548FC">
        <w:rPr>
          <w:rFonts w:eastAsia="Calibri" w:cs="Arial"/>
        </w:rPr>
        <w:t xml:space="preserve">simultaneity </w:t>
      </w:r>
      <w:r w:rsidRPr="009548FC">
        <w:rPr>
          <w:rFonts w:eastAsia="Calibri" w:cs="Arial"/>
        </w:rPr>
        <w:t>bias as it is reasonable to assume the number of firms per capita may contribute to GVA per capita.</w:t>
      </w:r>
    </w:p>
    <w:p w14:paraId="51A82233" w14:textId="77777777" w:rsidR="00F87951" w:rsidRPr="009548FC" w:rsidRDefault="00F87951" w:rsidP="00E760C2">
      <w:pPr>
        <w:widowControl w:val="0"/>
        <w:autoSpaceDE w:val="0"/>
        <w:autoSpaceDN w:val="0"/>
        <w:adjustRightInd w:val="0"/>
        <w:spacing w:before="0" w:after="120" w:line="276" w:lineRule="auto"/>
        <w:ind w:left="1134"/>
        <w:contextualSpacing/>
        <w:rPr>
          <w:rFonts w:eastAsia="Calibri" w:cs="Arial"/>
          <w:b/>
          <w:szCs w:val="22"/>
        </w:rPr>
      </w:pPr>
    </w:p>
    <w:p w14:paraId="36E36492" w14:textId="77777777" w:rsidR="00E3244A" w:rsidRDefault="00E3244A" w:rsidP="00E760C2">
      <w:pPr>
        <w:pStyle w:val="Caption"/>
      </w:pPr>
      <w:bookmarkStart w:id="48" w:name="_Ref450040279"/>
      <w:r>
        <w:br w:type="page"/>
      </w:r>
    </w:p>
    <w:p w14:paraId="5DA821B6" w14:textId="3DB07E20" w:rsidR="00E760C2" w:rsidRPr="009548FC" w:rsidRDefault="00E760C2" w:rsidP="00E760C2">
      <w:pPr>
        <w:pStyle w:val="Caption"/>
        <w:rPr>
          <w:rFonts w:eastAsia="Calibri"/>
          <w:szCs w:val="22"/>
        </w:rPr>
      </w:pPr>
      <w:bookmarkStart w:id="49" w:name="_Toc467569657"/>
      <w:r w:rsidRPr="009548FC">
        <w:lastRenderedPageBreak/>
        <w:t xml:space="preserve">Table </w:t>
      </w:r>
      <w:r w:rsidRPr="00982C4F">
        <w:fldChar w:fldCharType="begin"/>
      </w:r>
      <w:r w:rsidRPr="009548FC">
        <w:instrText xml:space="preserve"> SEQ Table \* ARABIC </w:instrText>
      </w:r>
      <w:r w:rsidRPr="00982C4F">
        <w:fldChar w:fldCharType="separate"/>
      </w:r>
      <w:r w:rsidR="00F0636B">
        <w:rPr>
          <w:noProof/>
        </w:rPr>
        <w:t>2</w:t>
      </w:r>
      <w:r w:rsidRPr="00982C4F">
        <w:rPr>
          <w:noProof/>
        </w:rPr>
        <w:fldChar w:fldCharType="end"/>
      </w:r>
      <w:bookmarkEnd w:id="48"/>
      <w:r w:rsidRPr="009548FC">
        <w:t xml:space="preserve">: </w:t>
      </w:r>
      <w:r w:rsidRPr="009548FC">
        <w:rPr>
          <w:rFonts w:eastAsia="Calibri"/>
          <w:szCs w:val="22"/>
        </w:rPr>
        <w:t>All firms and CS&amp;H assets and investment</w:t>
      </w:r>
      <w:bookmarkEnd w:id="49"/>
    </w:p>
    <w:tbl>
      <w:tblPr>
        <w:tblStyle w:val="TableGridLight1"/>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1512"/>
        <w:gridCol w:w="1512"/>
        <w:gridCol w:w="1512"/>
      </w:tblGrid>
      <w:tr w:rsidR="006A1863" w:rsidRPr="00EE2C40" w14:paraId="3BC6D31A" w14:textId="77777777" w:rsidTr="006A1863">
        <w:trPr>
          <w:trHeight w:val="270"/>
        </w:trPr>
        <w:tc>
          <w:tcPr>
            <w:tcW w:w="4962" w:type="dxa"/>
            <w:tcBorders>
              <w:top w:val="single" w:sz="4" w:space="0" w:color="auto"/>
              <w:bottom w:val="single" w:sz="4" w:space="0" w:color="auto"/>
            </w:tcBorders>
          </w:tcPr>
          <w:p w14:paraId="3AEB7238" w14:textId="77777777" w:rsidR="006A1863" w:rsidRPr="00EE2C40" w:rsidRDefault="006A1863" w:rsidP="006A1863">
            <w:pPr>
              <w:spacing w:before="80"/>
              <w:ind w:left="34"/>
              <w:rPr>
                <w:rFonts w:cs="Arial"/>
                <w:b/>
                <w:bCs/>
                <w:sz w:val="18"/>
                <w:szCs w:val="18"/>
              </w:rPr>
            </w:pPr>
            <w:r w:rsidRPr="00EE2C40">
              <w:rPr>
                <w:rFonts w:cs="Arial"/>
                <w:b/>
                <w:bCs/>
                <w:sz w:val="18"/>
                <w:szCs w:val="18"/>
              </w:rPr>
              <w:t>Variable</w:t>
            </w:r>
          </w:p>
        </w:tc>
        <w:tc>
          <w:tcPr>
            <w:tcW w:w="4536" w:type="dxa"/>
            <w:gridSpan w:val="3"/>
            <w:tcBorders>
              <w:top w:val="single" w:sz="4" w:space="0" w:color="auto"/>
              <w:bottom w:val="single" w:sz="4" w:space="0" w:color="auto"/>
            </w:tcBorders>
          </w:tcPr>
          <w:p w14:paraId="75899FDD" w14:textId="77777777" w:rsidR="006A1863" w:rsidRPr="00EE2C40" w:rsidRDefault="006A1863" w:rsidP="006A1863">
            <w:pPr>
              <w:spacing w:before="80"/>
              <w:ind w:left="271"/>
              <w:jc w:val="center"/>
              <w:rPr>
                <w:rFonts w:cs="Arial"/>
                <w:b/>
                <w:bCs/>
                <w:sz w:val="18"/>
                <w:szCs w:val="18"/>
              </w:rPr>
            </w:pPr>
            <w:r w:rsidRPr="00EE2C40">
              <w:rPr>
                <w:rFonts w:cs="Arial"/>
                <w:b/>
                <w:bCs/>
                <w:sz w:val="18"/>
                <w:szCs w:val="18"/>
              </w:rPr>
              <w:t>Coefficients</w:t>
            </w:r>
          </w:p>
        </w:tc>
      </w:tr>
      <w:tr w:rsidR="00E760C2" w:rsidRPr="00EE2C40" w14:paraId="06162C7B" w14:textId="77777777" w:rsidTr="00753A00">
        <w:trPr>
          <w:trHeight w:val="270"/>
        </w:trPr>
        <w:tc>
          <w:tcPr>
            <w:tcW w:w="4962" w:type="dxa"/>
            <w:tcBorders>
              <w:top w:val="single" w:sz="4" w:space="0" w:color="auto"/>
              <w:bottom w:val="single" w:sz="4" w:space="0" w:color="auto"/>
            </w:tcBorders>
            <w:hideMark/>
          </w:tcPr>
          <w:p w14:paraId="16221FF5" w14:textId="77777777" w:rsidR="00E760C2" w:rsidRPr="00EE2C40" w:rsidRDefault="00E760C2" w:rsidP="00753A00">
            <w:pPr>
              <w:ind w:left="34"/>
              <w:rPr>
                <w:rFonts w:cs="Arial"/>
                <w:b/>
                <w:sz w:val="18"/>
                <w:szCs w:val="18"/>
              </w:rPr>
            </w:pPr>
          </w:p>
        </w:tc>
        <w:tc>
          <w:tcPr>
            <w:tcW w:w="1512" w:type="dxa"/>
            <w:tcBorders>
              <w:top w:val="single" w:sz="4" w:space="0" w:color="auto"/>
              <w:bottom w:val="single" w:sz="4" w:space="0" w:color="auto"/>
            </w:tcBorders>
            <w:hideMark/>
          </w:tcPr>
          <w:p w14:paraId="3630AF81" w14:textId="77777777" w:rsidR="00E760C2" w:rsidRPr="00EE2C40" w:rsidRDefault="00E760C2" w:rsidP="00753A00">
            <w:pPr>
              <w:ind w:left="112"/>
              <w:jc w:val="center"/>
              <w:rPr>
                <w:rFonts w:cs="Arial"/>
                <w:sz w:val="18"/>
                <w:szCs w:val="18"/>
              </w:rPr>
            </w:pPr>
            <w:r w:rsidRPr="00EE2C40">
              <w:rPr>
                <w:rFonts w:cs="Arial"/>
                <w:b/>
                <w:bCs/>
                <w:sz w:val="18"/>
                <w:szCs w:val="18"/>
              </w:rPr>
              <w:t>Number of firms per capita</w:t>
            </w:r>
          </w:p>
        </w:tc>
        <w:tc>
          <w:tcPr>
            <w:tcW w:w="1512" w:type="dxa"/>
            <w:tcBorders>
              <w:top w:val="single" w:sz="4" w:space="0" w:color="auto"/>
              <w:bottom w:val="single" w:sz="4" w:space="0" w:color="auto"/>
            </w:tcBorders>
          </w:tcPr>
          <w:p w14:paraId="04C9B5DE" w14:textId="77777777" w:rsidR="00E760C2" w:rsidRPr="00EE2C40" w:rsidRDefault="00E760C2" w:rsidP="00753A00">
            <w:pPr>
              <w:ind w:left="271"/>
              <w:jc w:val="center"/>
              <w:rPr>
                <w:rFonts w:cs="Arial"/>
                <w:b/>
                <w:bCs/>
                <w:sz w:val="18"/>
                <w:szCs w:val="18"/>
              </w:rPr>
            </w:pPr>
            <w:r w:rsidRPr="00EE2C40">
              <w:rPr>
                <w:rFonts w:cs="Arial"/>
                <w:b/>
                <w:bCs/>
                <w:sz w:val="18"/>
                <w:szCs w:val="18"/>
              </w:rPr>
              <w:t>Turnover (all firms) per capita</w:t>
            </w:r>
          </w:p>
        </w:tc>
        <w:tc>
          <w:tcPr>
            <w:tcW w:w="1512" w:type="dxa"/>
            <w:tcBorders>
              <w:top w:val="single" w:sz="4" w:space="0" w:color="auto"/>
              <w:bottom w:val="single" w:sz="4" w:space="0" w:color="auto"/>
            </w:tcBorders>
          </w:tcPr>
          <w:p w14:paraId="4952BC7F" w14:textId="77777777" w:rsidR="00E760C2" w:rsidRPr="00EE2C40" w:rsidRDefault="00E760C2" w:rsidP="00753A00">
            <w:pPr>
              <w:ind w:left="271"/>
              <w:jc w:val="center"/>
              <w:rPr>
                <w:rFonts w:cs="Arial"/>
                <w:b/>
                <w:bCs/>
                <w:sz w:val="18"/>
                <w:szCs w:val="18"/>
              </w:rPr>
            </w:pPr>
            <w:r w:rsidRPr="00EE2C40">
              <w:rPr>
                <w:rFonts w:cs="Arial"/>
                <w:b/>
                <w:bCs/>
                <w:sz w:val="18"/>
                <w:szCs w:val="18"/>
              </w:rPr>
              <w:t>Net migration of firms per capita</w:t>
            </w:r>
          </w:p>
        </w:tc>
      </w:tr>
      <w:tr w:rsidR="00E760C2" w:rsidRPr="00EE2C40" w14:paraId="5370AAB2" w14:textId="77777777" w:rsidTr="00753A00">
        <w:trPr>
          <w:trHeight w:val="270"/>
        </w:trPr>
        <w:tc>
          <w:tcPr>
            <w:tcW w:w="4962" w:type="dxa"/>
            <w:tcBorders>
              <w:top w:val="single" w:sz="4" w:space="0" w:color="auto"/>
            </w:tcBorders>
            <w:hideMark/>
          </w:tcPr>
          <w:p w14:paraId="2C9E9A6C" w14:textId="77777777" w:rsidR="00E760C2" w:rsidRPr="00EE2C40" w:rsidRDefault="00E760C2" w:rsidP="006A1863">
            <w:pPr>
              <w:spacing w:before="80"/>
              <w:ind w:left="34"/>
              <w:rPr>
                <w:rFonts w:cs="Arial"/>
                <w:b/>
                <w:sz w:val="18"/>
                <w:szCs w:val="18"/>
                <w:u w:val="single"/>
              </w:rPr>
            </w:pPr>
            <w:r w:rsidRPr="00EE2C40">
              <w:rPr>
                <w:rFonts w:cs="Arial"/>
                <w:b/>
                <w:bCs/>
                <w:sz w:val="18"/>
                <w:szCs w:val="18"/>
                <w:u w:val="single"/>
              </w:rPr>
              <w:t>Assets</w:t>
            </w:r>
          </w:p>
        </w:tc>
        <w:tc>
          <w:tcPr>
            <w:tcW w:w="1512" w:type="dxa"/>
            <w:tcBorders>
              <w:top w:val="single" w:sz="4" w:space="0" w:color="auto"/>
            </w:tcBorders>
          </w:tcPr>
          <w:p w14:paraId="5B96E352" w14:textId="77777777" w:rsidR="00E760C2" w:rsidRPr="00EE2C40" w:rsidRDefault="00E760C2" w:rsidP="006A1863">
            <w:pPr>
              <w:spacing w:before="80"/>
              <w:ind w:left="112"/>
              <w:jc w:val="center"/>
              <w:rPr>
                <w:rFonts w:cs="Arial"/>
                <w:sz w:val="18"/>
                <w:szCs w:val="18"/>
              </w:rPr>
            </w:pPr>
          </w:p>
        </w:tc>
        <w:tc>
          <w:tcPr>
            <w:tcW w:w="1512" w:type="dxa"/>
            <w:tcBorders>
              <w:top w:val="single" w:sz="4" w:space="0" w:color="auto"/>
            </w:tcBorders>
          </w:tcPr>
          <w:p w14:paraId="469BA292" w14:textId="77777777" w:rsidR="00E760C2" w:rsidRPr="00EE2C40" w:rsidRDefault="00E760C2" w:rsidP="006A1863">
            <w:pPr>
              <w:spacing w:before="80"/>
              <w:ind w:left="271"/>
              <w:jc w:val="center"/>
              <w:rPr>
                <w:rFonts w:cs="Arial"/>
                <w:sz w:val="18"/>
                <w:szCs w:val="18"/>
              </w:rPr>
            </w:pPr>
          </w:p>
        </w:tc>
        <w:tc>
          <w:tcPr>
            <w:tcW w:w="1512" w:type="dxa"/>
            <w:tcBorders>
              <w:top w:val="single" w:sz="4" w:space="0" w:color="auto"/>
            </w:tcBorders>
          </w:tcPr>
          <w:p w14:paraId="5BB89673" w14:textId="77777777" w:rsidR="00E760C2" w:rsidRPr="00EE2C40" w:rsidRDefault="00E760C2" w:rsidP="006A1863">
            <w:pPr>
              <w:spacing w:before="80"/>
              <w:ind w:left="271"/>
              <w:jc w:val="center"/>
              <w:rPr>
                <w:rFonts w:cs="Arial"/>
                <w:sz w:val="18"/>
                <w:szCs w:val="18"/>
              </w:rPr>
            </w:pPr>
          </w:p>
        </w:tc>
      </w:tr>
      <w:tr w:rsidR="00E760C2" w:rsidRPr="00EE2C40" w14:paraId="57692589" w14:textId="77777777" w:rsidTr="00753A00">
        <w:trPr>
          <w:trHeight w:val="270"/>
        </w:trPr>
        <w:tc>
          <w:tcPr>
            <w:tcW w:w="4962" w:type="dxa"/>
            <w:hideMark/>
          </w:tcPr>
          <w:p w14:paraId="24513E3D" w14:textId="77777777" w:rsidR="00E760C2" w:rsidRPr="00EE2C40" w:rsidRDefault="00E760C2" w:rsidP="006A1863">
            <w:pPr>
              <w:spacing w:before="80"/>
              <w:ind w:left="34"/>
              <w:rPr>
                <w:rFonts w:cs="Arial"/>
                <w:sz w:val="18"/>
                <w:szCs w:val="18"/>
              </w:rPr>
            </w:pPr>
            <w:r w:rsidRPr="00EE2C40">
              <w:rPr>
                <w:rFonts w:eastAsia="Calibri" w:cs="Arial"/>
                <w:sz w:val="18"/>
                <w:szCs w:val="18"/>
              </w:rPr>
              <w:t>Heritage assets density</w:t>
            </w:r>
          </w:p>
        </w:tc>
        <w:tc>
          <w:tcPr>
            <w:tcW w:w="1512" w:type="dxa"/>
          </w:tcPr>
          <w:p w14:paraId="5BCD8040" w14:textId="77777777" w:rsidR="00E760C2" w:rsidRPr="00EE2C40" w:rsidRDefault="00E760C2" w:rsidP="006A1863">
            <w:pPr>
              <w:spacing w:before="80"/>
              <w:ind w:left="112"/>
              <w:jc w:val="center"/>
              <w:rPr>
                <w:rFonts w:cs="Arial"/>
                <w:sz w:val="18"/>
                <w:szCs w:val="18"/>
              </w:rPr>
            </w:pPr>
            <w:r w:rsidRPr="00EE2C40">
              <w:rPr>
                <w:rFonts w:cs="Arial"/>
                <w:sz w:val="18"/>
                <w:szCs w:val="18"/>
              </w:rPr>
              <w:t>0.031***</w:t>
            </w:r>
          </w:p>
        </w:tc>
        <w:tc>
          <w:tcPr>
            <w:tcW w:w="1512" w:type="dxa"/>
          </w:tcPr>
          <w:p w14:paraId="75BE0C23" w14:textId="77777777" w:rsidR="00E760C2" w:rsidRPr="00EE2C40" w:rsidRDefault="00E760C2" w:rsidP="006A1863">
            <w:pPr>
              <w:spacing w:before="80"/>
              <w:ind w:left="271"/>
              <w:jc w:val="center"/>
              <w:rPr>
                <w:rFonts w:cs="Arial"/>
                <w:sz w:val="18"/>
                <w:szCs w:val="18"/>
              </w:rPr>
            </w:pPr>
            <w:r w:rsidRPr="00EE2C40">
              <w:rPr>
                <w:rFonts w:cs="Arial"/>
                <w:sz w:val="18"/>
                <w:szCs w:val="18"/>
              </w:rPr>
              <w:t>0.050**</w:t>
            </w:r>
          </w:p>
        </w:tc>
        <w:tc>
          <w:tcPr>
            <w:tcW w:w="1512" w:type="dxa"/>
          </w:tcPr>
          <w:p w14:paraId="16E48258" w14:textId="77777777" w:rsidR="00E760C2" w:rsidRPr="00EE2C40" w:rsidRDefault="00E760C2" w:rsidP="006A1863">
            <w:pPr>
              <w:spacing w:before="80"/>
              <w:ind w:left="271"/>
              <w:jc w:val="center"/>
              <w:rPr>
                <w:rFonts w:cs="Arial"/>
                <w:sz w:val="18"/>
                <w:szCs w:val="18"/>
              </w:rPr>
            </w:pPr>
            <w:r w:rsidRPr="00EE2C40">
              <w:rPr>
                <w:rFonts w:cs="Arial"/>
                <w:sz w:val="18"/>
                <w:szCs w:val="18"/>
              </w:rPr>
              <w:t>0.015</w:t>
            </w:r>
          </w:p>
        </w:tc>
      </w:tr>
      <w:tr w:rsidR="00E760C2" w:rsidRPr="00EE2C40" w14:paraId="6A329354" w14:textId="77777777" w:rsidTr="00753A00">
        <w:trPr>
          <w:trHeight w:val="270"/>
        </w:trPr>
        <w:tc>
          <w:tcPr>
            <w:tcW w:w="4962" w:type="dxa"/>
            <w:hideMark/>
          </w:tcPr>
          <w:p w14:paraId="77D1E21E" w14:textId="77777777" w:rsidR="00E760C2" w:rsidRPr="00EE2C40" w:rsidRDefault="00E760C2" w:rsidP="006A1863">
            <w:pPr>
              <w:spacing w:before="80"/>
              <w:ind w:left="34"/>
              <w:rPr>
                <w:rFonts w:cs="Arial"/>
                <w:sz w:val="18"/>
                <w:szCs w:val="18"/>
              </w:rPr>
            </w:pPr>
            <w:r w:rsidRPr="00EE2C40">
              <w:rPr>
                <w:rFonts w:eastAsia="Calibri" w:cs="Arial"/>
                <w:sz w:val="18"/>
                <w:szCs w:val="18"/>
              </w:rPr>
              <w:t>Sports assets density</w:t>
            </w:r>
          </w:p>
        </w:tc>
        <w:tc>
          <w:tcPr>
            <w:tcW w:w="1512" w:type="dxa"/>
          </w:tcPr>
          <w:p w14:paraId="49DC8193" w14:textId="77777777" w:rsidR="00E760C2" w:rsidRPr="00EE2C40" w:rsidRDefault="00E760C2" w:rsidP="006A1863">
            <w:pPr>
              <w:spacing w:before="80"/>
              <w:ind w:left="112"/>
              <w:jc w:val="center"/>
              <w:rPr>
                <w:rFonts w:cs="Arial"/>
                <w:sz w:val="18"/>
                <w:szCs w:val="18"/>
              </w:rPr>
            </w:pPr>
            <w:r w:rsidRPr="00EE2C40">
              <w:rPr>
                <w:rFonts w:cs="Arial"/>
                <w:sz w:val="18"/>
                <w:szCs w:val="18"/>
              </w:rPr>
              <w:t>0.092</w:t>
            </w:r>
          </w:p>
        </w:tc>
        <w:tc>
          <w:tcPr>
            <w:tcW w:w="1512" w:type="dxa"/>
          </w:tcPr>
          <w:p w14:paraId="2B63B4CD" w14:textId="77777777" w:rsidR="00E760C2" w:rsidRPr="00EE2C40" w:rsidRDefault="00E760C2" w:rsidP="006A1863">
            <w:pPr>
              <w:spacing w:before="80"/>
              <w:ind w:left="271"/>
              <w:jc w:val="center"/>
              <w:rPr>
                <w:rFonts w:cs="Arial"/>
                <w:sz w:val="18"/>
                <w:szCs w:val="18"/>
              </w:rPr>
            </w:pPr>
            <w:r w:rsidRPr="00EE2C40">
              <w:rPr>
                <w:rFonts w:cs="Arial"/>
                <w:sz w:val="18"/>
                <w:szCs w:val="18"/>
              </w:rPr>
              <w:t>-0.040</w:t>
            </w:r>
          </w:p>
        </w:tc>
        <w:tc>
          <w:tcPr>
            <w:tcW w:w="1512" w:type="dxa"/>
          </w:tcPr>
          <w:p w14:paraId="2B1BF27E" w14:textId="77777777" w:rsidR="00E760C2" w:rsidRPr="00EE2C40" w:rsidRDefault="00E760C2" w:rsidP="006A1863">
            <w:pPr>
              <w:spacing w:before="80"/>
              <w:ind w:left="271"/>
              <w:jc w:val="center"/>
              <w:rPr>
                <w:rFonts w:cs="Arial"/>
                <w:sz w:val="18"/>
                <w:szCs w:val="18"/>
              </w:rPr>
            </w:pPr>
            <w:r w:rsidRPr="00EE2C40">
              <w:rPr>
                <w:rFonts w:cs="Arial"/>
                <w:sz w:val="18"/>
                <w:szCs w:val="18"/>
              </w:rPr>
              <w:t>0.057</w:t>
            </w:r>
          </w:p>
        </w:tc>
      </w:tr>
      <w:tr w:rsidR="00E760C2" w:rsidRPr="00EE2C40" w14:paraId="4C1CCE2E" w14:textId="77777777" w:rsidTr="00753A00">
        <w:trPr>
          <w:trHeight w:val="270"/>
        </w:trPr>
        <w:tc>
          <w:tcPr>
            <w:tcW w:w="4962" w:type="dxa"/>
          </w:tcPr>
          <w:p w14:paraId="314AE944" w14:textId="77777777" w:rsidR="00E760C2" w:rsidRPr="00EE2C40" w:rsidRDefault="00E760C2" w:rsidP="006A1863">
            <w:pPr>
              <w:spacing w:before="80"/>
              <w:ind w:left="34"/>
              <w:rPr>
                <w:rFonts w:cs="Arial"/>
                <w:bCs/>
                <w:sz w:val="18"/>
                <w:szCs w:val="18"/>
              </w:rPr>
            </w:pPr>
            <w:r w:rsidRPr="00EE2C40">
              <w:rPr>
                <w:rFonts w:eastAsia="Calibri" w:cs="Arial"/>
                <w:sz w:val="18"/>
                <w:szCs w:val="18"/>
              </w:rPr>
              <w:t xml:space="preserve">Cultural events per capita </w:t>
            </w:r>
          </w:p>
        </w:tc>
        <w:tc>
          <w:tcPr>
            <w:tcW w:w="1512" w:type="dxa"/>
          </w:tcPr>
          <w:p w14:paraId="21E390D3" w14:textId="77777777" w:rsidR="00E760C2" w:rsidRPr="00EE2C40" w:rsidRDefault="00E760C2" w:rsidP="006A1863">
            <w:pPr>
              <w:spacing w:before="80"/>
              <w:ind w:left="112"/>
              <w:jc w:val="center"/>
              <w:rPr>
                <w:rFonts w:cs="Arial"/>
                <w:sz w:val="18"/>
                <w:szCs w:val="18"/>
              </w:rPr>
            </w:pPr>
            <w:r w:rsidRPr="00EE2C40">
              <w:rPr>
                <w:rFonts w:cs="Arial"/>
                <w:sz w:val="18"/>
                <w:szCs w:val="18"/>
              </w:rPr>
              <w:t>0.211***</w:t>
            </w:r>
          </w:p>
        </w:tc>
        <w:tc>
          <w:tcPr>
            <w:tcW w:w="1512" w:type="dxa"/>
          </w:tcPr>
          <w:p w14:paraId="3237AE31" w14:textId="77777777" w:rsidR="00E760C2" w:rsidRPr="00EE2C40" w:rsidRDefault="00E760C2" w:rsidP="006A1863">
            <w:pPr>
              <w:spacing w:before="80"/>
              <w:ind w:left="271"/>
              <w:jc w:val="center"/>
              <w:rPr>
                <w:rFonts w:cs="Arial"/>
                <w:sz w:val="18"/>
                <w:szCs w:val="18"/>
              </w:rPr>
            </w:pPr>
            <w:r w:rsidRPr="00EE2C40">
              <w:rPr>
                <w:rFonts w:cs="Arial"/>
                <w:sz w:val="18"/>
                <w:szCs w:val="18"/>
              </w:rPr>
              <w:t>0.104</w:t>
            </w:r>
          </w:p>
        </w:tc>
        <w:tc>
          <w:tcPr>
            <w:tcW w:w="1512" w:type="dxa"/>
          </w:tcPr>
          <w:p w14:paraId="1D2268D7" w14:textId="77777777" w:rsidR="00E760C2" w:rsidRPr="00EE2C40" w:rsidRDefault="00E760C2" w:rsidP="006A1863">
            <w:pPr>
              <w:spacing w:before="80"/>
              <w:ind w:left="271"/>
              <w:jc w:val="center"/>
              <w:rPr>
                <w:rFonts w:cs="Arial"/>
                <w:sz w:val="18"/>
                <w:szCs w:val="18"/>
              </w:rPr>
            </w:pPr>
            <w:r w:rsidRPr="00EE2C40">
              <w:rPr>
                <w:rFonts w:cs="Arial"/>
                <w:sz w:val="18"/>
                <w:szCs w:val="18"/>
              </w:rPr>
              <w:t>0.210***</w:t>
            </w:r>
          </w:p>
        </w:tc>
      </w:tr>
      <w:tr w:rsidR="00E760C2" w:rsidRPr="00EE2C40" w14:paraId="31E469BC" w14:textId="77777777" w:rsidTr="00753A00">
        <w:trPr>
          <w:trHeight w:val="270"/>
        </w:trPr>
        <w:tc>
          <w:tcPr>
            <w:tcW w:w="4962" w:type="dxa"/>
            <w:hideMark/>
          </w:tcPr>
          <w:p w14:paraId="081E9EE5" w14:textId="77777777" w:rsidR="00E760C2" w:rsidRPr="00EE2C40" w:rsidRDefault="00E760C2" w:rsidP="006A1863">
            <w:pPr>
              <w:spacing w:before="80"/>
              <w:ind w:left="34"/>
              <w:rPr>
                <w:rFonts w:cs="Arial"/>
                <w:sz w:val="18"/>
                <w:szCs w:val="18"/>
              </w:rPr>
            </w:pPr>
            <w:r w:rsidRPr="00EE2C40">
              <w:rPr>
                <w:rFonts w:eastAsia="Calibri" w:cs="Arial"/>
                <w:sz w:val="18"/>
                <w:szCs w:val="18"/>
              </w:rPr>
              <w:t>Libraries density</w:t>
            </w:r>
          </w:p>
        </w:tc>
        <w:tc>
          <w:tcPr>
            <w:tcW w:w="1512" w:type="dxa"/>
          </w:tcPr>
          <w:p w14:paraId="19C2650D" w14:textId="77777777" w:rsidR="00E760C2" w:rsidRPr="00EE2C40" w:rsidRDefault="00E760C2" w:rsidP="006A1863">
            <w:pPr>
              <w:spacing w:before="80"/>
              <w:ind w:left="112"/>
              <w:jc w:val="center"/>
              <w:rPr>
                <w:rFonts w:cs="Arial"/>
                <w:sz w:val="18"/>
                <w:szCs w:val="18"/>
              </w:rPr>
            </w:pPr>
            <w:r w:rsidRPr="00EE2C40">
              <w:rPr>
                <w:rFonts w:cs="Arial"/>
                <w:sz w:val="18"/>
                <w:szCs w:val="18"/>
              </w:rPr>
              <w:t>-0.068**</w:t>
            </w:r>
          </w:p>
        </w:tc>
        <w:tc>
          <w:tcPr>
            <w:tcW w:w="1512" w:type="dxa"/>
          </w:tcPr>
          <w:p w14:paraId="51AB5D7E" w14:textId="77777777" w:rsidR="00E760C2" w:rsidRPr="00EE2C40" w:rsidRDefault="00E760C2" w:rsidP="006A1863">
            <w:pPr>
              <w:spacing w:before="80"/>
              <w:ind w:left="271"/>
              <w:jc w:val="center"/>
              <w:rPr>
                <w:rFonts w:cs="Arial"/>
                <w:sz w:val="18"/>
                <w:szCs w:val="18"/>
              </w:rPr>
            </w:pPr>
            <w:r w:rsidRPr="00EE2C40">
              <w:rPr>
                <w:rFonts w:cs="Arial"/>
                <w:sz w:val="18"/>
                <w:szCs w:val="18"/>
              </w:rPr>
              <w:t>-0.007</w:t>
            </w:r>
          </w:p>
        </w:tc>
        <w:tc>
          <w:tcPr>
            <w:tcW w:w="1512" w:type="dxa"/>
          </w:tcPr>
          <w:p w14:paraId="362E8656" w14:textId="77777777" w:rsidR="00E760C2" w:rsidRPr="00EE2C40" w:rsidRDefault="00E760C2" w:rsidP="006A1863">
            <w:pPr>
              <w:spacing w:before="80"/>
              <w:ind w:left="271"/>
              <w:jc w:val="center"/>
              <w:rPr>
                <w:rFonts w:cs="Arial"/>
                <w:sz w:val="18"/>
                <w:szCs w:val="18"/>
              </w:rPr>
            </w:pPr>
            <w:r w:rsidRPr="00EE2C40">
              <w:rPr>
                <w:rFonts w:cs="Arial"/>
                <w:sz w:val="18"/>
                <w:szCs w:val="18"/>
              </w:rPr>
              <w:t>-0.086***</w:t>
            </w:r>
          </w:p>
        </w:tc>
      </w:tr>
      <w:tr w:rsidR="00E760C2" w:rsidRPr="00EE2C40" w14:paraId="528BCF21" w14:textId="77777777" w:rsidTr="00753A00">
        <w:trPr>
          <w:trHeight w:val="270"/>
        </w:trPr>
        <w:tc>
          <w:tcPr>
            <w:tcW w:w="4962" w:type="dxa"/>
            <w:hideMark/>
          </w:tcPr>
          <w:p w14:paraId="22B918A1" w14:textId="77777777" w:rsidR="00E760C2" w:rsidRPr="00EE2C40" w:rsidRDefault="00E760C2" w:rsidP="006A1863">
            <w:pPr>
              <w:spacing w:before="80"/>
              <w:ind w:left="34"/>
              <w:rPr>
                <w:rFonts w:cs="Arial"/>
                <w:b/>
                <w:i/>
                <w:sz w:val="18"/>
                <w:szCs w:val="18"/>
              </w:rPr>
            </w:pPr>
            <w:r w:rsidRPr="00EE2C40">
              <w:rPr>
                <w:rFonts w:cs="Arial"/>
                <w:b/>
                <w:bCs/>
                <w:sz w:val="18"/>
                <w:szCs w:val="18"/>
                <w:u w:val="single"/>
              </w:rPr>
              <w:t>Investment</w:t>
            </w:r>
            <w:r w:rsidRPr="00EE2C40">
              <w:rPr>
                <w:rFonts w:cs="Arial"/>
                <w:b/>
                <w:bCs/>
                <w:i/>
                <w:sz w:val="18"/>
                <w:szCs w:val="18"/>
              </w:rPr>
              <w:t> </w:t>
            </w:r>
          </w:p>
        </w:tc>
        <w:tc>
          <w:tcPr>
            <w:tcW w:w="1512" w:type="dxa"/>
          </w:tcPr>
          <w:p w14:paraId="31F2AF55" w14:textId="77777777" w:rsidR="00E760C2" w:rsidRPr="00EE2C40" w:rsidRDefault="00E760C2" w:rsidP="006A1863">
            <w:pPr>
              <w:spacing w:before="80"/>
              <w:ind w:left="112"/>
              <w:jc w:val="center"/>
              <w:rPr>
                <w:rFonts w:cs="Arial"/>
                <w:sz w:val="18"/>
                <w:szCs w:val="18"/>
              </w:rPr>
            </w:pPr>
          </w:p>
        </w:tc>
        <w:tc>
          <w:tcPr>
            <w:tcW w:w="1512" w:type="dxa"/>
          </w:tcPr>
          <w:p w14:paraId="463D175C" w14:textId="77777777" w:rsidR="00E760C2" w:rsidRPr="00EE2C40" w:rsidRDefault="00E760C2" w:rsidP="006A1863">
            <w:pPr>
              <w:spacing w:before="80"/>
              <w:ind w:left="271"/>
              <w:jc w:val="center"/>
              <w:rPr>
                <w:rFonts w:cs="Arial"/>
                <w:sz w:val="18"/>
                <w:szCs w:val="18"/>
              </w:rPr>
            </w:pPr>
          </w:p>
        </w:tc>
        <w:tc>
          <w:tcPr>
            <w:tcW w:w="1512" w:type="dxa"/>
          </w:tcPr>
          <w:p w14:paraId="30B60934" w14:textId="77777777" w:rsidR="00E760C2" w:rsidRPr="00EE2C40" w:rsidRDefault="00E760C2" w:rsidP="006A1863">
            <w:pPr>
              <w:spacing w:before="80"/>
              <w:ind w:left="271"/>
              <w:jc w:val="center"/>
              <w:rPr>
                <w:rFonts w:cs="Arial"/>
                <w:sz w:val="18"/>
                <w:szCs w:val="18"/>
              </w:rPr>
            </w:pPr>
          </w:p>
        </w:tc>
      </w:tr>
      <w:tr w:rsidR="00E760C2" w:rsidRPr="00EE2C40" w14:paraId="7AD3E356" w14:textId="77777777" w:rsidTr="00753A00">
        <w:trPr>
          <w:trHeight w:val="270"/>
        </w:trPr>
        <w:tc>
          <w:tcPr>
            <w:tcW w:w="4962" w:type="dxa"/>
            <w:hideMark/>
          </w:tcPr>
          <w:p w14:paraId="58960A84" w14:textId="77777777" w:rsidR="00E760C2" w:rsidRPr="00EE2C40" w:rsidRDefault="00E760C2" w:rsidP="006A1863">
            <w:pPr>
              <w:spacing w:before="80"/>
              <w:ind w:left="34"/>
              <w:rPr>
                <w:rFonts w:cs="Arial"/>
                <w:sz w:val="18"/>
                <w:szCs w:val="18"/>
              </w:rPr>
            </w:pPr>
            <w:r w:rsidRPr="00EE2C40">
              <w:rPr>
                <w:rFonts w:cs="Arial"/>
                <w:bCs/>
                <w:sz w:val="18"/>
                <w:szCs w:val="18"/>
              </w:rPr>
              <w:t>Local authority investment in culture, sports and heritage</w:t>
            </w:r>
          </w:p>
        </w:tc>
        <w:tc>
          <w:tcPr>
            <w:tcW w:w="1512" w:type="dxa"/>
          </w:tcPr>
          <w:p w14:paraId="0F1E4884" w14:textId="77777777" w:rsidR="00E760C2" w:rsidRPr="00EE2C40" w:rsidRDefault="00E760C2" w:rsidP="006A1863">
            <w:pPr>
              <w:spacing w:before="80"/>
              <w:ind w:left="112"/>
              <w:jc w:val="center"/>
              <w:rPr>
                <w:rFonts w:cs="Arial"/>
                <w:sz w:val="18"/>
                <w:szCs w:val="18"/>
              </w:rPr>
            </w:pPr>
            <w:r w:rsidRPr="00EE2C40">
              <w:rPr>
                <w:rFonts w:cs="Arial"/>
                <w:sz w:val="18"/>
                <w:szCs w:val="18"/>
              </w:rPr>
              <w:t>-0.051**</w:t>
            </w:r>
          </w:p>
        </w:tc>
        <w:tc>
          <w:tcPr>
            <w:tcW w:w="1512" w:type="dxa"/>
          </w:tcPr>
          <w:p w14:paraId="17D0AC46" w14:textId="77777777" w:rsidR="00E760C2" w:rsidRPr="00EE2C40" w:rsidRDefault="00E760C2" w:rsidP="006A1863">
            <w:pPr>
              <w:spacing w:before="80"/>
              <w:ind w:left="271"/>
              <w:jc w:val="center"/>
              <w:rPr>
                <w:rFonts w:cs="Arial"/>
                <w:sz w:val="18"/>
                <w:szCs w:val="18"/>
              </w:rPr>
            </w:pPr>
            <w:r w:rsidRPr="00EE2C40">
              <w:rPr>
                <w:rFonts w:cs="Arial"/>
                <w:sz w:val="18"/>
                <w:szCs w:val="18"/>
              </w:rPr>
              <w:t>-0.081</w:t>
            </w:r>
          </w:p>
        </w:tc>
        <w:tc>
          <w:tcPr>
            <w:tcW w:w="1512" w:type="dxa"/>
          </w:tcPr>
          <w:p w14:paraId="3B6DB55F" w14:textId="77777777" w:rsidR="00E760C2" w:rsidRPr="00EE2C40" w:rsidRDefault="00E760C2" w:rsidP="006A1863">
            <w:pPr>
              <w:spacing w:before="80"/>
              <w:ind w:left="271"/>
              <w:jc w:val="center"/>
              <w:rPr>
                <w:rFonts w:cs="Arial"/>
                <w:sz w:val="18"/>
                <w:szCs w:val="18"/>
              </w:rPr>
            </w:pPr>
            <w:r w:rsidRPr="00EE2C40">
              <w:rPr>
                <w:rFonts w:cs="Arial"/>
                <w:sz w:val="18"/>
                <w:szCs w:val="18"/>
              </w:rPr>
              <w:t>-0.013</w:t>
            </w:r>
          </w:p>
        </w:tc>
      </w:tr>
      <w:tr w:rsidR="00E760C2" w:rsidRPr="00EE2C40" w14:paraId="254EDCC3" w14:textId="77777777" w:rsidTr="00753A00">
        <w:trPr>
          <w:trHeight w:val="270"/>
        </w:trPr>
        <w:tc>
          <w:tcPr>
            <w:tcW w:w="4962" w:type="dxa"/>
            <w:hideMark/>
          </w:tcPr>
          <w:p w14:paraId="2DC554AD" w14:textId="77777777" w:rsidR="00E760C2" w:rsidRPr="00EE2C40" w:rsidRDefault="00E760C2" w:rsidP="006A1863">
            <w:pPr>
              <w:spacing w:before="80"/>
              <w:ind w:left="34"/>
              <w:rPr>
                <w:rFonts w:cs="Arial"/>
                <w:sz w:val="18"/>
                <w:szCs w:val="18"/>
              </w:rPr>
            </w:pPr>
            <w:r w:rsidRPr="00EE2C40">
              <w:rPr>
                <w:rFonts w:cs="Arial"/>
                <w:bCs/>
                <w:sz w:val="18"/>
                <w:szCs w:val="18"/>
              </w:rPr>
              <w:t>Lottery investment in arts, sports and heritage</w:t>
            </w:r>
          </w:p>
        </w:tc>
        <w:tc>
          <w:tcPr>
            <w:tcW w:w="1512" w:type="dxa"/>
          </w:tcPr>
          <w:p w14:paraId="064E4333" w14:textId="77777777" w:rsidR="00E760C2" w:rsidRPr="00EE2C40" w:rsidRDefault="00E760C2" w:rsidP="006A1863">
            <w:pPr>
              <w:spacing w:before="80"/>
              <w:ind w:left="112"/>
              <w:jc w:val="center"/>
              <w:rPr>
                <w:rFonts w:cs="Arial"/>
                <w:sz w:val="18"/>
                <w:szCs w:val="18"/>
              </w:rPr>
            </w:pPr>
            <w:r w:rsidRPr="00EE2C40">
              <w:rPr>
                <w:rFonts w:cs="Arial"/>
                <w:sz w:val="18"/>
                <w:szCs w:val="18"/>
              </w:rPr>
              <w:t>-0.013</w:t>
            </w:r>
          </w:p>
        </w:tc>
        <w:tc>
          <w:tcPr>
            <w:tcW w:w="1512" w:type="dxa"/>
          </w:tcPr>
          <w:p w14:paraId="0374A08C" w14:textId="77777777" w:rsidR="00E760C2" w:rsidRPr="00EE2C40" w:rsidRDefault="00E760C2" w:rsidP="006A1863">
            <w:pPr>
              <w:spacing w:before="80"/>
              <w:ind w:left="271"/>
              <w:jc w:val="center"/>
              <w:rPr>
                <w:rFonts w:cs="Arial"/>
                <w:sz w:val="18"/>
                <w:szCs w:val="18"/>
              </w:rPr>
            </w:pPr>
            <w:r w:rsidRPr="00EE2C40">
              <w:rPr>
                <w:rFonts w:cs="Arial"/>
                <w:sz w:val="18"/>
                <w:szCs w:val="18"/>
              </w:rPr>
              <w:t>-0.027</w:t>
            </w:r>
          </w:p>
        </w:tc>
        <w:tc>
          <w:tcPr>
            <w:tcW w:w="1512" w:type="dxa"/>
          </w:tcPr>
          <w:p w14:paraId="2C3FC3FF" w14:textId="77777777" w:rsidR="00E760C2" w:rsidRPr="00EE2C40" w:rsidRDefault="00E760C2" w:rsidP="006A1863">
            <w:pPr>
              <w:spacing w:before="80"/>
              <w:ind w:left="271"/>
              <w:jc w:val="center"/>
              <w:rPr>
                <w:rFonts w:cs="Arial"/>
                <w:sz w:val="18"/>
                <w:szCs w:val="18"/>
              </w:rPr>
            </w:pPr>
            <w:r w:rsidRPr="00EE2C40">
              <w:rPr>
                <w:rFonts w:cs="Arial"/>
                <w:sz w:val="18"/>
                <w:szCs w:val="18"/>
              </w:rPr>
              <w:t>0.002</w:t>
            </w:r>
          </w:p>
        </w:tc>
      </w:tr>
      <w:tr w:rsidR="00E760C2" w:rsidRPr="00EE2C40" w14:paraId="37327954" w14:textId="77777777" w:rsidTr="00753A00">
        <w:trPr>
          <w:trHeight w:val="270"/>
        </w:trPr>
        <w:tc>
          <w:tcPr>
            <w:tcW w:w="4962" w:type="dxa"/>
          </w:tcPr>
          <w:p w14:paraId="5D77F77C" w14:textId="77777777" w:rsidR="00E760C2" w:rsidRPr="00EE2C40" w:rsidRDefault="00E760C2" w:rsidP="006A1863">
            <w:pPr>
              <w:spacing w:before="80"/>
              <w:ind w:left="34"/>
              <w:rPr>
                <w:rFonts w:cs="Arial"/>
                <w:b/>
                <w:bCs/>
                <w:sz w:val="18"/>
                <w:szCs w:val="18"/>
                <w:u w:val="single"/>
              </w:rPr>
            </w:pPr>
            <w:r w:rsidRPr="00EE2C40">
              <w:rPr>
                <w:rFonts w:cs="Arial"/>
                <w:b/>
                <w:bCs/>
                <w:sz w:val="18"/>
                <w:szCs w:val="18"/>
                <w:u w:val="single"/>
              </w:rPr>
              <w:t>Additional push/pull factors</w:t>
            </w:r>
          </w:p>
        </w:tc>
        <w:tc>
          <w:tcPr>
            <w:tcW w:w="1512" w:type="dxa"/>
          </w:tcPr>
          <w:p w14:paraId="5E5E374C" w14:textId="77777777" w:rsidR="00E760C2" w:rsidRPr="00EE2C40" w:rsidRDefault="00E760C2" w:rsidP="006A1863">
            <w:pPr>
              <w:spacing w:before="80"/>
              <w:ind w:left="112"/>
              <w:jc w:val="center"/>
              <w:rPr>
                <w:rFonts w:cs="Arial"/>
                <w:sz w:val="18"/>
                <w:szCs w:val="18"/>
              </w:rPr>
            </w:pPr>
          </w:p>
        </w:tc>
        <w:tc>
          <w:tcPr>
            <w:tcW w:w="1512" w:type="dxa"/>
          </w:tcPr>
          <w:p w14:paraId="5F7C43FC" w14:textId="77777777" w:rsidR="00E760C2" w:rsidRPr="00EE2C40" w:rsidRDefault="00E760C2" w:rsidP="006A1863">
            <w:pPr>
              <w:spacing w:before="80"/>
              <w:ind w:left="271"/>
              <w:jc w:val="center"/>
              <w:rPr>
                <w:rFonts w:cs="Arial"/>
                <w:sz w:val="18"/>
                <w:szCs w:val="18"/>
              </w:rPr>
            </w:pPr>
          </w:p>
        </w:tc>
        <w:tc>
          <w:tcPr>
            <w:tcW w:w="1512" w:type="dxa"/>
          </w:tcPr>
          <w:p w14:paraId="3D491189" w14:textId="77777777" w:rsidR="00E760C2" w:rsidRPr="00EE2C40" w:rsidRDefault="00E760C2" w:rsidP="006A1863">
            <w:pPr>
              <w:spacing w:before="80"/>
              <w:ind w:left="271"/>
              <w:jc w:val="center"/>
              <w:rPr>
                <w:rFonts w:cs="Arial"/>
                <w:sz w:val="18"/>
                <w:szCs w:val="18"/>
              </w:rPr>
            </w:pPr>
          </w:p>
        </w:tc>
      </w:tr>
      <w:tr w:rsidR="00E760C2" w:rsidRPr="00EE2C40" w14:paraId="507A51FF" w14:textId="77777777" w:rsidTr="00753A00">
        <w:trPr>
          <w:trHeight w:val="270"/>
        </w:trPr>
        <w:tc>
          <w:tcPr>
            <w:tcW w:w="4962" w:type="dxa"/>
            <w:hideMark/>
          </w:tcPr>
          <w:p w14:paraId="26656D13" w14:textId="77777777" w:rsidR="00E760C2" w:rsidRPr="00EE2C40" w:rsidRDefault="00E760C2" w:rsidP="006A1863">
            <w:pPr>
              <w:spacing w:before="80"/>
              <w:ind w:left="34"/>
              <w:rPr>
                <w:rFonts w:cs="Arial"/>
                <w:sz w:val="18"/>
                <w:szCs w:val="18"/>
              </w:rPr>
            </w:pPr>
            <w:r w:rsidRPr="00EE2C40">
              <w:rPr>
                <w:rFonts w:cs="Arial"/>
                <w:bCs/>
                <w:sz w:val="18"/>
                <w:szCs w:val="18"/>
              </w:rPr>
              <w:t>Employment rate</w:t>
            </w:r>
          </w:p>
        </w:tc>
        <w:tc>
          <w:tcPr>
            <w:tcW w:w="1512" w:type="dxa"/>
          </w:tcPr>
          <w:p w14:paraId="1C16386A" w14:textId="77777777" w:rsidR="00E760C2" w:rsidRPr="00EE2C40" w:rsidRDefault="00E760C2" w:rsidP="006A1863">
            <w:pPr>
              <w:spacing w:before="80"/>
              <w:ind w:left="112"/>
              <w:jc w:val="center"/>
              <w:rPr>
                <w:rFonts w:cs="Arial"/>
                <w:sz w:val="18"/>
                <w:szCs w:val="18"/>
              </w:rPr>
            </w:pPr>
            <w:r w:rsidRPr="00EE2C40">
              <w:rPr>
                <w:rFonts w:cs="Arial"/>
                <w:sz w:val="18"/>
                <w:szCs w:val="18"/>
              </w:rPr>
              <w:t>0.029**</w:t>
            </w:r>
          </w:p>
        </w:tc>
        <w:tc>
          <w:tcPr>
            <w:tcW w:w="1512" w:type="dxa"/>
          </w:tcPr>
          <w:p w14:paraId="1B7EEB10" w14:textId="77777777" w:rsidR="00E760C2" w:rsidRPr="00EE2C40" w:rsidRDefault="00E760C2" w:rsidP="006A1863">
            <w:pPr>
              <w:spacing w:before="80"/>
              <w:ind w:left="271"/>
              <w:jc w:val="center"/>
              <w:rPr>
                <w:rFonts w:cs="Arial"/>
                <w:sz w:val="18"/>
                <w:szCs w:val="18"/>
              </w:rPr>
            </w:pPr>
            <w:r w:rsidRPr="00EE2C40">
              <w:rPr>
                <w:rFonts w:cs="Arial"/>
                <w:sz w:val="18"/>
                <w:szCs w:val="18"/>
              </w:rPr>
              <w:t>0.030</w:t>
            </w:r>
          </w:p>
        </w:tc>
        <w:tc>
          <w:tcPr>
            <w:tcW w:w="1512" w:type="dxa"/>
          </w:tcPr>
          <w:p w14:paraId="6F0C9343" w14:textId="77777777" w:rsidR="00E760C2" w:rsidRPr="00EE2C40" w:rsidRDefault="00E760C2" w:rsidP="006A1863">
            <w:pPr>
              <w:spacing w:before="80"/>
              <w:ind w:left="271"/>
              <w:jc w:val="center"/>
              <w:rPr>
                <w:rFonts w:cs="Arial"/>
                <w:sz w:val="18"/>
                <w:szCs w:val="18"/>
              </w:rPr>
            </w:pPr>
            <w:r w:rsidRPr="00EE2C40">
              <w:rPr>
                <w:rFonts w:cs="Arial"/>
                <w:sz w:val="18"/>
                <w:szCs w:val="18"/>
              </w:rPr>
              <w:t>0.027*</w:t>
            </w:r>
          </w:p>
        </w:tc>
      </w:tr>
      <w:tr w:rsidR="00E760C2" w:rsidRPr="00EE2C40" w14:paraId="1B388178" w14:textId="77777777" w:rsidTr="00753A00">
        <w:trPr>
          <w:trHeight w:val="270"/>
        </w:trPr>
        <w:tc>
          <w:tcPr>
            <w:tcW w:w="4962" w:type="dxa"/>
            <w:hideMark/>
          </w:tcPr>
          <w:p w14:paraId="7FA889C3" w14:textId="77777777" w:rsidR="00E760C2" w:rsidRPr="00EE2C40" w:rsidRDefault="00E760C2" w:rsidP="006A1863">
            <w:pPr>
              <w:spacing w:before="80"/>
              <w:ind w:left="34"/>
              <w:rPr>
                <w:rFonts w:cs="Arial"/>
                <w:sz w:val="18"/>
                <w:szCs w:val="18"/>
              </w:rPr>
            </w:pPr>
            <w:r w:rsidRPr="00EE2C40">
              <w:rPr>
                <w:rFonts w:cs="Arial"/>
                <w:bCs/>
                <w:sz w:val="18"/>
                <w:szCs w:val="18"/>
              </w:rPr>
              <w:t>Skilled labour proportion</w:t>
            </w:r>
          </w:p>
        </w:tc>
        <w:tc>
          <w:tcPr>
            <w:tcW w:w="1512" w:type="dxa"/>
          </w:tcPr>
          <w:p w14:paraId="7FB9EDC7" w14:textId="77777777" w:rsidR="00E760C2" w:rsidRPr="00EE2C40" w:rsidRDefault="00E760C2" w:rsidP="006A1863">
            <w:pPr>
              <w:spacing w:before="80"/>
              <w:ind w:left="112"/>
              <w:jc w:val="center"/>
              <w:rPr>
                <w:rFonts w:cs="Arial"/>
                <w:sz w:val="18"/>
                <w:szCs w:val="18"/>
              </w:rPr>
            </w:pPr>
            <w:r w:rsidRPr="00EE2C40">
              <w:rPr>
                <w:rFonts w:cs="Arial"/>
                <w:sz w:val="18"/>
                <w:szCs w:val="18"/>
              </w:rPr>
              <w:t>0.141***</w:t>
            </w:r>
          </w:p>
        </w:tc>
        <w:tc>
          <w:tcPr>
            <w:tcW w:w="1512" w:type="dxa"/>
          </w:tcPr>
          <w:p w14:paraId="1AE3F9E2" w14:textId="77777777" w:rsidR="00E760C2" w:rsidRPr="00EE2C40" w:rsidRDefault="00E760C2" w:rsidP="006A1863">
            <w:pPr>
              <w:spacing w:before="80"/>
              <w:ind w:left="271"/>
              <w:jc w:val="center"/>
              <w:rPr>
                <w:rFonts w:cs="Arial"/>
                <w:sz w:val="18"/>
                <w:szCs w:val="18"/>
              </w:rPr>
            </w:pPr>
            <w:r w:rsidRPr="00EE2C40">
              <w:rPr>
                <w:rFonts w:cs="Arial"/>
                <w:sz w:val="18"/>
                <w:szCs w:val="18"/>
              </w:rPr>
              <w:t>0.087</w:t>
            </w:r>
          </w:p>
        </w:tc>
        <w:tc>
          <w:tcPr>
            <w:tcW w:w="1512" w:type="dxa"/>
          </w:tcPr>
          <w:p w14:paraId="36F6200E" w14:textId="77777777" w:rsidR="00E760C2" w:rsidRPr="00EE2C40" w:rsidRDefault="00E760C2" w:rsidP="006A1863">
            <w:pPr>
              <w:spacing w:before="80"/>
              <w:ind w:left="271"/>
              <w:jc w:val="center"/>
              <w:rPr>
                <w:rFonts w:cs="Arial"/>
                <w:sz w:val="18"/>
                <w:szCs w:val="18"/>
              </w:rPr>
            </w:pPr>
            <w:r w:rsidRPr="00EE2C40">
              <w:rPr>
                <w:rFonts w:cs="Arial"/>
                <w:sz w:val="18"/>
                <w:szCs w:val="18"/>
              </w:rPr>
              <w:t>0.107***</w:t>
            </w:r>
          </w:p>
        </w:tc>
      </w:tr>
      <w:tr w:rsidR="00E760C2" w:rsidRPr="00EE2C40" w14:paraId="41A52137" w14:textId="77777777" w:rsidTr="00753A00">
        <w:trPr>
          <w:trHeight w:val="270"/>
        </w:trPr>
        <w:tc>
          <w:tcPr>
            <w:tcW w:w="4962" w:type="dxa"/>
            <w:hideMark/>
          </w:tcPr>
          <w:p w14:paraId="61CB9DE7" w14:textId="77777777" w:rsidR="00E760C2" w:rsidRPr="00EE2C40" w:rsidRDefault="00E760C2" w:rsidP="006A1863">
            <w:pPr>
              <w:spacing w:before="80"/>
              <w:ind w:left="34"/>
              <w:rPr>
                <w:rFonts w:cs="Arial"/>
                <w:sz w:val="18"/>
                <w:szCs w:val="18"/>
              </w:rPr>
            </w:pPr>
            <w:r w:rsidRPr="00EE2C40">
              <w:rPr>
                <w:rFonts w:cs="Arial"/>
                <w:bCs/>
                <w:sz w:val="18"/>
                <w:szCs w:val="18"/>
              </w:rPr>
              <w:t>Housing density</w:t>
            </w:r>
          </w:p>
        </w:tc>
        <w:tc>
          <w:tcPr>
            <w:tcW w:w="1512" w:type="dxa"/>
          </w:tcPr>
          <w:p w14:paraId="5B75816E" w14:textId="77777777" w:rsidR="00E760C2" w:rsidRPr="00EE2C40" w:rsidRDefault="00E760C2" w:rsidP="006A1863">
            <w:pPr>
              <w:spacing w:before="80"/>
              <w:ind w:left="112"/>
              <w:jc w:val="center"/>
              <w:rPr>
                <w:rFonts w:cs="Arial"/>
                <w:sz w:val="18"/>
                <w:szCs w:val="18"/>
              </w:rPr>
            </w:pPr>
            <w:r w:rsidRPr="00EE2C40">
              <w:rPr>
                <w:rFonts w:cs="Arial"/>
                <w:sz w:val="18"/>
                <w:szCs w:val="18"/>
              </w:rPr>
              <w:t>0.409*</w:t>
            </w:r>
          </w:p>
        </w:tc>
        <w:tc>
          <w:tcPr>
            <w:tcW w:w="1512" w:type="dxa"/>
          </w:tcPr>
          <w:p w14:paraId="45F342FC" w14:textId="77777777" w:rsidR="00E760C2" w:rsidRPr="00EE2C40" w:rsidRDefault="00E760C2" w:rsidP="006A1863">
            <w:pPr>
              <w:spacing w:before="80"/>
              <w:ind w:left="271"/>
              <w:jc w:val="center"/>
              <w:rPr>
                <w:rFonts w:cs="Arial"/>
                <w:sz w:val="18"/>
                <w:szCs w:val="18"/>
              </w:rPr>
            </w:pPr>
            <w:r w:rsidRPr="00EE2C40">
              <w:rPr>
                <w:rFonts w:cs="Arial"/>
                <w:sz w:val="18"/>
                <w:szCs w:val="18"/>
              </w:rPr>
              <w:t>-0.637</w:t>
            </w:r>
          </w:p>
        </w:tc>
        <w:tc>
          <w:tcPr>
            <w:tcW w:w="1512" w:type="dxa"/>
          </w:tcPr>
          <w:p w14:paraId="205D9836" w14:textId="77777777" w:rsidR="00E760C2" w:rsidRPr="00EE2C40" w:rsidRDefault="00E760C2" w:rsidP="006A1863">
            <w:pPr>
              <w:spacing w:before="80"/>
              <w:ind w:left="271"/>
              <w:jc w:val="center"/>
              <w:rPr>
                <w:rFonts w:cs="Arial"/>
                <w:sz w:val="18"/>
                <w:szCs w:val="18"/>
              </w:rPr>
            </w:pPr>
            <w:r w:rsidRPr="00EE2C40">
              <w:rPr>
                <w:rFonts w:cs="Arial"/>
                <w:sz w:val="18"/>
                <w:szCs w:val="18"/>
              </w:rPr>
              <w:t>0.340</w:t>
            </w:r>
          </w:p>
        </w:tc>
      </w:tr>
      <w:tr w:rsidR="00E760C2" w:rsidRPr="00EE2C40" w14:paraId="2290EC81" w14:textId="77777777" w:rsidTr="00753A00">
        <w:trPr>
          <w:trHeight w:val="270"/>
        </w:trPr>
        <w:tc>
          <w:tcPr>
            <w:tcW w:w="4962" w:type="dxa"/>
            <w:hideMark/>
          </w:tcPr>
          <w:p w14:paraId="76F80D66" w14:textId="77777777" w:rsidR="00E760C2" w:rsidRPr="00EE2C40" w:rsidRDefault="00E760C2" w:rsidP="006A1863">
            <w:pPr>
              <w:spacing w:before="80"/>
              <w:ind w:left="34"/>
              <w:rPr>
                <w:rFonts w:cs="Arial"/>
                <w:sz w:val="18"/>
                <w:szCs w:val="18"/>
              </w:rPr>
            </w:pPr>
            <w:r w:rsidRPr="00EE2C40">
              <w:rPr>
                <w:rFonts w:cs="Arial"/>
                <w:bCs/>
                <w:sz w:val="18"/>
                <w:szCs w:val="18"/>
              </w:rPr>
              <w:t>Network infrastructure</w:t>
            </w:r>
          </w:p>
        </w:tc>
        <w:tc>
          <w:tcPr>
            <w:tcW w:w="1512" w:type="dxa"/>
          </w:tcPr>
          <w:p w14:paraId="2526FAC4" w14:textId="77777777" w:rsidR="00E760C2" w:rsidRPr="00EE2C40" w:rsidRDefault="00E760C2" w:rsidP="006A1863">
            <w:pPr>
              <w:spacing w:before="80"/>
              <w:ind w:left="112"/>
              <w:jc w:val="center"/>
              <w:rPr>
                <w:rFonts w:cs="Arial"/>
                <w:sz w:val="18"/>
                <w:szCs w:val="18"/>
              </w:rPr>
            </w:pPr>
            <w:r w:rsidRPr="00EE2C40">
              <w:rPr>
                <w:rFonts w:cs="Arial"/>
                <w:sz w:val="18"/>
                <w:szCs w:val="18"/>
              </w:rPr>
              <w:t>0.018</w:t>
            </w:r>
          </w:p>
        </w:tc>
        <w:tc>
          <w:tcPr>
            <w:tcW w:w="1512" w:type="dxa"/>
          </w:tcPr>
          <w:p w14:paraId="636EFCA7" w14:textId="77777777" w:rsidR="00E760C2" w:rsidRPr="00EE2C40" w:rsidRDefault="00E760C2" w:rsidP="006A1863">
            <w:pPr>
              <w:spacing w:before="80"/>
              <w:ind w:left="271"/>
              <w:jc w:val="center"/>
              <w:rPr>
                <w:rFonts w:cs="Arial"/>
                <w:sz w:val="18"/>
                <w:szCs w:val="18"/>
              </w:rPr>
            </w:pPr>
            <w:r w:rsidRPr="00EE2C40">
              <w:rPr>
                <w:rFonts w:cs="Arial"/>
                <w:sz w:val="18"/>
                <w:szCs w:val="18"/>
              </w:rPr>
              <w:t>0.098</w:t>
            </w:r>
          </w:p>
        </w:tc>
        <w:tc>
          <w:tcPr>
            <w:tcW w:w="1512" w:type="dxa"/>
          </w:tcPr>
          <w:p w14:paraId="33DF8F80" w14:textId="77777777" w:rsidR="00E760C2" w:rsidRPr="00EE2C40" w:rsidRDefault="00E760C2" w:rsidP="006A1863">
            <w:pPr>
              <w:spacing w:before="80"/>
              <w:ind w:left="271"/>
              <w:jc w:val="center"/>
              <w:rPr>
                <w:rFonts w:cs="Arial"/>
                <w:sz w:val="18"/>
                <w:szCs w:val="18"/>
              </w:rPr>
            </w:pPr>
            <w:r w:rsidRPr="00EE2C40">
              <w:rPr>
                <w:rFonts w:cs="Arial"/>
                <w:sz w:val="18"/>
                <w:szCs w:val="18"/>
              </w:rPr>
              <w:t>0.001</w:t>
            </w:r>
          </w:p>
        </w:tc>
      </w:tr>
      <w:tr w:rsidR="00E760C2" w:rsidRPr="00EE2C40" w14:paraId="433888E4" w14:textId="77777777" w:rsidTr="00753A00">
        <w:trPr>
          <w:trHeight w:val="270"/>
        </w:trPr>
        <w:tc>
          <w:tcPr>
            <w:tcW w:w="4962" w:type="dxa"/>
            <w:hideMark/>
          </w:tcPr>
          <w:p w14:paraId="2CCDE3E3" w14:textId="77777777" w:rsidR="00E760C2" w:rsidRPr="00EE2C40" w:rsidRDefault="00E760C2" w:rsidP="006A1863">
            <w:pPr>
              <w:spacing w:before="80"/>
              <w:ind w:left="34"/>
              <w:rPr>
                <w:rFonts w:cs="Arial"/>
                <w:sz w:val="18"/>
                <w:szCs w:val="18"/>
              </w:rPr>
            </w:pPr>
            <w:r w:rsidRPr="00EE2C40">
              <w:rPr>
                <w:rFonts w:cs="Arial"/>
                <w:bCs/>
                <w:sz w:val="18"/>
                <w:szCs w:val="18"/>
              </w:rPr>
              <w:t>Transport infrastructure</w:t>
            </w:r>
          </w:p>
        </w:tc>
        <w:tc>
          <w:tcPr>
            <w:tcW w:w="1512" w:type="dxa"/>
          </w:tcPr>
          <w:p w14:paraId="71AC38D4" w14:textId="77777777" w:rsidR="00E760C2" w:rsidRPr="00EE2C40" w:rsidRDefault="00E760C2" w:rsidP="006A1863">
            <w:pPr>
              <w:spacing w:before="80"/>
              <w:ind w:left="112"/>
              <w:jc w:val="center"/>
              <w:rPr>
                <w:rFonts w:cs="Arial"/>
                <w:sz w:val="18"/>
                <w:szCs w:val="18"/>
              </w:rPr>
            </w:pPr>
            <w:r w:rsidRPr="00EE2C40">
              <w:rPr>
                <w:rFonts w:cs="Arial"/>
                <w:sz w:val="18"/>
                <w:szCs w:val="18"/>
              </w:rPr>
              <w:t>-0.141***</w:t>
            </w:r>
          </w:p>
        </w:tc>
        <w:tc>
          <w:tcPr>
            <w:tcW w:w="1512" w:type="dxa"/>
          </w:tcPr>
          <w:p w14:paraId="770D1426" w14:textId="77777777" w:rsidR="00E760C2" w:rsidRPr="00EE2C40" w:rsidRDefault="00E760C2" w:rsidP="006A1863">
            <w:pPr>
              <w:spacing w:before="80"/>
              <w:ind w:left="271"/>
              <w:jc w:val="center"/>
              <w:rPr>
                <w:rFonts w:cs="Arial"/>
                <w:sz w:val="18"/>
                <w:szCs w:val="18"/>
              </w:rPr>
            </w:pPr>
            <w:r w:rsidRPr="00EE2C40">
              <w:rPr>
                <w:rFonts w:cs="Arial"/>
                <w:sz w:val="18"/>
                <w:szCs w:val="18"/>
              </w:rPr>
              <w:t>-0.104</w:t>
            </w:r>
          </w:p>
        </w:tc>
        <w:tc>
          <w:tcPr>
            <w:tcW w:w="1512" w:type="dxa"/>
          </w:tcPr>
          <w:p w14:paraId="4BCAEED0" w14:textId="77777777" w:rsidR="00E760C2" w:rsidRPr="00EE2C40" w:rsidRDefault="00E760C2" w:rsidP="006A1863">
            <w:pPr>
              <w:spacing w:before="80"/>
              <w:ind w:left="271"/>
              <w:jc w:val="center"/>
              <w:rPr>
                <w:rFonts w:cs="Arial"/>
                <w:sz w:val="18"/>
                <w:szCs w:val="18"/>
              </w:rPr>
            </w:pPr>
            <w:r w:rsidRPr="00EE2C40">
              <w:rPr>
                <w:rFonts w:cs="Arial"/>
                <w:sz w:val="18"/>
                <w:szCs w:val="18"/>
              </w:rPr>
              <w:t>0.012</w:t>
            </w:r>
          </w:p>
        </w:tc>
      </w:tr>
      <w:tr w:rsidR="00E760C2" w:rsidRPr="00EE2C40" w14:paraId="70782C47" w14:textId="77777777" w:rsidTr="00753A00">
        <w:trPr>
          <w:trHeight w:val="270"/>
        </w:trPr>
        <w:tc>
          <w:tcPr>
            <w:tcW w:w="4962" w:type="dxa"/>
            <w:hideMark/>
          </w:tcPr>
          <w:p w14:paraId="6AE858CF" w14:textId="77777777" w:rsidR="00E760C2" w:rsidRPr="00EE2C40" w:rsidRDefault="00E760C2" w:rsidP="006A1863">
            <w:pPr>
              <w:spacing w:before="80"/>
              <w:ind w:left="34"/>
              <w:rPr>
                <w:rFonts w:cs="Arial"/>
                <w:sz w:val="18"/>
                <w:szCs w:val="18"/>
              </w:rPr>
            </w:pPr>
            <w:r w:rsidRPr="00EE2C40">
              <w:rPr>
                <w:rFonts w:cs="Arial"/>
                <w:bCs/>
                <w:sz w:val="18"/>
                <w:szCs w:val="18"/>
              </w:rPr>
              <w:t>Life satisfaction</w:t>
            </w:r>
          </w:p>
        </w:tc>
        <w:tc>
          <w:tcPr>
            <w:tcW w:w="1512" w:type="dxa"/>
          </w:tcPr>
          <w:p w14:paraId="6EA3F010" w14:textId="77777777" w:rsidR="00E760C2" w:rsidRPr="00EE2C40" w:rsidRDefault="00E760C2" w:rsidP="006A1863">
            <w:pPr>
              <w:spacing w:before="80"/>
              <w:ind w:left="112"/>
              <w:jc w:val="center"/>
              <w:rPr>
                <w:rFonts w:cs="Arial"/>
                <w:sz w:val="18"/>
                <w:szCs w:val="18"/>
              </w:rPr>
            </w:pPr>
            <w:r w:rsidRPr="00EE2C40">
              <w:rPr>
                <w:rFonts w:cs="Arial"/>
                <w:sz w:val="18"/>
                <w:szCs w:val="18"/>
              </w:rPr>
              <w:t>-0.087</w:t>
            </w:r>
          </w:p>
        </w:tc>
        <w:tc>
          <w:tcPr>
            <w:tcW w:w="1512" w:type="dxa"/>
          </w:tcPr>
          <w:p w14:paraId="223D8130" w14:textId="77777777" w:rsidR="00E760C2" w:rsidRPr="00EE2C40" w:rsidRDefault="00E760C2" w:rsidP="006A1863">
            <w:pPr>
              <w:spacing w:before="80"/>
              <w:ind w:left="271"/>
              <w:jc w:val="center"/>
              <w:rPr>
                <w:rFonts w:cs="Arial"/>
                <w:sz w:val="18"/>
                <w:szCs w:val="18"/>
              </w:rPr>
            </w:pPr>
            <w:r w:rsidRPr="00EE2C40">
              <w:rPr>
                <w:rFonts w:cs="Arial"/>
                <w:sz w:val="18"/>
                <w:szCs w:val="18"/>
              </w:rPr>
              <w:t>-0.287</w:t>
            </w:r>
          </w:p>
        </w:tc>
        <w:tc>
          <w:tcPr>
            <w:tcW w:w="1512" w:type="dxa"/>
          </w:tcPr>
          <w:p w14:paraId="2C91CD27" w14:textId="77777777" w:rsidR="00E760C2" w:rsidRPr="00EE2C40" w:rsidRDefault="00E760C2" w:rsidP="006A1863">
            <w:pPr>
              <w:spacing w:before="80"/>
              <w:ind w:left="271"/>
              <w:jc w:val="center"/>
              <w:rPr>
                <w:rFonts w:cs="Arial"/>
                <w:sz w:val="18"/>
                <w:szCs w:val="18"/>
              </w:rPr>
            </w:pPr>
            <w:r w:rsidRPr="00EE2C40">
              <w:rPr>
                <w:rFonts w:cs="Arial"/>
                <w:sz w:val="18"/>
                <w:szCs w:val="18"/>
              </w:rPr>
              <w:t>0.435***</w:t>
            </w:r>
          </w:p>
        </w:tc>
      </w:tr>
      <w:tr w:rsidR="00E760C2" w:rsidRPr="00EE2C40" w14:paraId="4BA3FF78" w14:textId="77777777" w:rsidTr="00753A00">
        <w:trPr>
          <w:trHeight w:val="270"/>
        </w:trPr>
        <w:tc>
          <w:tcPr>
            <w:tcW w:w="4962" w:type="dxa"/>
            <w:hideMark/>
          </w:tcPr>
          <w:p w14:paraId="4D479B33" w14:textId="77777777" w:rsidR="00E760C2" w:rsidRPr="00EE2C40" w:rsidRDefault="00E760C2" w:rsidP="006A1863">
            <w:pPr>
              <w:spacing w:before="80"/>
              <w:ind w:left="34"/>
              <w:rPr>
                <w:rFonts w:cs="Arial"/>
                <w:sz w:val="18"/>
                <w:szCs w:val="18"/>
              </w:rPr>
            </w:pPr>
            <w:r w:rsidRPr="00EE2C40">
              <w:rPr>
                <w:rFonts w:cs="Arial"/>
                <w:bCs/>
                <w:sz w:val="18"/>
                <w:szCs w:val="18"/>
              </w:rPr>
              <w:t>Size of the market (population)</w:t>
            </w:r>
          </w:p>
        </w:tc>
        <w:tc>
          <w:tcPr>
            <w:tcW w:w="1512" w:type="dxa"/>
          </w:tcPr>
          <w:p w14:paraId="4F19D3A9" w14:textId="77777777" w:rsidR="00E760C2" w:rsidRPr="00EE2C40" w:rsidRDefault="00E760C2" w:rsidP="006A1863">
            <w:pPr>
              <w:spacing w:before="80"/>
              <w:ind w:left="112"/>
              <w:jc w:val="center"/>
              <w:rPr>
                <w:rFonts w:cs="Arial"/>
                <w:sz w:val="18"/>
                <w:szCs w:val="18"/>
              </w:rPr>
            </w:pPr>
            <w:r w:rsidRPr="00EE2C40">
              <w:rPr>
                <w:rFonts w:cs="Arial"/>
                <w:sz w:val="18"/>
                <w:szCs w:val="18"/>
              </w:rPr>
              <w:t>0.571**</w:t>
            </w:r>
          </w:p>
        </w:tc>
        <w:tc>
          <w:tcPr>
            <w:tcW w:w="1512" w:type="dxa"/>
          </w:tcPr>
          <w:p w14:paraId="2CD9D5F5" w14:textId="77777777" w:rsidR="00E760C2" w:rsidRPr="00EE2C40" w:rsidRDefault="00E760C2" w:rsidP="006A1863">
            <w:pPr>
              <w:spacing w:before="80"/>
              <w:ind w:left="271"/>
              <w:jc w:val="center"/>
              <w:rPr>
                <w:rFonts w:cs="Arial"/>
                <w:sz w:val="18"/>
                <w:szCs w:val="18"/>
              </w:rPr>
            </w:pPr>
            <w:r w:rsidRPr="00EE2C40">
              <w:rPr>
                <w:rFonts w:cs="Arial"/>
                <w:sz w:val="18"/>
                <w:szCs w:val="18"/>
              </w:rPr>
              <w:t>0.846*</w:t>
            </w:r>
          </w:p>
        </w:tc>
        <w:tc>
          <w:tcPr>
            <w:tcW w:w="1512" w:type="dxa"/>
          </w:tcPr>
          <w:p w14:paraId="3BF1F07F" w14:textId="77777777" w:rsidR="00E760C2" w:rsidRPr="00EE2C40" w:rsidRDefault="00E760C2" w:rsidP="006A1863">
            <w:pPr>
              <w:spacing w:before="80"/>
              <w:ind w:left="271"/>
              <w:jc w:val="center"/>
              <w:rPr>
                <w:rFonts w:cs="Arial"/>
                <w:sz w:val="18"/>
                <w:szCs w:val="18"/>
              </w:rPr>
            </w:pPr>
            <w:r w:rsidRPr="00EE2C40">
              <w:rPr>
                <w:rFonts w:cs="Arial"/>
                <w:sz w:val="18"/>
                <w:szCs w:val="18"/>
              </w:rPr>
              <w:t>0.587**</w:t>
            </w:r>
          </w:p>
        </w:tc>
      </w:tr>
      <w:tr w:rsidR="00E760C2" w:rsidRPr="00EE2C40" w14:paraId="15427758" w14:textId="77777777" w:rsidTr="00753A00">
        <w:trPr>
          <w:trHeight w:val="270"/>
        </w:trPr>
        <w:tc>
          <w:tcPr>
            <w:tcW w:w="4962" w:type="dxa"/>
            <w:tcBorders>
              <w:bottom w:val="single" w:sz="4" w:space="0" w:color="auto"/>
            </w:tcBorders>
            <w:hideMark/>
          </w:tcPr>
          <w:p w14:paraId="6D8C756F" w14:textId="77777777" w:rsidR="00E760C2" w:rsidRPr="00EE2C40" w:rsidRDefault="00E760C2" w:rsidP="006A1863">
            <w:pPr>
              <w:spacing w:before="80"/>
              <w:ind w:left="34"/>
              <w:rPr>
                <w:rFonts w:cs="Arial"/>
                <w:sz w:val="18"/>
                <w:szCs w:val="18"/>
              </w:rPr>
            </w:pPr>
            <w:r w:rsidRPr="00EE2C40">
              <w:rPr>
                <w:rFonts w:cs="Arial"/>
                <w:bCs/>
                <w:sz w:val="18"/>
                <w:szCs w:val="18"/>
              </w:rPr>
              <w:t>GVA per capita</w:t>
            </w:r>
          </w:p>
        </w:tc>
        <w:tc>
          <w:tcPr>
            <w:tcW w:w="1512" w:type="dxa"/>
            <w:tcBorders>
              <w:bottom w:val="single" w:sz="4" w:space="0" w:color="auto"/>
            </w:tcBorders>
          </w:tcPr>
          <w:p w14:paraId="4082112B" w14:textId="77777777" w:rsidR="00E760C2" w:rsidRPr="00EE2C40" w:rsidRDefault="00E760C2" w:rsidP="006A1863">
            <w:pPr>
              <w:spacing w:before="80"/>
              <w:ind w:left="112"/>
              <w:jc w:val="center"/>
              <w:rPr>
                <w:rFonts w:cs="Arial"/>
                <w:sz w:val="18"/>
                <w:szCs w:val="18"/>
              </w:rPr>
            </w:pPr>
            <w:r w:rsidRPr="00EE2C40">
              <w:rPr>
                <w:rFonts w:cs="Arial"/>
                <w:sz w:val="18"/>
                <w:szCs w:val="18"/>
              </w:rPr>
              <w:t>0.133***</w:t>
            </w:r>
          </w:p>
        </w:tc>
        <w:tc>
          <w:tcPr>
            <w:tcW w:w="1512" w:type="dxa"/>
            <w:tcBorders>
              <w:bottom w:val="single" w:sz="4" w:space="0" w:color="auto"/>
            </w:tcBorders>
          </w:tcPr>
          <w:p w14:paraId="58D9838C" w14:textId="77777777" w:rsidR="00E760C2" w:rsidRPr="00EE2C40" w:rsidRDefault="00E760C2" w:rsidP="006A1863">
            <w:pPr>
              <w:spacing w:before="80"/>
              <w:ind w:left="271"/>
              <w:jc w:val="center"/>
              <w:rPr>
                <w:rFonts w:cs="Arial"/>
                <w:sz w:val="18"/>
                <w:szCs w:val="18"/>
              </w:rPr>
            </w:pPr>
            <w:r w:rsidRPr="00EE2C40">
              <w:rPr>
                <w:rFonts w:cs="Arial"/>
                <w:sz w:val="18"/>
                <w:szCs w:val="18"/>
              </w:rPr>
              <w:t>0.891***</w:t>
            </w:r>
          </w:p>
        </w:tc>
        <w:tc>
          <w:tcPr>
            <w:tcW w:w="1512" w:type="dxa"/>
            <w:tcBorders>
              <w:bottom w:val="single" w:sz="4" w:space="0" w:color="auto"/>
            </w:tcBorders>
          </w:tcPr>
          <w:p w14:paraId="2B988566" w14:textId="77777777" w:rsidR="00E760C2" w:rsidRPr="00EE2C40" w:rsidRDefault="00E760C2" w:rsidP="006A1863">
            <w:pPr>
              <w:spacing w:before="80"/>
              <w:ind w:left="271"/>
              <w:jc w:val="center"/>
              <w:rPr>
                <w:rFonts w:cs="Arial"/>
                <w:sz w:val="18"/>
                <w:szCs w:val="18"/>
              </w:rPr>
            </w:pPr>
            <w:r w:rsidRPr="00EE2C40">
              <w:rPr>
                <w:rFonts w:cs="Arial"/>
                <w:sz w:val="18"/>
                <w:szCs w:val="18"/>
              </w:rPr>
              <w:t>0.234</w:t>
            </w:r>
          </w:p>
        </w:tc>
      </w:tr>
      <w:tr w:rsidR="00E760C2" w:rsidRPr="00EE2C40" w14:paraId="460371B4" w14:textId="77777777" w:rsidTr="00753A00">
        <w:trPr>
          <w:trHeight w:val="270"/>
        </w:trPr>
        <w:tc>
          <w:tcPr>
            <w:tcW w:w="4962" w:type="dxa"/>
            <w:tcBorders>
              <w:top w:val="single" w:sz="4" w:space="0" w:color="auto"/>
              <w:bottom w:val="single" w:sz="4" w:space="0" w:color="auto"/>
            </w:tcBorders>
            <w:hideMark/>
          </w:tcPr>
          <w:p w14:paraId="31E923EA" w14:textId="77777777" w:rsidR="00E760C2" w:rsidRPr="00EE2C40" w:rsidRDefault="00E760C2" w:rsidP="006A1863">
            <w:pPr>
              <w:spacing w:before="80"/>
              <w:ind w:left="34"/>
              <w:rPr>
                <w:rFonts w:cs="Arial"/>
                <w:sz w:val="18"/>
                <w:szCs w:val="18"/>
              </w:rPr>
            </w:pPr>
            <w:r w:rsidRPr="00EE2C40">
              <w:rPr>
                <w:rFonts w:cs="Arial"/>
                <w:bCs/>
                <w:sz w:val="18"/>
                <w:szCs w:val="18"/>
              </w:rPr>
              <w:t>Adjusted R</w:t>
            </w:r>
            <w:r w:rsidRPr="00EE2C40">
              <w:rPr>
                <w:rFonts w:cs="Arial"/>
                <w:bCs/>
                <w:sz w:val="18"/>
                <w:szCs w:val="18"/>
                <w:vertAlign w:val="superscript"/>
              </w:rPr>
              <w:t>2</w:t>
            </w:r>
          </w:p>
        </w:tc>
        <w:tc>
          <w:tcPr>
            <w:tcW w:w="1512" w:type="dxa"/>
            <w:tcBorders>
              <w:top w:val="single" w:sz="4" w:space="0" w:color="auto"/>
              <w:bottom w:val="single" w:sz="4" w:space="0" w:color="auto"/>
            </w:tcBorders>
          </w:tcPr>
          <w:p w14:paraId="5813A3A5" w14:textId="77777777" w:rsidR="00E760C2" w:rsidRPr="00EE2C40" w:rsidRDefault="00E760C2" w:rsidP="006A1863">
            <w:pPr>
              <w:spacing w:before="80"/>
              <w:ind w:left="112"/>
              <w:jc w:val="center"/>
              <w:rPr>
                <w:rFonts w:cs="Arial"/>
                <w:sz w:val="18"/>
                <w:szCs w:val="18"/>
              </w:rPr>
            </w:pPr>
            <w:r w:rsidRPr="00EE2C40">
              <w:rPr>
                <w:rFonts w:cs="Arial"/>
                <w:sz w:val="18"/>
                <w:szCs w:val="18"/>
              </w:rPr>
              <w:t>0.9042</w:t>
            </w:r>
          </w:p>
        </w:tc>
        <w:tc>
          <w:tcPr>
            <w:tcW w:w="1512" w:type="dxa"/>
            <w:tcBorders>
              <w:top w:val="single" w:sz="4" w:space="0" w:color="auto"/>
              <w:bottom w:val="single" w:sz="4" w:space="0" w:color="auto"/>
            </w:tcBorders>
          </w:tcPr>
          <w:p w14:paraId="0479D067" w14:textId="77777777" w:rsidR="00E760C2" w:rsidRPr="00EE2C40" w:rsidRDefault="00E760C2" w:rsidP="006A1863">
            <w:pPr>
              <w:spacing w:before="80"/>
              <w:ind w:left="271"/>
              <w:jc w:val="center"/>
              <w:rPr>
                <w:rFonts w:cs="Arial"/>
                <w:sz w:val="18"/>
                <w:szCs w:val="18"/>
              </w:rPr>
            </w:pPr>
            <w:r w:rsidRPr="00EE2C40">
              <w:rPr>
                <w:rFonts w:cs="Arial"/>
                <w:sz w:val="18"/>
                <w:szCs w:val="18"/>
              </w:rPr>
              <w:t>0.7903</w:t>
            </w:r>
          </w:p>
        </w:tc>
        <w:tc>
          <w:tcPr>
            <w:tcW w:w="1512" w:type="dxa"/>
            <w:tcBorders>
              <w:top w:val="single" w:sz="4" w:space="0" w:color="auto"/>
              <w:bottom w:val="single" w:sz="4" w:space="0" w:color="auto"/>
            </w:tcBorders>
          </w:tcPr>
          <w:p w14:paraId="503CC2A1" w14:textId="77777777" w:rsidR="00E760C2" w:rsidRPr="00EE2C40" w:rsidRDefault="00E760C2" w:rsidP="006A1863">
            <w:pPr>
              <w:spacing w:before="80"/>
              <w:ind w:left="271"/>
              <w:jc w:val="center"/>
              <w:rPr>
                <w:rFonts w:cs="Arial"/>
                <w:sz w:val="18"/>
                <w:szCs w:val="18"/>
              </w:rPr>
            </w:pPr>
            <w:r w:rsidRPr="00EE2C40">
              <w:rPr>
                <w:rFonts w:cs="Arial"/>
                <w:sz w:val="18"/>
                <w:szCs w:val="18"/>
              </w:rPr>
              <w:t>0.8999</w:t>
            </w:r>
          </w:p>
        </w:tc>
      </w:tr>
    </w:tbl>
    <w:p w14:paraId="0D2DF0B8"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36786CA8" w14:textId="77777777" w:rsidR="00E760C2" w:rsidRPr="009548FC" w:rsidRDefault="00E760C2" w:rsidP="00E760C2">
      <w:pPr>
        <w:widowControl w:val="0"/>
        <w:autoSpaceDE w:val="0"/>
        <w:autoSpaceDN w:val="0"/>
        <w:adjustRightInd w:val="0"/>
        <w:spacing w:before="0" w:after="120" w:line="276" w:lineRule="auto"/>
        <w:ind w:left="1134"/>
        <w:contextualSpacing/>
        <w:rPr>
          <w:rFonts w:eastAsia="Calibri" w:cs="Arial"/>
          <w:szCs w:val="22"/>
        </w:rPr>
      </w:pPr>
    </w:p>
    <w:p w14:paraId="3719310C" w14:textId="7BEC945F" w:rsidR="00E760C2" w:rsidRPr="009548FC" w:rsidRDefault="00E760C2" w:rsidP="00E760C2">
      <w:pPr>
        <w:rPr>
          <w:rFonts w:eastAsia="Calibri" w:cs="Arial"/>
        </w:rPr>
      </w:pPr>
      <w:r w:rsidRPr="009548FC">
        <w:rPr>
          <w:rFonts w:eastAsia="Calibri" w:cs="Arial"/>
        </w:rPr>
        <w:t>Net migration of firms is positively associated with the employment rate, skilled labour, life satisfaction and population</w:t>
      </w:r>
      <w:r w:rsidR="000B6D23">
        <w:rPr>
          <w:rFonts w:eastAsia="Calibri" w:cs="Arial"/>
        </w:rPr>
        <w:t xml:space="preserve"> size</w:t>
      </w:r>
      <w:r w:rsidRPr="009548FC">
        <w:rPr>
          <w:rFonts w:eastAsia="Calibri" w:cs="Arial"/>
        </w:rPr>
        <w:t>. These may effectively be thought of as factors that directly attract firms.</w:t>
      </w:r>
    </w:p>
    <w:p w14:paraId="5C7B5F0B" w14:textId="7A82A196" w:rsidR="00E760C2" w:rsidRPr="009548FC" w:rsidRDefault="00E760C2" w:rsidP="00E760C2">
      <w:pPr>
        <w:rPr>
          <w:rFonts w:eastAsia="Calibri" w:cs="Arial"/>
        </w:rPr>
      </w:pPr>
      <w:r w:rsidRPr="009548FC">
        <w:rPr>
          <w:rFonts w:eastAsia="Calibri" w:cs="Arial"/>
        </w:rPr>
        <w:t>Turnover of all firms per capita is associated positively with heritage assets density, and more weakly with population</w:t>
      </w:r>
      <w:r w:rsidR="000B6D23">
        <w:rPr>
          <w:rFonts w:eastAsia="Calibri" w:cs="Arial"/>
        </w:rPr>
        <w:t xml:space="preserve"> size</w:t>
      </w:r>
      <w:r w:rsidRPr="009548FC">
        <w:rPr>
          <w:rFonts w:eastAsia="Calibri" w:cs="Arial"/>
        </w:rPr>
        <w:t>. It is also very strongly associated with GVA per capita, although as with number of firms per capita, this result may be subject to simultaneity bias.</w:t>
      </w:r>
    </w:p>
    <w:p w14:paraId="03F9FFFE" w14:textId="77777777" w:rsidR="00E760C2" w:rsidRPr="009548FC" w:rsidRDefault="00E760C2" w:rsidP="00E760C2">
      <w:pPr>
        <w:pStyle w:val="Heading3Numbered"/>
        <w:rPr>
          <w:rFonts w:eastAsia="Calibri"/>
        </w:rPr>
      </w:pPr>
      <w:bookmarkStart w:id="50" w:name="_Toc467569602"/>
      <w:r w:rsidRPr="009548FC">
        <w:rPr>
          <w:rFonts w:eastAsia="Calibri"/>
        </w:rPr>
        <w:t>Panel data models – all firms</w:t>
      </w:r>
      <w:bookmarkEnd w:id="50"/>
    </w:p>
    <w:p w14:paraId="3688AF6E" w14:textId="4057A7EC" w:rsidR="00E760C2" w:rsidRPr="00873DB7" w:rsidRDefault="00E760C2" w:rsidP="00E760C2">
      <w:pPr>
        <w:rPr>
          <w:rFonts w:eastAsia="Calibri" w:cs="Arial"/>
        </w:rPr>
      </w:pPr>
      <w:r w:rsidRPr="009548FC">
        <w:rPr>
          <w:rFonts w:eastAsia="Calibri" w:cs="Arial"/>
        </w:rPr>
        <w:t xml:space="preserve">Results for the models of the </w:t>
      </w:r>
      <w:r w:rsidR="0044105E">
        <w:rPr>
          <w:rFonts w:eastAsia="Calibri" w:cs="Arial"/>
        </w:rPr>
        <w:t>relationships</w:t>
      </w:r>
      <w:r w:rsidR="0044105E" w:rsidRPr="009548FC">
        <w:rPr>
          <w:rFonts w:eastAsia="Calibri" w:cs="Arial"/>
        </w:rPr>
        <w:t xml:space="preserve"> </w:t>
      </w:r>
      <w:r w:rsidRPr="009548FC">
        <w:rPr>
          <w:rFonts w:eastAsia="Calibri" w:cs="Arial"/>
        </w:rPr>
        <w:t xml:space="preserve">between per capita investment in CS&amp;H and all firms are presented in </w:t>
      </w:r>
      <w:r w:rsidRPr="00E760C2">
        <w:rPr>
          <w:rFonts w:eastAsia="Calibri" w:cs="Arial"/>
        </w:rPr>
        <w:fldChar w:fldCharType="begin"/>
      </w:r>
      <w:r w:rsidRPr="009548FC">
        <w:rPr>
          <w:rFonts w:eastAsia="Calibri" w:cs="Arial"/>
        </w:rPr>
        <w:instrText xml:space="preserve"> REF _Ref450040375 \h  \* MERGEFORMAT </w:instrText>
      </w:r>
      <w:r w:rsidRPr="00E760C2">
        <w:rPr>
          <w:rFonts w:eastAsia="Calibri" w:cs="Arial"/>
        </w:rPr>
      </w:r>
      <w:r w:rsidRPr="00E760C2">
        <w:rPr>
          <w:rFonts w:eastAsia="Calibri" w:cs="Arial"/>
        </w:rPr>
        <w:fldChar w:fldCharType="separate"/>
      </w:r>
      <w:r w:rsidR="00F0636B" w:rsidRPr="00F0636B">
        <w:rPr>
          <w:rFonts w:cs="Arial"/>
        </w:rPr>
        <w:t xml:space="preserve">Table </w:t>
      </w:r>
      <w:r w:rsidR="00F0636B" w:rsidRPr="00F0636B">
        <w:rPr>
          <w:rFonts w:cs="Arial"/>
          <w:noProof/>
        </w:rPr>
        <w:t>3</w:t>
      </w:r>
      <w:r w:rsidRPr="00E760C2">
        <w:rPr>
          <w:rFonts w:eastAsia="Calibri" w:cs="Arial"/>
        </w:rPr>
        <w:fldChar w:fldCharType="end"/>
      </w:r>
      <w:r w:rsidRPr="009548FC">
        <w:rPr>
          <w:rFonts w:eastAsia="Calibri" w:cs="Arial"/>
        </w:rPr>
        <w:t xml:space="preserve">. </w:t>
      </w:r>
      <w:r w:rsidR="002D2364">
        <w:rPr>
          <w:rFonts w:eastAsia="Calibri" w:cs="Arial"/>
        </w:rPr>
        <w:t>W</w:t>
      </w:r>
      <w:r w:rsidRPr="009548FC">
        <w:rPr>
          <w:rFonts w:eastAsia="Calibri" w:cs="Arial"/>
        </w:rPr>
        <w:t xml:space="preserve">e use a fixed effects model and cluster errors at the </w:t>
      </w:r>
      <w:r w:rsidRPr="009A43FB">
        <w:rPr>
          <w:rFonts w:eastAsia="Calibri" w:cs="Arial"/>
        </w:rPr>
        <w:t xml:space="preserve">local authority </w:t>
      </w:r>
      <w:r w:rsidRPr="00873DB7">
        <w:rPr>
          <w:rFonts w:eastAsia="Calibri" w:cs="Arial"/>
        </w:rPr>
        <w:t>level.</w:t>
      </w:r>
    </w:p>
    <w:p w14:paraId="1C79E0B0" w14:textId="72C5B3C0" w:rsidR="00E760C2" w:rsidRPr="009548FC" w:rsidRDefault="00E760C2" w:rsidP="00E760C2">
      <w:pPr>
        <w:rPr>
          <w:rFonts w:eastAsia="Calibri" w:cs="Arial"/>
        </w:rPr>
      </w:pPr>
      <w:r w:rsidRPr="009548FC">
        <w:rPr>
          <w:rFonts w:eastAsia="Calibri" w:cs="Arial"/>
        </w:rPr>
        <w:t>Turnover of all firms per capita is negatively associated with per capita investment in CS&amp;H. Lagged investment in CS&amp;H per capita on the other hand is positively associated with number of firms per capita and net migration of firms. Both migration of firms and number of firms variables are less immediately responsive to changes (e.g. firms must make decisions to relocate or start up) than turnover.</w:t>
      </w:r>
    </w:p>
    <w:p w14:paraId="0AAD8613" w14:textId="777DD81D" w:rsidR="00E760C2" w:rsidRPr="009548FC" w:rsidRDefault="00E760C2" w:rsidP="00E760C2">
      <w:pPr>
        <w:rPr>
          <w:rFonts w:eastAsia="Calibri" w:cs="Arial"/>
        </w:rPr>
      </w:pPr>
      <w:r w:rsidRPr="009548FC">
        <w:rPr>
          <w:rFonts w:eastAsia="Calibri" w:cs="Arial"/>
        </w:rPr>
        <w:t xml:space="preserve">The number of firms per capita model has a very low R-squared value, suggesting that the model does not explain much of the variation, although the other two are higher. Other significant variables are skilled labour (for turnover and net migration), and competitiveness and physical activity (for number of firms). </w:t>
      </w:r>
    </w:p>
    <w:p w14:paraId="3DFD3AFA" w14:textId="77777777" w:rsidR="00E760C2" w:rsidRPr="009548FC" w:rsidRDefault="00E760C2" w:rsidP="00E760C2">
      <w:pPr>
        <w:widowControl w:val="0"/>
        <w:autoSpaceDE w:val="0"/>
        <w:autoSpaceDN w:val="0"/>
        <w:adjustRightInd w:val="0"/>
        <w:spacing w:before="0" w:after="120" w:line="276" w:lineRule="auto"/>
        <w:ind w:left="1134"/>
        <w:contextualSpacing/>
        <w:rPr>
          <w:rFonts w:eastAsia="Calibri" w:cs="Arial"/>
          <w:szCs w:val="22"/>
        </w:rPr>
      </w:pPr>
    </w:p>
    <w:p w14:paraId="36CC6BE0" w14:textId="31D8D7A2" w:rsidR="00E760C2" w:rsidRPr="009548FC" w:rsidRDefault="00E760C2" w:rsidP="00E760C2">
      <w:pPr>
        <w:pStyle w:val="Caption"/>
        <w:rPr>
          <w:rFonts w:eastAsia="Calibri"/>
          <w:szCs w:val="22"/>
        </w:rPr>
      </w:pPr>
      <w:bookmarkStart w:id="51" w:name="_Ref450040375"/>
      <w:bookmarkStart w:id="52" w:name="_Toc467569658"/>
      <w:r w:rsidRPr="009548FC">
        <w:lastRenderedPageBreak/>
        <w:t xml:space="preserve">Table </w:t>
      </w:r>
      <w:r w:rsidRPr="00982C4F">
        <w:fldChar w:fldCharType="begin"/>
      </w:r>
      <w:r w:rsidRPr="009548FC">
        <w:instrText xml:space="preserve"> SEQ Table \* ARABIC </w:instrText>
      </w:r>
      <w:r w:rsidRPr="00982C4F">
        <w:fldChar w:fldCharType="separate"/>
      </w:r>
      <w:r w:rsidR="00F0636B">
        <w:rPr>
          <w:noProof/>
        </w:rPr>
        <w:t>3</w:t>
      </w:r>
      <w:r w:rsidRPr="00982C4F">
        <w:rPr>
          <w:noProof/>
        </w:rPr>
        <w:fldChar w:fldCharType="end"/>
      </w:r>
      <w:bookmarkEnd w:id="51"/>
      <w:r w:rsidRPr="009548FC">
        <w:t xml:space="preserve">: </w:t>
      </w:r>
      <w:r w:rsidRPr="009548FC">
        <w:rPr>
          <w:rFonts w:eastAsia="Calibri"/>
          <w:szCs w:val="22"/>
        </w:rPr>
        <w:t>CS&amp;H investment and all firms</w:t>
      </w:r>
      <w:bookmarkEnd w:id="52"/>
    </w:p>
    <w:tbl>
      <w:tblPr>
        <w:tblStyle w:val="LightList-Accent41"/>
        <w:tblW w:w="9421"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40"/>
        <w:gridCol w:w="1328"/>
        <w:gridCol w:w="1328"/>
        <w:gridCol w:w="1425"/>
      </w:tblGrid>
      <w:tr w:rsidR="00E760C2" w:rsidRPr="009548FC" w14:paraId="72078CF3" w14:textId="77777777" w:rsidTr="00753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0" w:type="dxa"/>
            <w:tcBorders>
              <w:top w:val="single" w:sz="4" w:space="0" w:color="auto"/>
              <w:bottom w:val="single" w:sz="4" w:space="0" w:color="auto"/>
            </w:tcBorders>
            <w:shd w:val="clear" w:color="auto" w:fill="auto"/>
          </w:tcPr>
          <w:p w14:paraId="5B534F28" w14:textId="77777777" w:rsidR="00E760C2" w:rsidRPr="009548FC" w:rsidRDefault="00E760C2" w:rsidP="00753A00">
            <w:pPr>
              <w:spacing w:before="0"/>
              <w:ind w:left="0"/>
              <w:rPr>
                <w:rFonts w:cs="Arial"/>
                <w:color w:val="000000" w:themeColor="text1"/>
                <w:sz w:val="18"/>
                <w:szCs w:val="18"/>
              </w:rPr>
            </w:pPr>
          </w:p>
        </w:tc>
        <w:tc>
          <w:tcPr>
            <w:tcW w:w="1328" w:type="dxa"/>
            <w:tcBorders>
              <w:top w:val="single" w:sz="4" w:space="0" w:color="auto"/>
              <w:bottom w:val="single" w:sz="4" w:space="0" w:color="auto"/>
            </w:tcBorders>
            <w:shd w:val="clear" w:color="auto" w:fill="auto"/>
          </w:tcPr>
          <w:p w14:paraId="2610A91E" w14:textId="77777777" w:rsidR="00E760C2" w:rsidRPr="009548FC" w:rsidRDefault="00E760C2" w:rsidP="00753A00">
            <w:pPr>
              <w:spacing w:before="0"/>
              <w:ind w:left="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Number of firms per capita</w:t>
            </w:r>
          </w:p>
        </w:tc>
        <w:tc>
          <w:tcPr>
            <w:tcW w:w="1328" w:type="dxa"/>
            <w:tcBorders>
              <w:top w:val="single" w:sz="4" w:space="0" w:color="auto"/>
              <w:bottom w:val="single" w:sz="4" w:space="0" w:color="auto"/>
            </w:tcBorders>
            <w:shd w:val="clear" w:color="auto" w:fill="auto"/>
          </w:tcPr>
          <w:p w14:paraId="6834B9D7" w14:textId="77777777" w:rsidR="00E760C2" w:rsidRPr="009548FC" w:rsidRDefault="00E760C2" w:rsidP="00753A00">
            <w:pPr>
              <w:spacing w:before="0"/>
              <w:ind w:left="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Turnover of firms per capita</w:t>
            </w:r>
          </w:p>
        </w:tc>
        <w:tc>
          <w:tcPr>
            <w:tcW w:w="1425" w:type="dxa"/>
            <w:tcBorders>
              <w:top w:val="single" w:sz="4" w:space="0" w:color="auto"/>
              <w:bottom w:val="single" w:sz="4" w:space="0" w:color="auto"/>
            </w:tcBorders>
            <w:shd w:val="clear" w:color="auto" w:fill="auto"/>
          </w:tcPr>
          <w:p w14:paraId="49CA540F" w14:textId="77777777" w:rsidR="00E760C2" w:rsidRPr="009548FC" w:rsidRDefault="00E760C2" w:rsidP="00753A00">
            <w:pPr>
              <w:spacing w:before="0"/>
              <w:ind w:left="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Net migration of firms</w:t>
            </w:r>
          </w:p>
        </w:tc>
      </w:tr>
      <w:tr w:rsidR="003F0EF7" w:rsidRPr="009548FC" w14:paraId="1121F0E9"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40" w:type="dxa"/>
            <w:tcBorders>
              <w:top w:val="single" w:sz="4" w:space="0" w:color="auto"/>
              <w:left w:val="none" w:sz="0" w:space="0" w:color="auto"/>
              <w:bottom w:val="none" w:sz="0" w:space="0" w:color="auto"/>
            </w:tcBorders>
            <w:shd w:val="clear" w:color="auto" w:fill="auto"/>
          </w:tcPr>
          <w:p w14:paraId="26B74DC0"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Per capita investment in CS&amp;H</w:t>
            </w:r>
          </w:p>
        </w:tc>
        <w:tc>
          <w:tcPr>
            <w:tcW w:w="1328" w:type="dxa"/>
            <w:tcBorders>
              <w:top w:val="single" w:sz="4" w:space="0" w:color="auto"/>
              <w:bottom w:val="none" w:sz="0" w:space="0" w:color="auto"/>
            </w:tcBorders>
            <w:shd w:val="clear" w:color="auto" w:fill="auto"/>
          </w:tcPr>
          <w:p w14:paraId="612E81CF" w14:textId="66D52882"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-0.007</w:t>
            </w:r>
          </w:p>
        </w:tc>
        <w:tc>
          <w:tcPr>
            <w:tcW w:w="1328" w:type="dxa"/>
            <w:tcBorders>
              <w:top w:val="single" w:sz="4" w:space="0" w:color="auto"/>
              <w:bottom w:val="none" w:sz="0" w:space="0" w:color="auto"/>
            </w:tcBorders>
            <w:shd w:val="clear" w:color="auto" w:fill="auto"/>
          </w:tcPr>
          <w:p w14:paraId="5036D1D7" w14:textId="1A7FE815"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-0.024</w:t>
            </w:r>
            <w:r w:rsidRPr="009548FC">
              <w:rPr>
                <w:rFonts w:cs="Arial"/>
                <w:color w:val="000000" w:themeColor="text1"/>
                <w:sz w:val="18"/>
                <w:szCs w:val="18"/>
              </w:rPr>
              <w:t>***</w:t>
            </w:r>
          </w:p>
        </w:tc>
        <w:tc>
          <w:tcPr>
            <w:tcW w:w="1425" w:type="dxa"/>
            <w:tcBorders>
              <w:top w:val="single" w:sz="4" w:space="0" w:color="auto"/>
              <w:bottom w:val="none" w:sz="0" w:space="0" w:color="auto"/>
              <w:right w:val="none" w:sz="0" w:space="0" w:color="auto"/>
            </w:tcBorders>
            <w:shd w:val="clear" w:color="auto" w:fill="auto"/>
          </w:tcPr>
          <w:p w14:paraId="621D17AB" w14:textId="37F733D6"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-0.001</w:t>
            </w:r>
          </w:p>
        </w:tc>
      </w:tr>
      <w:tr w:rsidR="003F0EF7" w:rsidRPr="009548FC" w14:paraId="444640D9"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tcPr>
          <w:p w14:paraId="5E23E2CD"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Lagged per capita investment in CS&amp;H</w:t>
            </w:r>
          </w:p>
        </w:tc>
        <w:tc>
          <w:tcPr>
            <w:tcW w:w="1328" w:type="dxa"/>
            <w:shd w:val="clear" w:color="auto" w:fill="auto"/>
          </w:tcPr>
          <w:p w14:paraId="21C0A93E" w14:textId="218C7A27"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0.012</w:t>
            </w:r>
            <w:r w:rsidRPr="009548FC">
              <w:rPr>
                <w:rFonts w:cs="Arial"/>
                <w:color w:val="000000" w:themeColor="text1"/>
                <w:sz w:val="18"/>
                <w:szCs w:val="18"/>
              </w:rPr>
              <w:t>***</w:t>
            </w:r>
          </w:p>
        </w:tc>
        <w:tc>
          <w:tcPr>
            <w:tcW w:w="1328" w:type="dxa"/>
            <w:shd w:val="clear" w:color="auto" w:fill="auto"/>
          </w:tcPr>
          <w:p w14:paraId="77297009" w14:textId="2536E2BE"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0.001</w:t>
            </w:r>
          </w:p>
        </w:tc>
        <w:tc>
          <w:tcPr>
            <w:tcW w:w="1425" w:type="dxa"/>
            <w:shd w:val="clear" w:color="auto" w:fill="auto"/>
          </w:tcPr>
          <w:p w14:paraId="0BBBF22C" w14:textId="45A54BD2"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0.027***</w:t>
            </w:r>
          </w:p>
        </w:tc>
      </w:tr>
      <w:tr w:rsidR="003F0EF7" w:rsidRPr="009548FC" w14:paraId="6A89D506"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40" w:type="dxa"/>
            <w:tcBorders>
              <w:top w:val="none" w:sz="0" w:space="0" w:color="auto"/>
              <w:left w:val="none" w:sz="0" w:space="0" w:color="auto"/>
              <w:bottom w:val="none" w:sz="0" w:space="0" w:color="auto"/>
            </w:tcBorders>
            <w:shd w:val="clear" w:color="auto" w:fill="auto"/>
          </w:tcPr>
          <w:p w14:paraId="5632ADE1" w14:textId="2BBC9D3D"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2-year lagged per capita investment in CS&amp;H</w:t>
            </w:r>
          </w:p>
        </w:tc>
        <w:tc>
          <w:tcPr>
            <w:tcW w:w="1328" w:type="dxa"/>
            <w:tcBorders>
              <w:top w:val="none" w:sz="0" w:space="0" w:color="auto"/>
              <w:bottom w:val="none" w:sz="0" w:space="0" w:color="auto"/>
            </w:tcBorders>
            <w:shd w:val="clear" w:color="auto" w:fill="auto"/>
          </w:tcPr>
          <w:p w14:paraId="714583E6" w14:textId="715A84FD"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0.000</w:t>
            </w:r>
          </w:p>
        </w:tc>
        <w:tc>
          <w:tcPr>
            <w:tcW w:w="1328" w:type="dxa"/>
            <w:tcBorders>
              <w:top w:val="none" w:sz="0" w:space="0" w:color="auto"/>
              <w:bottom w:val="none" w:sz="0" w:space="0" w:color="auto"/>
            </w:tcBorders>
            <w:shd w:val="clear" w:color="auto" w:fill="auto"/>
          </w:tcPr>
          <w:p w14:paraId="12E215BA" w14:textId="38ACC59D"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-0.000</w:t>
            </w:r>
          </w:p>
        </w:tc>
        <w:tc>
          <w:tcPr>
            <w:tcW w:w="1425" w:type="dxa"/>
            <w:tcBorders>
              <w:top w:val="none" w:sz="0" w:space="0" w:color="auto"/>
              <w:bottom w:val="none" w:sz="0" w:space="0" w:color="auto"/>
              <w:right w:val="none" w:sz="0" w:space="0" w:color="auto"/>
            </w:tcBorders>
            <w:shd w:val="clear" w:color="auto" w:fill="auto"/>
          </w:tcPr>
          <w:p w14:paraId="06684E20" w14:textId="5725DA7F"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-0.000</w:t>
            </w:r>
          </w:p>
        </w:tc>
      </w:tr>
      <w:tr w:rsidR="003F0EF7" w:rsidRPr="009548FC" w14:paraId="6B7C8D4E"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tcPr>
          <w:p w14:paraId="03E0F760"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Skilled labour</w:t>
            </w:r>
          </w:p>
        </w:tc>
        <w:tc>
          <w:tcPr>
            <w:tcW w:w="1328" w:type="dxa"/>
            <w:shd w:val="clear" w:color="auto" w:fill="auto"/>
          </w:tcPr>
          <w:p w14:paraId="687ED565" w14:textId="623C1865"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0.002*</w:t>
            </w:r>
          </w:p>
        </w:tc>
        <w:tc>
          <w:tcPr>
            <w:tcW w:w="1328" w:type="dxa"/>
            <w:shd w:val="clear" w:color="auto" w:fill="auto"/>
          </w:tcPr>
          <w:p w14:paraId="64CD7462" w14:textId="3680C7DD"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0.021***</w:t>
            </w:r>
          </w:p>
        </w:tc>
        <w:tc>
          <w:tcPr>
            <w:tcW w:w="1425" w:type="dxa"/>
            <w:shd w:val="clear" w:color="auto" w:fill="auto"/>
          </w:tcPr>
          <w:p w14:paraId="38F6B4A2" w14:textId="058035B7"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0.00</w:t>
            </w:r>
            <w:r>
              <w:rPr>
                <w:rFonts w:cs="Arial"/>
                <w:color w:val="000000" w:themeColor="text1"/>
                <w:sz w:val="18"/>
                <w:szCs w:val="18"/>
              </w:rPr>
              <w:t>4</w:t>
            </w:r>
            <w:r w:rsidRPr="009548FC">
              <w:rPr>
                <w:rFonts w:cs="Arial"/>
                <w:color w:val="000000" w:themeColor="text1"/>
                <w:sz w:val="18"/>
                <w:szCs w:val="18"/>
              </w:rPr>
              <w:t>*</w:t>
            </w:r>
          </w:p>
        </w:tc>
      </w:tr>
      <w:tr w:rsidR="003F0EF7" w:rsidRPr="009548FC" w14:paraId="7B9F274F"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tcPr>
          <w:p w14:paraId="2445DD1A"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Competitiveness</w:t>
            </w:r>
          </w:p>
        </w:tc>
        <w:tc>
          <w:tcPr>
            <w:tcW w:w="1328" w:type="dxa"/>
            <w:shd w:val="clear" w:color="auto" w:fill="auto"/>
          </w:tcPr>
          <w:p w14:paraId="273FFA59" w14:textId="22996B73"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0.345</w:t>
            </w:r>
            <w:r w:rsidRPr="009548FC">
              <w:rPr>
                <w:rFonts w:cs="Arial"/>
                <w:color w:val="000000" w:themeColor="text1"/>
                <w:sz w:val="18"/>
                <w:szCs w:val="18"/>
              </w:rPr>
              <w:t>***</w:t>
            </w:r>
          </w:p>
        </w:tc>
        <w:tc>
          <w:tcPr>
            <w:tcW w:w="1328" w:type="dxa"/>
            <w:shd w:val="clear" w:color="auto" w:fill="auto"/>
          </w:tcPr>
          <w:p w14:paraId="5C74023F" w14:textId="72BBD691"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0.654*</w:t>
            </w:r>
          </w:p>
        </w:tc>
        <w:tc>
          <w:tcPr>
            <w:tcW w:w="1425" w:type="dxa"/>
            <w:shd w:val="clear" w:color="auto" w:fill="auto"/>
          </w:tcPr>
          <w:p w14:paraId="69870386" w14:textId="2B2376EE"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0.12</w:t>
            </w:r>
            <w:r w:rsidRPr="009548FC">
              <w:rPr>
                <w:rFonts w:cs="Arial"/>
                <w:color w:val="000000" w:themeColor="text1"/>
                <w:sz w:val="18"/>
                <w:szCs w:val="18"/>
              </w:rPr>
              <w:t>0*</w:t>
            </w:r>
            <w:r>
              <w:rPr>
                <w:rFonts w:cs="Arial"/>
                <w:color w:val="000000" w:themeColor="text1"/>
                <w:sz w:val="18"/>
                <w:szCs w:val="18"/>
              </w:rPr>
              <w:t>*</w:t>
            </w:r>
          </w:p>
        </w:tc>
      </w:tr>
      <w:tr w:rsidR="003F0EF7" w:rsidRPr="009548FC" w14:paraId="2C7BEC25"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5340" w:type="dxa"/>
            <w:tcBorders>
              <w:bottom w:val="single" w:sz="4" w:space="0" w:color="auto"/>
            </w:tcBorders>
            <w:shd w:val="clear" w:color="auto" w:fill="auto"/>
          </w:tcPr>
          <w:p w14:paraId="23B3F6AA"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Physical activity (proxy for wellbeing)</w:t>
            </w:r>
          </w:p>
        </w:tc>
        <w:tc>
          <w:tcPr>
            <w:tcW w:w="1328" w:type="dxa"/>
            <w:tcBorders>
              <w:bottom w:val="single" w:sz="4" w:space="0" w:color="auto"/>
            </w:tcBorders>
            <w:shd w:val="clear" w:color="auto" w:fill="auto"/>
          </w:tcPr>
          <w:p w14:paraId="4A0AA010" w14:textId="0A9664DA"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0.034</w:t>
            </w:r>
            <w:r w:rsidRPr="009548FC">
              <w:rPr>
                <w:rFonts w:cs="Arial"/>
                <w:color w:val="000000" w:themeColor="text1"/>
                <w:sz w:val="18"/>
                <w:szCs w:val="18"/>
              </w:rPr>
              <w:t>*</w:t>
            </w:r>
          </w:p>
        </w:tc>
        <w:tc>
          <w:tcPr>
            <w:tcW w:w="1328" w:type="dxa"/>
            <w:tcBorders>
              <w:bottom w:val="single" w:sz="4" w:space="0" w:color="auto"/>
            </w:tcBorders>
            <w:shd w:val="clear" w:color="auto" w:fill="auto"/>
          </w:tcPr>
          <w:p w14:paraId="14AB6A85" w14:textId="46A7B13F"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0.023</w:t>
            </w:r>
          </w:p>
        </w:tc>
        <w:tc>
          <w:tcPr>
            <w:tcW w:w="1425" w:type="dxa"/>
            <w:tcBorders>
              <w:bottom w:val="single" w:sz="4" w:space="0" w:color="auto"/>
            </w:tcBorders>
            <w:shd w:val="clear" w:color="auto" w:fill="auto"/>
          </w:tcPr>
          <w:p w14:paraId="0F222897" w14:textId="2A47A49D"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0.022</w:t>
            </w:r>
          </w:p>
        </w:tc>
      </w:tr>
      <w:tr w:rsidR="003F0EF7" w:rsidRPr="009548FC" w14:paraId="04E480F5"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40" w:type="dxa"/>
            <w:tcBorders>
              <w:top w:val="single" w:sz="4" w:space="0" w:color="auto"/>
            </w:tcBorders>
            <w:shd w:val="clear" w:color="auto" w:fill="auto"/>
          </w:tcPr>
          <w:p w14:paraId="291EFF44"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Adjusted R²</w:t>
            </w:r>
          </w:p>
        </w:tc>
        <w:tc>
          <w:tcPr>
            <w:tcW w:w="1328" w:type="dxa"/>
            <w:tcBorders>
              <w:top w:val="single" w:sz="4" w:space="0" w:color="auto"/>
            </w:tcBorders>
            <w:shd w:val="clear" w:color="auto" w:fill="auto"/>
          </w:tcPr>
          <w:p w14:paraId="2533938B" w14:textId="1982F600"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0.0008</w:t>
            </w:r>
          </w:p>
        </w:tc>
        <w:tc>
          <w:tcPr>
            <w:tcW w:w="1328" w:type="dxa"/>
            <w:tcBorders>
              <w:top w:val="single" w:sz="4" w:space="0" w:color="auto"/>
            </w:tcBorders>
            <w:shd w:val="clear" w:color="auto" w:fill="auto"/>
          </w:tcPr>
          <w:p w14:paraId="46B00C0B" w14:textId="5024251B"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0.6345</w:t>
            </w:r>
          </w:p>
        </w:tc>
        <w:tc>
          <w:tcPr>
            <w:tcW w:w="1425" w:type="dxa"/>
            <w:tcBorders>
              <w:top w:val="single" w:sz="4" w:space="0" w:color="auto"/>
            </w:tcBorders>
            <w:shd w:val="clear" w:color="auto" w:fill="auto"/>
          </w:tcPr>
          <w:p w14:paraId="6ACAE5F3" w14:textId="15B0651D"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0.4339</w:t>
            </w:r>
          </w:p>
        </w:tc>
      </w:tr>
    </w:tbl>
    <w:p w14:paraId="4D33FD36"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5E85E206" w14:textId="77777777" w:rsidR="00E760C2" w:rsidRPr="009548FC" w:rsidRDefault="00E760C2" w:rsidP="00E760C2">
      <w:pPr>
        <w:pStyle w:val="Heading2Numbered"/>
        <w:rPr>
          <w:rFonts w:eastAsia="Calibri"/>
          <w:szCs w:val="24"/>
        </w:rPr>
      </w:pPr>
      <w:bookmarkStart w:id="53" w:name="_Toc467569603"/>
      <w:r w:rsidRPr="009548FC">
        <w:rPr>
          <w:rFonts w:eastAsia="Calibri"/>
        </w:rPr>
        <w:t>Creative industries</w:t>
      </w:r>
      <w:bookmarkEnd w:id="53"/>
    </w:p>
    <w:p w14:paraId="513CDF1D" w14:textId="77777777" w:rsidR="00E760C2" w:rsidRPr="009548FC" w:rsidRDefault="00E760C2" w:rsidP="00E760C2">
      <w:pPr>
        <w:pStyle w:val="Heading3Numbered"/>
        <w:rPr>
          <w:rFonts w:eastAsia="Calibri"/>
        </w:rPr>
      </w:pPr>
      <w:bookmarkStart w:id="54" w:name="_Toc467569604"/>
      <w:r w:rsidRPr="009548FC">
        <w:rPr>
          <w:rFonts w:eastAsia="Calibri"/>
        </w:rPr>
        <w:t>Cross-sectional models – creative firms</w:t>
      </w:r>
      <w:bookmarkEnd w:id="54"/>
    </w:p>
    <w:p w14:paraId="19008C5E" w14:textId="1430F81C" w:rsidR="00E760C2" w:rsidRPr="00873DB7" w:rsidRDefault="00E760C2" w:rsidP="00E760C2">
      <w:pPr>
        <w:rPr>
          <w:rFonts w:eastAsia="Calibri" w:cs="Arial"/>
        </w:rPr>
      </w:pPr>
      <w:r w:rsidRPr="009A43FB">
        <w:rPr>
          <w:rFonts w:eastAsia="Calibri" w:cs="Arial"/>
        </w:rPr>
        <w:fldChar w:fldCharType="begin"/>
      </w:r>
      <w:r w:rsidRPr="009548FC">
        <w:rPr>
          <w:rFonts w:eastAsia="Calibri" w:cs="Arial"/>
        </w:rPr>
        <w:instrText xml:space="preserve"> REF _Ref457400779 \h </w:instrText>
      </w:r>
      <w:r>
        <w:rPr>
          <w:rFonts w:eastAsia="Calibri" w:cs="Arial"/>
        </w:rPr>
        <w:instrText xml:space="preserve"> \* MERGEFORMAT </w:instrText>
      </w:r>
      <w:r w:rsidRPr="009A43FB">
        <w:rPr>
          <w:rFonts w:eastAsia="Calibri" w:cs="Arial"/>
        </w:rPr>
      </w:r>
      <w:r w:rsidRPr="009A43FB">
        <w:rPr>
          <w:rFonts w:eastAsia="Calibri" w:cs="Arial"/>
        </w:rPr>
        <w:fldChar w:fldCharType="separate"/>
      </w:r>
      <w:r w:rsidR="00F0636B" w:rsidRPr="009548FC">
        <w:t xml:space="preserve">Table </w:t>
      </w:r>
      <w:r w:rsidR="00F0636B">
        <w:rPr>
          <w:noProof/>
        </w:rPr>
        <w:t>4</w:t>
      </w:r>
      <w:r w:rsidRPr="009A43FB">
        <w:rPr>
          <w:rFonts w:eastAsia="Calibri" w:cs="Arial"/>
        </w:rPr>
        <w:fldChar w:fldCharType="end"/>
      </w:r>
      <w:r w:rsidRPr="009548FC">
        <w:rPr>
          <w:rFonts w:eastAsia="Calibri" w:cs="Arial"/>
        </w:rPr>
        <w:t xml:space="preserve"> </w:t>
      </w:r>
      <w:r w:rsidRPr="009A43FB">
        <w:rPr>
          <w:rFonts w:eastAsia="Calibri" w:cs="Arial"/>
        </w:rPr>
        <w:t xml:space="preserve">shows the location quotient of creative industries in a local authority as a function of the stock </w:t>
      </w:r>
      <w:r w:rsidRPr="00873DB7">
        <w:rPr>
          <w:rFonts w:eastAsia="Calibri" w:cs="Arial"/>
        </w:rPr>
        <w:t xml:space="preserve">of CS&amp;H assets, </w:t>
      </w:r>
      <w:r w:rsidRPr="002D2364">
        <w:rPr>
          <w:rFonts w:eastAsia="Calibri" w:cs="Arial"/>
        </w:rPr>
        <w:t>cumulative</w:t>
      </w:r>
      <w:r w:rsidRPr="00873DB7">
        <w:rPr>
          <w:rFonts w:eastAsia="Calibri" w:cs="Arial"/>
        </w:rPr>
        <w:t xml:space="preserve"> investment in CS&amp;H by source of investment and type of investment, and an additional set of push/pull factors</w:t>
      </w:r>
      <w:r w:rsidRPr="009548FC">
        <w:rPr>
          <w:rFonts w:eastAsia="Calibri" w:cs="Arial"/>
        </w:rPr>
        <w:t>.</w:t>
      </w:r>
      <w:r w:rsidRPr="009A43FB">
        <w:rPr>
          <w:rFonts w:eastAsia="Calibri" w:cs="Arial"/>
        </w:rPr>
        <w:t xml:space="preserve"> </w:t>
      </w:r>
    </w:p>
    <w:p w14:paraId="4515B37C" w14:textId="2B63E2F9" w:rsidR="00E760C2" w:rsidRPr="00873DB7" w:rsidRDefault="00E760C2" w:rsidP="00E760C2">
      <w:pPr>
        <w:rPr>
          <w:rFonts w:eastAsia="Calibri" w:cs="Arial"/>
        </w:rPr>
      </w:pPr>
      <w:r w:rsidRPr="009548FC">
        <w:rPr>
          <w:rFonts w:eastAsia="Calibri" w:cs="Arial"/>
        </w:rPr>
        <w:t xml:space="preserve">Both creative firms’ location quotient and turnover is positively and significantly associated with the density of heritage assets, and the number of cultural events listings per capita. </w:t>
      </w:r>
      <w:r w:rsidRPr="009A43FB">
        <w:rPr>
          <w:rFonts w:eastAsia="Calibri" w:cs="Arial"/>
        </w:rPr>
        <w:t xml:space="preserve">It should be noted that, particularly with cultural events listings and turnover, there is a risk of reverse causality: if creative firms hold cultural events, this would </w:t>
      </w:r>
      <w:r w:rsidR="003245E1">
        <w:rPr>
          <w:rFonts w:eastAsia="Calibri" w:cs="Arial"/>
        </w:rPr>
        <w:t xml:space="preserve">be </w:t>
      </w:r>
      <w:r w:rsidRPr="009A43FB">
        <w:rPr>
          <w:rFonts w:eastAsia="Calibri" w:cs="Arial"/>
        </w:rPr>
        <w:t>likel</w:t>
      </w:r>
      <w:r w:rsidRPr="00873DB7">
        <w:rPr>
          <w:rFonts w:eastAsia="Calibri" w:cs="Arial"/>
        </w:rPr>
        <w:t xml:space="preserve">y </w:t>
      </w:r>
      <w:r w:rsidR="003245E1">
        <w:rPr>
          <w:rFonts w:eastAsia="Calibri" w:cs="Arial"/>
        </w:rPr>
        <w:t xml:space="preserve">to </w:t>
      </w:r>
      <w:r w:rsidRPr="00873DB7">
        <w:rPr>
          <w:rFonts w:eastAsia="Calibri" w:cs="Arial"/>
        </w:rPr>
        <w:t xml:space="preserve">increase turnover. </w:t>
      </w:r>
    </w:p>
    <w:p w14:paraId="6C9384DF" w14:textId="35AB13FA" w:rsidR="00E760C2" w:rsidRPr="009548FC" w:rsidRDefault="00E760C2" w:rsidP="00E760C2">
      <w:pPr>
        <w:rPr>
          <w:rFonts w:eastAsia="Calibri" w:cs="Arial"/>
        </w:rPr>
      </w:pPr>
      <w:r w:rsidRPr="009548FC">
        <w:rPr>
          <w:rFonts w:eastAsia="Calibri" w:cs="Arial"/>
        </w:rPr>
        <w:t xml:space="preserve">Both relative concentration of creative firms and creative firms’ turnover are negatively associated with density of sports assets. </w:t>
      </w:r>
    </w:p>
    <w:p w14:paraId="725D3D45" w14:textId="351D5716" w:rsidR="00E760C2" w:rsidRPr="009548FC" w:rsidRDefault="00E760C2" w:rsidP="00E760C2">
      <w:pPr>
        <w:rPr>
          <w:rFonts w:eastAsia="Calibri" w:cs="Arial"/>
        </w:rPr>
      </w:pPr>
      <w:r w:rsidRPr="009548FC">
        <w:rPr>
          <w:rFonts w:eastAsia="Calibri" w:cs="Arial"/>
        </w:rPr>
        <w:t>Availability of skilled labour, network infrastructure and transport infrastructure are also significantly associated with relative concentration of creative firms. GVA is particularly strongly associated with turnover of creative firms, as is to be expected.</w:t>
      </w:r>
    </w:p>
    <w:p w14:paraId="7E046D62" w14:textId="43C80F9E" w:rsidR="00E760C2" w:rsidRDefault="00E760C2" w:rsidP="00E760C2">
      <w:pPr>
        <w:rPr>
          <w:rFonts w:eastAsia="Calibri" w:cs="Arial"/>
        </w:rPr>
      </w:pPr>
      <w:r w:rsidRPr="009548FC">
        <w:rPr>
          <w:rFonts w:eastAsia="Calibri" w:cs="Arial"/>
        </w:rPr>
        <w:t>Net migration of creative firms is not significantly associated with any CS&amp;H assets or investment; the only significant variables for this model are network infrastructure and population</w:t>
      </w:r>
      <w:r w:rsidR="000B6D23">
        <w:rPr>
          <w:rFonts w:eastAsia="Calibri" w:cs="Arial"/>
        </w:rPr>
        <w:t xml:space="preserve"> size</w:t>
      </w:r>
      <w:r w:rsidRPr="009548FC">
        <w:rPr>
          <w:rFonts w:eastAsia="Calibri" w:cs="Arial"/>
        </w:rPr>
        <w:t>.</w:t>
      </w:r>
    </w:p>
    <w:p w14:paraId="193DD78D" w14:textId="5C902858" w:rsidR="00A033C6" w:rsidRDefault="00A033C6">
      <w:pPr>
        <w:spacing w:before="0"/>
        <w:ind w:left="0"/>
        <w:rPr>
          <w:rFonts w:eastAsia="SimSun" w:cs="Arial"/>
          <w:b/>
          <w:bCs/>
          <w:i/>
          <w:szCs w:val="20"/>
          <w:lang w:eastAsia="zh-CN"/>
        </w:rPr>
      </w:pPr>
      <w:r>
        <w:rPr>
          <w:rFonts w:eastAsia="SimSun" w:cs="Arial"/>
          <w:b/>
          <w:bCs/>
          <w:i/>
          <w:szCs w:val="20"/>
          <w:lang w:eastAsia="zh-CN"/>
        </w:rPr>
        <w:br w:type="page"/>
      </w:r>
    </w:p>
    <w:p w14:paraId="21689448" w14:textId="77777777" w:rsidR="00E760C2" w:rsidRPr="009548FC" w:rsidRDefault="00E760C2" w:rsidP="00E760C2">
      <w:pPr>
        <w:spacing w:before="0"/>
        <w:ind w:left="0"/>
        <w:rPr>
          <w:rFonts w:eastAsia="SimSun" w:cs="Arial"/>
          <w:b/>
          <w:bCs/>
          <w:i/>
          <w:szCs w:val="20"/>
          <w:lang w:eastAsia="zh-CN"/>
        </w:rPr>
      </w:pPr>
    </w:p>
    <w:p w14:paraId="7482FB9C" w14:textId="18DE3ECF" w:rsidR="00E760C2" w:rsidRPr="009548FC" w:rsidRDefault="00E760C2" w:rsidP="00E760C2">
      <w:pPr>
        <w:pStyle w:val="Caption"/>
        <w:rPr>
          <w:rFonts w:eastAsia="Calibri"/>
        </w:rPr>
      </w:pPr>
      <w:bookmarkStart w:id="55" w:name="_Ref457400779"/>
      <w:bookmarkStart w:id="56" w:name="_Toc467569659"/>
      <w:r w:rsidRPr="009548FC">
        <w:t xml:space="preserve">Table </w:t>
      </w:r>
      <w:r w:rsidRPr="00982C4F">
        <w:fldChar w:fldCharType="begin"/>
      </w:r>
      <w:r w:rsidRPr="009548FC">
        <w:instrText xml:space="preserve"> SEQ Table \* ARABIC </w:instrText>
      </w:r>
      <w:r w:rsidRPr="00982C4F">
        <w:fldChar w:fldCharType="separate"/>
      </w:r>
      <w:r w:rsidR="00F0636B">
        <w:rPr>
          <w:noProof/>
        </w:rPr>
        <w:t>4</w:t>
      </w:r>
      <w:r w:rsidRPr="00982C4F">
        <w:rPr>
          <w:noProof/>
        </w:rPr>
        <w:fldChar w:fldCharType="end"/>
      </w:r>
      <w:bookmarkEnd w:id="55"/>
      <w:r w:rsidRPr="009548FC">
        <w:t>: R</w:t>
      </w:r>
      <w:r w:rsidRPr="009548FC">
        <w:rPr>
          <w:rFonts w:eastAsia="Calibri"/>
          <w:szCs w:val="22"/>
        </w:rPr>
        <w:t>elationships between creative firms and CS&amp;H assets and investment</w:t>
      </w:r>
      <w:bookmarkEnd w:id="56"/>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985"/>
        <w:gridCol w:w="1748"/>
        <w:gridCol w:w="1796"/>
      </w:tblGrid>
      <w:tr w:rsidR="006A1863" w:rsidRPr="006A1863" w14:paraId="6F8B7A52" w14:textId="77777777" w:rsidTr="006A1863">
        <w:trPr>
          <w:trHeight w:val="302"/>
        </w:trPr>
        <w:tc>
          <w:tcPr>
            <w:tcW w:w="3969" w:type="dxa"/>
            <w:tcBorders>
              <w:top w:val="single" w:sz="4" w:space="0" w:color="auto"/>
              <w:bottom w:val="single" w:sz="4" w:space="0" w:color="auto"/>
            </w:tcBorders>
            <w:vAlign w:val="bottom"/>
          </w:tcPr>
          <w:p w14:paraId="47D10829" w14:textId="77777777" w:rsidR="006A1863" w:rsidRPr="006A1863" w:rsidRDefault="006A1863" w:rsidP="006A1863">
            <w:pPr>
              <w:widowControl w:val="0"/>
              <w:autoSpaceDE w:val="0"/>
              <w:autoSpaceDN w:val="0"/>
              <w:adjustRightInd w:val="0"/>
              <w:spacing w:before="0" w:after="120" w:line="276" w:lineRule="auto"/>
              <w:ind w:left="34"/>
              <w:contextualSpacing/>
              <w:rPr>
                <w:rFonts w:eastAsia="Calibri" w:cs="Arial"/>
                <w:b/>
                <w:sz w:val="18"/>
                <w:szCs w:val="18"/>
              </w:rPr>
            </w:pPr>
            <w:r w:rsidRPr="006A1863">
              <w:rPr>
                <w:rFonts w:eastAsia="Calibri" w:cs="Arial"/>
                <w:b/>
                <w:sz w:val="18"/>
                <w:szCs w:val="18"/>
              </w:rPr>
              <w:t>Variable</w:t>
            </w:r>
          </w:p>
        </w:tc>
        <w:tc>
          <w:tcPr>
            <w:tcW w:w="5529" w:type="dxa"/>
            <w:gridSpan w:val="3"/>
            <w:tcBorders>
              <w:top w:val="single" w:sz="4" w:space="0" w:color="auto"/>
              <w:bottom w:val="single" w:sz="4" w:space="0" w:color="auto"/>
            </w:tcBorders>
            <w:vAlign w:val="bottom"/>
          </w:tcPr>
          <w:p w14:paraId="3932DE6B" w14:textId="77777777" w:rsidR="006A1863" w:rsidRPr="006A1863" w:rsidRDefault="006A1863" w:rsidP="006A1863">
            <w:pPr>
              <w:widowControl w:val="0"/>
              <w:autoSpaceDE w:val="0"/>
              <w:autoSpaceDN w:val="0"/>
              <w:adjustRightInd w:val="0"/>
              <w:spacing w:before="0" w:after="120" w:line="276" w:lineRule="auto"/>
              <w:ind w:left="40"/>
              <w:contextualSpacing/>
              <w:jc w:val="center"/>
              <w:rPr>
                <w:rFonts w:eastAsia="Calibri" w:cs="Arial"/>
                <w:b/>
                <w:sz w:val="18"/>
                <w:szCs w:val="18"/>
              </w:rPr>
            </w:pPr>
            <w:r w:rsidRPr="006A1863">
              <w:rPr>
                <w:rFonts w:eastAsia="Calibri" w:cs="Arial"/>
                <w:b/>
                <w:sz w:val="18"/>
                <w:szCs w:val="18"/>
              </w:rPr>
              <w:t>Coefficients</w:t>
            </w:r>
          </w:p>
        </w:tc>
      </w:tr>
      <w:tr w:rsidR="00E760C2" w:rsidRPr="006A1863" w14:paraId="4DA50602" w14:textId="77777777" w:rsidTr="00753A00">
        <w:tc>
          <w:tcPr>
            <w:tcW w:w="3969" w:type="dxa"/>
            <w:tcBorders>
              <w:top w:val="single" w:sz="4" w:space="0" w:color="auto"/>
              <w:bottom w:val="single" w:sz="4" w:space="0" w:color="auto"/>
            </w:tcBorders>
          </w:tcPr>
          <w:p w14:paraId="11B73266" w14:textId="77777777" w:rsidR="00E760C2" w:rsidRPr="006A1863" w:rsidRDefault="00E760C2" w:rsidP="00753A00">
            <w:pPr>
              <w:widowControl w:val="0"/>
              <w:autoSpaceDE w:val="0"/>
              <w:autoSpaceDN w:val="0"/>
              <w:adjustRightInd w:val="0"/>
              <w:spacing w:before="0" w:after="120" w:line="276" w:lineRule="auto"/>
              <w:ind w:left="34"/>
              <w:contextualSpacing/>
              <w:rPr>
                <w:rFonts w:eastAsia="Calibri" w:cs="Arial"/>
                <w:b/>
                <w:sz w:val="18"/>
                <w:szCs w:val="18"/>
              </w:rPr>
            </w:pPr>
          </w:p>
        </w:tc>
        <w:tc>
          <w:tcPr>
            <w:tcW w:w="1985" w:type="dxa"/>
            <w:tcBorders>
              <w:top w:val="single" w:sz="4" w:space="0" w:color="auto"/>
              <w:bottom w:val="single" w:sz="4" w:space="0" w:color="auto"/>
            </w:tcBorders>
          </w:tcPr>
          <w:p w14:paraId="3C15300C" w14:textId="77777777" w:rsidR="00E760C2" w:rsidRPr="006A1863" w:rsidRDefault="00E760C2" w:rsidP="00753A00">
            <w:pPr>
              <w:widowControl w:val="0"/>
              <w:autoSpaceDE w:val="0"/>
              <w:autoSpaceDN w:val="0"/>
              <w:adjustRightInd w:val="0"/>
              <w:spacing w:before="0" w:after="120" w:line="276" w:lineRule="auto"/>
              <w:ind w:left="40"/>
              <w:contextualSpacing/>
              <w:jc w:val="center"/>
              <w:rPr>
                <w:rFonts w:eastAsia="Calibri" w:cs="Arial"/>
                <w:b/>
                <w:sz w:val="18"/>
                <w:szCs w:val="18"/>
              </w:rPr>
            </w:pPr>
            <w:r w:rsidRPr="006A1863">
              <w:rPr>
                <w:rFonts w:eastAsia="Calibri" w:cs="Arial"/>
                <w:b/>
                <w:sz w:val="18"/>
                <w:szCs w:val="18"/>
              </w:rPr>
              <w:t>Creative firms location quotient model (2.1)</w:t>
            </w:r>
          </w:p>
        </w:tc>
        <w:tc>
          <w:tcPr>
            <w:tcW w:w="1748" w:type="dxa"/>
            <w:tcBorders>
              <w:top w:val="single" w:sz="4" w:space="0" w:color="auto"/>
              <w:bottom w:val="single" w:sz="4" w:space="0" w:color="auto"/>
            </w:tcBorders>
          </w:tcPr>
          <w:p w14:paraId="13E110A8" w14:textId="77777777" w:rsidR="00E760C2" w:rsidRPr="006A1863" w:rsidRDefault="00E760C2" w:rsidP="00753A00">
            <w:pPr>
              <w:widowControl w:val="0"/>
              <w:autoSpaceDE w:val="0"/>
              <w:autoSpaceDN w:val="0"/>
              <w:adjustRightInd w:val="0"/>
              <w:spacing w:before="0" w:after="120" w:line="276" w:lineRule="auto"/>
              <w:ind w:left="40"/>
              <w:contextualSpacing/>
              <w:jc w:val="center"/>
              <w:rPr>
                <w:rFonts w:eastAsia="Calibri" w:cs="Arial"/>
                <w:b/>
                <w:sz w:val="18"/>
                <w:szCs w:val="18"/>
              </w:rPr>
            </w:pPr>
            <w:r w:rsidRPr="006A1863">
              <w:rPr>
                <w:rFonts w:eastAsia="Calibri" w:cs="Arial"/>
                <w:b/>
                <w:sz w:val="18"/>
                <w:szCs w:val="18"/>
              </w:rPr>
              <w:t>Creative firms turnover per capita model (2.3)</w:t>
            </w:r>
          </w:p>
        </w:tc>
        <w:tc>
          <w:tcPr>
            <w:tcW w:w="1796" w:type="dxa"/>
            <w:tcBorders>
              <w:top w:val="single" w:sz="4" w:space="0" w:color="auto"/>
              <w:bottom w:val="single" w:sz="4" w:space="0" w:color="auto"/>
            </w:tcBorders>
          </w:tcPr>
          <w:p w14:paraId="3C48BDC5" w14:textId="77777777" w:rsidR="00E760C2" w:rsidRPr="006A1863" w:rsidRDefault="00E760C2" w:rsidP="00753A00">
            <w:pPr>
              <w:widowControl w:val="0"/>
              <w:autoSpaceDE w:val="0"/>
              <w:autoSpaceDN w:val="0"/>
              <w:adjustRightInd w:val="0"/>
              <w:spacing w:before="0" w:after="120" w:line="276" w:lineRule="auto"/>
              <w:ind w:left="40"/>
              <w:contextualSpacing/>
              <w:jc w:val="center"/>
              <w:rPr>
                <w:rFonts w:eastAsia="Calibri" w:cs="Arial"/>
                <w:b/>
                <w:sz w:val="18"/>
                <w:szCs w:val="18"/>
              </w:rPr>
            </w:pPr>
            <w:r w:rsidRPr="006A1863">
              <w:rPr>
                <w:rFonts w:eastAsia="Calibri" w:cs="Arial"/>
                <w:b/>
                <w:sz w:val="18"/>
                <w:szCs w:val="18"/>
              </w:rPr>
              <w:t>Creative firms net migration model (2.2)</w:t>
            </w:r>
          </w:p>
        </w:tc>
      </w:tr>
      <w:tr w:rsidR="00E760C2" w:rsidRPr="006A1863" w14:paraId="0338C049" w14:textId="77777777" w:rsidTr="00EE2C40">
        <w:trPr>
          <w:trHeight w:val="272"/>
        </w:trPr>
        <w:tc>
          <w:tcPr>
            <w:tcW w:w="3969" w:type="dxa"/>
            <w:tcBorders>
              <w:top w:val="single" w:sz="4" w:space="0" w:color="auto"/>
            </w:tcBorders>
          </w:tcPr>
          <w:p w14:paraId="4EE45397" w14:textId="77777777" w:rsidR="00E760C2" w:rsidRPr="006A1863" w:rsidRDefault="00E760C2" w:rsidP="006A1863">
            <w:pPr>
              <w:spacing w:before="80" w:after="100" w:afterAutospacing="1"/>
              <w:ind w:left="0"/>
              <w:rPr>
                <w:rFonts w:eastAsia="Arial" w:cs="Arial"/>
                <w:b/>
                <w:color w:val="000000" w:themeColor="text1"/>
                <w:sz w:val="18"/>
                <w:szCs w:val="18"/>
                <w:u w:val="single"/>
              </w:rPr>
            </w:pPr>
            <w:r w:rsidRPr="006A1863">
              <w:rPr>
                <w:rFonts w:eastAsia="Arial" w:cs="Arial"/>
                <w:b/>
                <w:color w:val="000000" w:themeColor="text1"/>
                <w:sz w:val="18"/>
                <w:szCs w:val="18"/>
                <w:u w:val="single"/>
              </w:rPr>
              <w:t>Assets</w:t>
            </w:r>
          </w:p>
        </w:tc>
        <w:tc>
          <w:tcPr>
            <w:tcW w:w="1985" w:type="dxa"/>
            <w:tcBorders>
              <w:top w:val="single" w:sz="4" w:space="0" w:color="auto"/>
            </w:tcBorders>
          </w:tcPr>
          <w:p w14:paraId="2867B208" w14:textId="77777777" w:rsidR="00E760C2" w:rsidRPr="006A1863" w:rsidRDefault="00E760C2" w:rsidP="006A1863">
            <w:pPr>
              <w:spacing w:before="80" w:after="100" w:afterAutospacing="1"/>
              <w:ind w:left="0"/>
              <w:rPr>
                <w:rFonts w:eastAsia="Arial" w:cs="Arial"/>
                <w:b/>
                <w:color w:val="000000" w:themeColor="text1"/>
                <w:sz w:val="18"/>
                <w:szCs w:val="18"/>
              </w:rPr>
            </w:pPr>
          </w:p>
        </w:tc>
        <w:tc>
          <w:tcPr>
            <w:tcW w:w="1748" w:type="dxa"/>
            <w:tcBorders>
              <w:top w:val="single" w:sz="4" w:space="0" w:color="auto"/>
            </w:tcBorders>
          </w:tcPr>
          <w:p w14:paraId="2D259F25" w14:textId="77777777" w:rsidR="00E760C2" w:rsidRPr="006A1863" w:rsidRDefault="00E760C2" w:rsidP="006A1863">
            <w:pPr>
              <w:spacing w:before="80" w:after="100" w:afterAutospacing="1"/>
              <w:ind w:left="0"/>
              <w:rPr>
                <w:rFonts w:eastAsia="Arial" w:cs="Arial"/>
                <w:b/>
                <w:color w:val="000000" w:themeColor="text1"/>
                <w:sz w:val="18"/>
                <w:szCs w:val="18"/>
              </w:rPr>
            </w:pPr>
          </w:p>
        </w:tc>
        <w:tc>
          <w:tcPr>
            <w:tcW w:w="1796" w:type="dxa"/>
            <w:tcBorders>
              <w:top w:val="single" w:sz="4" w:space="0" w:color="auto"/>
            </w:tcBorders>
          </w:tcPr>
          <w:p w14:paraId="175717CD" w14:textId="77777777" w:rsidR="00E760C2" w:rsidRPr="006A1863" w:rsidRDefault="00E760C2" w:rsidP="006A1863">
            <w:pPr>
              <w:spacing w:before="80" w:after="100" w:afterAutospacing="1"/>
              <w:ind w:left="0"/>
              <w:rPr>
                <w:rFonts w:eastAsia="Arial" w:cs="Arial"/>
                <w:b/>
                <w:color w:val="000000" w:themeColor="text1"/>
                <w:sz w:val="18"/>
                <w:szCs w:val="18"/>
              </w:rPr>
            </w:pPr>
          </w:p>
        </w:tc>
      </w:tr>
      <w:tr w:rsidR="00E760C2" w:rsidRPr="006A1863" w14:paraId="0A1451CF" w14:textId="77777777" w:rsidTr="00EE2C40">
        <w:trPr>
          <w:trHeight w:val="272"/>
        </w:trPr>
        <w:tc>
          <w:tcPr>
            <w:tcW w:w="3969" w:type="dxa"/>
            <w:vAlign w:val="bottom"/>
          </w:tcPr>
          <w:p w14:paraId="33355576"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Heritage assets density</w:t>
            </w:r>
          </w:p>
        </w:tc>
        <w:tc>
          <w:tcPr>
            <w:tcW w:w="1985" w:type="dxa"/>
            <w:vAlign w:val="bottom"/>
          </w:tcPr>
          <w:p w14:paraId="201C5867"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0.040***</w:t>
            </w:r>
          </w:p>
        </w:tc>
        <w:tc>
          <w:tcPr>
            <w:tcW w:w="1748" w:type="dxa"/>
            <w:vAlign w:val="bottom"/>
          </w:tcPr>
          <w:p w14:paraId="7A782B4D"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0.067**</w:t>
            </w:r>
          </w:p>
        </w:tc>
        <w:tc>
          <w:tcPr>
            <w:tcW w:w="1796" w:type="dxa"/>
            <w:vAlign w:val="bottom"/>
          </w:tcPr>
          <w:p w14:paraId="6F22188A"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-0.119</w:t>
            </w:r>
          </w:p>
        </w:tc>
      </w:tr>
      <w:tr w:rsidR="00E760C2" w:rsidRPr="006A1863" w14:paraId="1B0715A1" w14:textId="77777777" w:rsidTr="00EE2C40">
        <w:trPr>
          <w:trHeight w:val="272"/>
        </w:trPr>
        <w:tc>
          <w:tcPr>
            <w:tcW w:w="3969" w:type="dxa"/>
            <w:vAlign w:val="bottom"/>
          </w:tcPr>
          <w:p w14:paraId="4893266D"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Sports assets density</w:t>
            </w:r>
          </w:p>
        </w:tc>
        <w:tc>
          <w:tcPr>
            <w:tcW w:w="1985" w:type="dxa"/>
            <w:vAlign w:val="bottom"/>
          </w:tcPr>
          <w:p w14:paraId="5035EE3A"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-0.200***</w:t>
            </w:r>
          </w:p>
        </w:tc>
        <w:tc>
          <w:tcPr>
            <w:tcW w:w="1748" w:type="dxa"/>
            <w:vAlign w:val="bottom"/>
          </w:tcPr>
          <w:p w14:paraId="4000FD9D"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-0.568***</w:t>
            </w:r>
          </w:p>
        </w:tc>
        <w:tc>
          <w:tcPr>
            <w:tcW w:w="1796" w:type="dxa"/>
            <w:vAlign w:val="bottom"/>
          </w:tcPr>
          <w:p w14:paraId="010E4203"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0.082</w:t>
            </w:r>
          </w:p>
        </w:tc>
      </w:tr>
      <w:tr w:rsidR="00E760C2" w:rsidRPr="006A1863" w14:paraId="27C724DD" w14:textId="77777777" w:rsidTr="00EE2C40">
        <w:trPr>
          <w:trHeight w:val="272"/>
        </w:trPr>
        <w:tc>
          <w:tcPr>
            <w:tcW w:w="3969" w:type="dxa"/>
            <w:vAlign w:val="bottom"/>
          </w:tcPr>
          <w:p w14:paraId="79D57F3A"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Cultural events per capita</w:t>
            </w:r>
          </w:p>
        </w:tc>
        <w:tc>
          <w:tcPr>
            <w:tcW w:w="1985" w:type="dxa"/>
            <w:vAlign w:val="bottom"/>
          </w:tcPr>
          <w:p w14:paraId="0E7ED331"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0.098***</w:t>
            </w:r>
          </w:p>
        </w:tc>
        <w:tc>
          <w:tcPr>
            <w:tcW w:w="1748" w:type="dxa"/>
            <w:vAlign w:val="bottom"/>
          </w:tcPr>
          <w:p w14:paraId="3278A517"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0.354***</w:t>
            </w:r>
          </w:p>
        </w:tc>
        <w:tc>
          <w:tcPr>
            <w:tcW w:w="1796" w:type="dxa"/>
            <w:vAlign w:val="bottom"/>
          </w:tcPr>
          <w:p w14:paraId="5962363A"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0.159</w:t>
            </w:r>
          </w:p>
        </w:tc>
      </w:tr>
      <w:tr w:rsidR="00E760C2" w:rsidRPr="006A1863" w14:paraId="2493D3C4" w14:textId="77777777" w:rsidTr="00EE2C40">
        <w:trPr>
          <w:trHeight w:val="272"/>
        </w:trPr>
        <w:tc>
          <w:tcPr>
            <w:tcW w:w="3969" w:type="dxa"/>
            <w:vAlign w:val="bottom"/>
          </w:tcPr>
          <w:p w14:paraId="1DDE0B4D"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Libraries density</w:t>
            </w:r>
          </w:p>
        </w:tc>
        <w:tc>
          <w:tcPr>
            <w:tcW w:w="1985" w:type="dxa"/>
            <w:vAlign w:val="bottom"/>
          </w:tcPr>
          <w:p w14:paraId="6A645AB8"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-0.011</w:t>
            </w:r>
          </w:p>
        </w:tc>
        <w:tc>
          <w:tcPr>
            <w:tcW w:w="1748" w:type="dxa"/>
            <w:vAlign w:val="bottom"/>
          </w:tcPr>
          <w:p w14:paraId="26F92534"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-0.047</w:t>
            </w:r>
          </w:p>
        </w:tc>
        <w:tc>
          <w:tcPr>
            <w:tcW w:w="1796" w:type="dxa"/>
            <w:vAlign w:val="bottom"/>
          </w:tcPr>
          <w:p w14:paraId="3F1505FF"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-0.270</w:t>
            </w:r>
          </w:p>
        </w:tc>
      </w:tr>
      <w:tr w:rsidR="00E760C2" w:rsidRPr="006A1863" w14:paraId="4DAB8E13" w14:textId="77777777" w:rsidTr="00EE2C40">
        <w:trPr>
          <w:trHeight w:val="272"/>
        </w:trPr>
        <w:tc>
          <w:tcPr>
            <w:tcW w:w="3969" w:type="dxa"/>
            <w:vAlign w:val="bottom"/>
          </w:tcPr>
          <w:p w14:paraId="562FCEA8" w14:textId="77777777" w:rsidR="00E760C2" w:rsidRPr="006A1863" w:rsidRDefault="00E760C2" w:rsidP="006A1863">
            <w:pPr>
              <w:widowControl w:val="0"/>
              <w:autoSpaceDE w:val="0"/>
              <w:autoSpaceDN w:val="0"/>
              <w:adjustRightInd w:val="0"/>
              <w:spacing w:before="80" w:after="100" w:afterAutospacing="1"/>
              <w:ind w:left="0"/>
              <w:contextualSpacing/>
              <w:rPr>
                <w:rFonts w:eastAsia="Calibri" w:cs="Arial"/>
                <w:b/>
                <w:sz w:val="18"/>
                <w:szCs w:val="18"/>
                <w:u w:val="single"/>
              </w:rPr>
            </w:pPr>
            <w:r w:rsidRPr="006A1863">
              <w:rPr>
                <w:rFonts w:eastAsia="Calibri" w:cs="Arial"/>
                <w:b/>
                <w:sz w:val="18"/>
                <w:szCs w:val="18"/>
                <w:u w:val="single"/>
              </w:rPr>
              <w:t>Investment</w:t>
            </w:r>
          </w:p>
        </w:tc>
        <w:tc>
          <w:tcPr>
            <w:tcW w:w="1985" w:type="dxa"/>
            <w:vAlign w:val="bottom"/>
          </w:tcPr>
          <w:p w14:paraId="0317F5AD" w14:textId="77777777" w:rsidR="00E760C2" w:rsidRPr="006A1863" w:rsidRDefault="00E760C2" w:rsidP="006A1863">
            <w:pPr>
              <w:widowControl w:val="0"/>
              <w:autoSpaceDE w:val="0"/>
              <w:autoSpaceDN w:val="0"/>
              <w:adjustRightInd w:val="0"/>
              <w:spacing w:before="80" w:after="100" w:afterAutospacing="1"/>
              <w:ind w:left="34"/>
              <w:contextualSpacing/>
              <w:jc w:val="center"/>
              <w:rPr>
                <w:rFonts w:eastAsia="Calibri" w:cs="Arial"/>
                <w:b/>
                <w:sz w:val="18"/>
                <w:szCs w:val="18"/>
              </w:rPr>
            </w:pPr>
          </w:p>
        </w:tc>
        <w:tc>
          <w:tcPr>
            <w:tcW w:w="1748" w:type="dxa"/>
            <w:vAlign w:val="bottom"/>
          </w:tcPr>
          <w:p w14:paraId="49389DE0" w14:textId="77777777" w:rsidR="00E760C2" w:rsidRPr="006A1863" w:rsidRDefault="00E760C2" w:rsidP="006A1863">
            <w:pPr>
              <w:widowControl w:val="0"/>
              <w:autoSpaceDE w:val="0"/>
              <w:autoSpaceDN w:val="0"/>
              <w:adjustRightInd w:val="0"/>
              <w:spacing w:before="80" w:after="100" w:afterAutospacing="1"/>
              <w:ind w:left="34"/>
              <w:contextualSpacing/>
              <w:jc w:val="center"/>
              <w:rPr>
                <w:rFonts w:eastAsia="Calibri" w:cs="Arial"/>
                <w:b/>
                <w:sz w:val="18"/>
                <w:szCs w:val="18"/>
              </w:rPr>
            </w:pPr>
          </w:p>
        </w:tc>
        <w:tc>
          <w:tcPr>
            <w:tcW w:w="1796" w:type="dxa"/>
            <w:vAlign w:val="bottom"/>
          </w:tcPr>
          <w:p w14:paraId="1C0D84C7" w14:textId="77777777" w:rsidR="00E760C2" w:rsidRPr="006A1863" w:rsidRDefault="00E760C2" w:rsidP="006A1863">
            <w:pPr>
              <w:widowControl w:val="0"/>
              <w:autoSpaceDE w:val="0"/>
              <w:autoSpaceDN w:val="0"/>
              <w:adjustRightInd w:val="0"/>
              <w:spacing w:before="80" w:after="100" w:afterAutospacing="1"/>
              <w:ind w:left="34"/>
              <w:contextualSpacing/>
              <w:jc w:val="center"/>
              <w:rPr>
                <w:rFonts w:eastAsia="Calibri" w:cs="Arial"/>
                <w:b/>
                <w:sz w:val="18"/>
                <w:szCs w:val="18"/>
              </w:rPr>
            </w:pPr>
          </w:p>
        </w:tc>
      </w:tr>
      <w:tr w:rsidR="00E760C2" w:rsidRPr="006A1863" w14:paraId="1FAF3008" w14:textId="77777777" w:rsidTr="00EE2C40">
        <w:trPr>
          <w:trHeight w:val="272"/>
        </w:trPr>
        <w:tc>
          <w:tcPr>
            <w:tcW w:w="3969" w:type="dxa"/>
            <w:vAlign w:val="bottom"/>
          </w:tcPr>
          <w:p w14:paraId="49764931"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Local authority investment in CS&amp;H</w:t>
            </w:r>
          </w:p>
        </w:tc>
        <w:tc>
          <w:tcPr>
            <w:tcW w:w="1985" w:type="dxa"/>
            <w:vAlign w:val="bottom"/>
          </w:tcPr>
          <w:p w14:paraId="59E2B1EB"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-0.000</w:t>
            </w:r>
          </w:p>
        </w:tc>
        <w:tc>
          <w:tcPr>
            <w:tcW w:w="1748" w:type="dxa"/>
            <w:vAlign w:val="bottom"/>
          </w:tcPr>
          <w:p w14:paraId="68D06B65"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-0.061</w:t>
            </w:r>
          </w:p>
        </w:tc>
        <w:tc>
          <w:tcPr>
            <w:tcW w:w="1796" w:type="dxa"/>
            <w:vAlign w:val="bottom"/>
          </w:tcPr>
          <w:p w14:paraId="1EB4F888"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0.006</w:t>
            </w:r>
          </w:p>
        </w:tc>
      </w:tr>
      <w:tr w:rsidR="00E760C2" w:rsidRPr="006A1863" w14:paraId="1BE17461" w14:textId="77777777" w:rsidTr="00EE2C40">
        <w:trPr>
          <w:trHeight w:val="272"/>
        </w:trPr>
        <w:tc>
          <w:tcPr>
            <w:tcW w:w="3969" w:type="dxa"/>
            <w:vAlign w:val="bottom"/>
          </w:tcPr>
          <w:p w14:paraId="1ED26658"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Lottery investment in CS&amp;H</w:t>
            </w:r>
          </w:p>
        </w:tc>
        <w:tc>
          <w:tcPr>
            <w:tcW w:w="1985" w:type="dxa"/>
            <w:vAlign w:val="bottom"/>
          </w:tcPr>
          <w:p w14:paraId="08AD03BB"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-0.015</w:t>
            </w:r>
          </w:p>
        </w:tc>
        <w:tc>
          <w:tcPr>
            <w:tcW w:w="1748" w:type="dxa"/>
            <w:vAlign w:val="bottom"/>
          </w:tcPr>
          <w:p w14:paraId="7074D487"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-0.093**</w:t>
            </w:r>
          </w:p>
        </w:tc>
        <w:tc>
          <w:tcPr>
            <w:tcW w:w="1796" w:type="dxa"/>
            <w:vAlign w:val="bottom"/>
          </w:tcPr>
          <w:p w14:paraId="4D0A36B4"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0.025</w:t>
            </w:r>
          </w:p>
        </w:tc>
      </w:tr>
      <w:tr w:rsidR="00E760C2" w:rsidRPr="006A1863" w14:paraId="0E1A16B3" w14:textId="77777777" w:rsidTr="00EE2C40">
        <w:trPr>
          <w:trHeight w:val="272"/>
        </w:trPr>
        <w:tc>
          <w:tcPr>
            <w:tcW w:w="3969" w:type="dxa"/>
            <w:vAlign w:val="bottom"/>
          </w:tcPr>
          <w:p w14:paraId="333A70AD" w14:textId="77777777" w:rsidR="00E760C2" w:rsidRPr="006A1863" w:rsidRDefault="00E760C2" w:rsidP="006A1863">
            <w:pPr>
              <w:widowControl w:val="0"/>
              <w:autoSpaceDE w:val="0"/>
              <w:autoSpaceDN w:val="0"/>
              <w:adjustRightInd w:val="0"/>
              <w:spacing w:before="80" w:after="100" w:afterAutospacing="1"/>
              <w:ind w:left="0"/>
              <w:contextualSpacing/>
              <w:rPr>
                <w:rFonts w:eastAsia="Calibri" w:cs="Arial"/>
                <w:b/>
                <w:sz w:val="18"/>
                <w:szCs w:val="18"/>
                <w:u w:val="single"/>
              </w:rPr>
            </w:pPr>
            <w:r w:rsidRPr="006A1863">
              <w:rPr>
                <w:rFonts w:eastAsia="Calibri" w:cs="Arial"/>
                <w:b/>
                <w:sz w:val="18"/>
                <w:szCs w:val="18"/>
                <w:u w:val="single"/>
              </w:rPr>
              <w:t>Additional push/pull factors</w:t>
            </w:r>
          </w:p>
        </w:tc>
        <w:tc>
          <w:tcPr>
            <w:tcW w:w="1985" w:type="dxa"/>
            <w:vAlign w:val="bottom"/>
          </w:tcPr>
          <w:p w14:paraId="6401629B" w14:textId="77777777" w:rsidR="00E760C2" w:rsidRPr="006A1863" w:rsidRDefault="00E760C2" w:rsidP="006A1863">
            <w:pPr>
              <w:widowControl w:val="0"/>
              <w:autoSpaceDE w:val="0"/>
              <w:autoSpaceDN w:val="0"/>
              <w:adjustRightInd w:val="0"/>
              <w:spacing w:before="80" w:after="100" w:afterAutospacing="1"/>
              <w:ind w:left="34"/>
              <w:contextualSpacing/>
              <w:jc w:val="center"/>
              <w:rPr>
                <w:rFonts w:eastAsia="Calibri" w:cs="Arial"/>
                <w:b/>
                <w:sz w:val="18"/>
                <w:szCs w:val="18"/>
              </w:rPr>
            </w:pPr>
          </w:p>
        </w:tc>
        <w:tc>
          <w:tcPr>
            <w:tcW w:w="1748" w:type="dxa"/>
            <w:vAlign w:val="bottom"/>
          </w:tcPr>
          <w:p w14:paraId="2430B245" w14:textId="77777777" w:rsidR="00E760C2" w:rsidRPr="006A1863" w:rsidRDefault="00E760C2" w:rsidP="006A1863">
            <w:pPr>
              <w:widowControl w:val="0"/>
              <w:autoSpaceDE w:val="0"/>
              <w:autoSpaceDN w:val="0"/>
              <w:adjustRightInd w:val="0"/>
              <w:spacing w:before="80" w:after="100" w:afterAutospacing="1"/>
              <w:ind w:left="34"/>
              <w:contextualSpacing/>
              <w:jc w:val="center"/>
              <w:rPr>
                <w:rFonts w:eastAsia="Calibri" w:cs="Arial"/>
                <w:b/>
                <w:sz w:val="18"/>
                <w:szCs w:val="18"/>
              </w:rPr>
            </w:pPr>
          </w:p>
        </w:tc>
        <w:tc>
          <w:tcPr>
            <w:tcW w:w="1796" w:type="dxa"/>
            <w:vAlign w:val="bottom"/>
          </w:tcPr>
          <w:p w14:paraId="7B33D25C" w14:textId="77777777" w:rsidR="00E760C2" w:rsidRPr="006A1863" w:rsidRDefault="00E760C2" w:rsidP="006A1863">
            <w:pPr>
              <w:widowControl w:val="0"/>
              <w:autoSpaceDE w:val="0"/>
              <w:autoSpaceDN w:val="0"/>
              <w:adjustRightInd w:val="0"/>
              <w:spacing w:before="80" w:after="100" w:afterAutospacing="1"/>
              <w:ind w:left="34"/>
              <w:contextualSpacing/>
              <w:jc w:val="center"/>
              <w:rPr>
                <w:rFonts w:eastAsia="Calibri" w:cs="Arial"/>
                <w:b/>
                <w:sz w:val="18"/>
                <w:szCs w:val="18"/>
              </w:rPr>
            </w:pPr>
          </w:p>
        </w:tc>
      </w:tr>
      <w:tr w:rsidR="00E760C2" w:rsidRPr="006A1863" w14:paraId="210A574C" w14:textId="77777777" w:rsidTr="00EE2C40">
        <w:trPr>
          <w:trHeight w:val="272"/>
        </w:trPr>
        <w:tc>
          <w:tcPr>
            <w:tcW w:w="3969" w:type="dxa"/>
            <w:vAlign w:val="bottom"/>
          </w:tcPr>
          <w:p w14:paraId="19E58D7F"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Employment rate</w:t>
            </w:r>
          </w:p>
        </w:tc>
        <w:tc>
          <w:tcPr>
            <w:tcW w:w="1985" w:type="dxa"/>
            <w:vAlign w:val="bottom"/>
          </w:tcPr>
          <w:p w14:paraId="16720B05"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0.028*</w:t>
            </w:r>
          </w:p>
        </w:tc>
        <w:tc>
          <w:tcPr>
            <w:tcW w:w="1748" w:type="dxa"/>
            <w:vAlign w:val="bottom"/>
          </w:tcPr>
          <w:p w14:paraId="301D760A"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0.065</w:t>
            </w:r>
          </w:p>
        </w:tc>
        <w:tc>
          <w:tcPr>
            <w:tcW w:w="1796" w:type="dxa"/>
            <w:vAlign w:val="bottom"/>
          </w:tcPr>
          <w:p w14:paraId="75463273"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-0.201</w:t>
            </w:r>
          </w:p>
        </w:tc>
      </w:tr>
      <w:tr w:rsidR="00E760C2" w:rsidRPr="006A1863" w14:paraId="3AD05015" w14:textId="77777777" w:rsidTr="00EE2C40">
        <w:trPr>
          <w:trHeight w:val="272"/>
        </w:trPr>
        <w:tc>
          <w:tcPr>
            <w:tcW w:w="3969" w:type="dxa"/>
            <w:vAlign w:val="bottom"/>
          </w:tcPr>
          <w:p w14:paraId="24C3B948"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Skilled labour proportion</w:t>
            </w:r>
          </w:p>
        </w:tc>
        <w:tc>
          <w:tcPr>
            <w:tcW w:w="1985" w:type="dxa"/>
            <w:vAlign w:val="bottom"/>
          </w:tcPr>
          <w:p w14:paraId="03A7BB41"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0.085**</w:t>
            </w:r>
          </w:p>
        </w:tc>
        <w:tc>
          <w:tcPr>
            <w:tcW w:w="1748" w:type="dxa"/>
            <w:vAlign w:val="bottom"/>
          </w:tcPr>
          <w:p w14:paraId="54C753A6"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0.463</w:t>
            </w:r>
          </w:p>
        </w:tc>
        <w:tc>
          <w:tcPr>
            <w:tcW w:w="1796" w:type="dxa"/>
            <w:vAlign w:val="bottom"/>
          </w:tcPr>
          <w:p w14:paraId="7DE0F97E"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0.331</w:t>
            </w:r>
          </w:p>
        </w:tc>
      </w:tr>
      <w:tr w:rsidR="00E760C2" w:rsidRPr="006A1863" w14:paraId="69EBBE4B" w14:textId="77777777" w:rsidTr="00EE2C40">
        <w:trPr>
          <w:trHeight w:val="272"/>
        </w:trPr>
        <w:tc>
          <w:tcPr>
            <w:tcW w:w="3969" w:type="dxa"/>
            <w:vAlign w:val="bottom"/>
          </w:tcPr>
          <w:p w14:paraId="649D1277"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Housing density</w:t>
            </w:r>
          </w:p>
        </w:tc>
        <w:tc>
          <w:tcPr>
            <w:tcW w:w="1985" w:type="dxa"/>
            <w:vAlign w:val="bottom"/>
          </w:tcPr>
          <w:p w14:paraId="78DA3B17"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-0.241</w:t>
            </w:r>
          </w:p>
        </w:tc>
        <w:tc>
          <w:tcPr>
            <w:tcW w:w="1748" w:type="dxa"/>
            <w:vAlign w:val="bottom"/>
          </w:tcPr>
          <w:p w14:paraId="6719D5B8"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-1.131</w:t>
            </w:r>
          </w:p>
        </w:tc>
        <w:tc>
          <w:tcPr>
            <w:tcW w:w="1796" w:type="dxa"/>
            <w:vAlign w:val="bottom"/>
          </w:tcPr>
          <w:p w14:paraId="6528D121"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-3.94</w:t>
            </w:r>
          </w:p>
        </w:tc>
      </w:tr>
      <w:tr w:rsidR="00E760C2" w:rsidRPr="006A1863" w14:paraId="2192D571" w14:textId="77777777" w:rsidTr="00EE2C40">
        <w:trPr>
          <w:trHeight w:val="272"/>
        </w:trPr>
        <w:tc>
          <w:tcPr>
            <w:tcW w:w="3969" w:type="dxa"/>
            <w:vAlign w:val="bottom"/>
          </w:tcPr>
          <w:p w14:paraId="13F04540"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 xml:space="preserve">Network infrastructure </w:t>
            </w:r>
          </w:p>
        </w:tc>
        <w:tc>
          <w:tcPr>
            <w:tcW w:w="1985" w:type="dxa"/>
            <w:vAlign w:val="bottom"/>
          </w:tcPr>
          <w:p w14:paraId="039D6159"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0.132**</w:t>
            </w:r>
          </w:p>
        </w:tc>
        <w:tc>
          <w:tcPr>
            <w:tcW w:w="1748" w:type="dxa"/>
            <w:vAlign w:val="bottom"/>
          </w:tcPr>
          <w:p w14:paraId="47AC568B"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0.369</w:t>
            </w:r>
          </w:p>
        </w:tc>
        <w:tc>
          <w:tcPr>
            <w:tcW w:w="1796" w:type="dxa"/>
            <w:vAlign w:val="bottom"/>
          </w:tcPr>
          <w:p w14:paraId="3980E9B7"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-1.060**</w:t>
            </w:r>
          </w:p>
        </w:tc>
      </w:tr>
      <w:tr w:rsidR="00E760C2" w:rsidRPr="006A1863" w14:paraId="0647B73E" w14:textId="77777777" w:rsidTr="00EE2C40">
        <w:trPr>
          <w:trHeight w:val="272"/>
        </w:trPr>
        <w:tc>
          <w:tcPr>
            <w:tcW w:w="3969" w:type="dxa"/>
            <w:vAlign w:val="bottom"/>
          </w:tcPr>
          <w:p w14:paraId="1913203A"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Transport infrastructure</w:t>
            </w:r>
          </w:p>
        </w:tc>
        <w:tc>
          <w:tcPr>
            <w:tcW w:w="1985" w:type="dxa"/>
            <w:vAlign w:val="bottom"/>
          </w:tcPr>
          <w:p w14:paraId="0DC81230"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0.041***</w:t>
            </w:r>
          </w:p>
        </w:tc>
        <w:tc>
          <w:tcPr>
            <w:tcW w:w="1748" w:type="dxa"/>
            <w:vAlign w:val="bottom"/>
          </w:tcPr>
          <w:p w14:paraId="4F6E68FE"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0.055</w:t>
            </w:r>
          </w:p>
        </w:tc>
        <w:tc>
          <w:tcPr>
            <w:tcW w:w="1796" w:type="dxa"/>
            <w:vAlign w:val="bottom"/>
          </w:tcPr>
          <w:p w14:paraId="59BEC2E5"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0.069</w:t>
            </w:r>
          </w:p>
        </w:tc>
      </w:tr>
      <w:tr w:rsidR="00E760C2" w:rsidRPr="006A1863" w14:paraId="37631FD4" w14:textId="77777777" w:rsidTr="00EE2C40">
        <w:trPr>
          <w:trHeight w:val="272"/>
        </w:trPr>
        <w:tc>
          <w:tcPr>
            <w:tcW w:w="3969" w:type="dxa"/>
            <w:vAlign w:val="bottom"/>
          </w:tcPr>
          <w:p w14:paraId="084D7628"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Life satisfaction</w:t>
            </w:r>
          </w:p>
        </w:tc>
        <w:tc>
          <w:tcPr>
            <w:tcW w:w="1985" w:type="dxa"/>
            <w:vAlign w:val="bottom"/>
          </w:tcPr>
          <w:p w14:paraId="1EBA8B97"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-0.211</w:t>
            </w:r>
          </w:p>
        </w:tc>
        <w:tc>
          <w:tcPr>
            <w:tcW w:w="1748" w:type="dxa"/>
            <w:vAlign w:val="bottom"/>
          </w:tcPr>
          <w:p w14:paraId="7589D607"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-0.017</w:t>
            </w:r>
          </w:p>
        </w:tc>
        <w:tc>
          <w:tcPr>
            <w:tcW w:w="1796" w:type="dxa"/>
            <w:vAlign w:val="bottom"/>
          </w:tcPr>
          <w:p w14:paraId="43E4B0E5"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4.341</w:t>
            </w:r>
          </w:p>
        </w:tc>
      </w:tr>
      <w:tr w:rsidR="00E760C2" w:rsidRPr="006A1863" w14:paraId="5B3CFF50" w14:textId="77777777" w:rsidTr="00EE2C40">
        <w:trPr>
          <w:trHeight w:val="272"/>
        </w:trPr>
        <w:tc>
          <w:tcPr>
            <w:tcW w:w="3969" w:type="dxa"/>
            <w:vAlign w:val="bottom"/>
          </w:tcPr>
          <w:p w14:paraId="70C8CB4C"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Size of the market (population)</w:t>
            </w:r>
          </w:p>
        </w:tc>
        <w:tc>
          <w:tcPr>
            <w:tcW w:w="1985" w:type="dxa"/>
            <w:vAlign w:val="bottom"/>
          </w:tcPr>
          <w:p w14:paraId="622C2728"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-0.046</w:t>
            </w:r>
          </w:p>
        </w:tc>
        <w:tc>
          <w:tcPr>
            <w:tcW w:w="1748" w:type="dxa"/>
            <w:vAlign w:val="bottom"/>
          </w:tcPr>
          <w:p w14:paraId="52E70FCF"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1.188</w:t>
            </w:r>
          </w:p>
        </w:tc>
        <w:tc>
          <w:tcPr>
            <w:tcW w:w="1796" w:type="dxa"/>
            <w:vAlign w:val="bottom"/>
          </w:tcPr>
          <w:p w14:paraId="05564FB8"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4.438*</w:t>
            </w:r>
          </w:p>
        </w:tc>
      </w:tr>
      <w:tr w:rsidR="00E760C2" w:rsidRPr="006A1863" w14:paraId="0397E670" w14:textId="77777777" w:rsidTr="00EE2C40">
        <w:trPr>
          <w:trHeight w:val="272"/>
        </w:trPr>
        <w:tc>
          <w:tcPr>
            <w:tcW w:w="3969" w:type="dxa"/>
            <w:tcBorders>
              <w:bottom w:val="single" w:sz="4" w:space="0" w:color="auto"/>
            </w:tcBorders>
            <w:vAlign w:val="bottom"/>
          </w:tcPr>
          <w:p w14:paraId="4E1B861D" w14:textId="77777777" w:rsidR="00E760C2" w:rsidRPr="006A1863" w:rsidRDefault="00E760C2" w:rsidP="006A1863">
            <w:pPr>
              <w:spacing w:before="80" w:after="100" w:afterAutospacing="1"/>
              <w:ind w:left="0"/>
              <w:rPr>
                <w:rFonts w:eastAsia="Arial" w:cs="Arial"/>
                <w:color w:val="000000" w:themeColor="text1"/>
                <w:sz w:val="18"/>
                <w:szCs w:val="18"/>
              </w:rPr>
            </w:pPr>
            <w:r w:rsidRPr="006A1863">
              <w:rPr>
                <w:rFonts w:eastAsia="Arial" w:cs="Arial"/>
                <w:color w:val="000000" w:themeColor="text1"/>
                <w:sz w:val="18"/>
                <w:szCs w:val="18"/>
              </w:rPr>
              <w:t>GVA per capita</w:t>
            </w:r>
          </w:p>
        </w:tc>
        <w:tc>
          <w:tcPr>
            <w:tcW w:w="1985" w:type="dxa"/>
            <w:tcBorders>
              <w:bottom w:val="single" w:sz="4" w:space="0" w:color="auto"/>
            </w:tcBorders>
            <w:vAlign w:val="bottom"/>
          </w:tcPr>
          <w:p w14:paraId="10F4EF83"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-0.021</w:t>
            </w:r>
          </w:p>
        </w:tc>
        <w:tc>
          <w:tcPr>
            <w:tcW w:w="1748" w:type="dxa"/>
            <w:tcBorders>
              <w:bottom w:val="single" w:sz="4" w:space="0" w:color="auto"/>
            </w:tcBorders>
            <w:vAlign w:val="bottom"/>
          </w:tcPr>
          <w:p w14:paraId="1F953A6D"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0.589***</w:t>
            </w:r>
          </w:p>
        </w:tc>
        <w:tc>
          <w:tcPr>
            <w:tcW w:w="1796" w:type="dxa"/>
            <w:tcBorders>
              <w:bottom w:val="single" w:sz="4" w:space="0" w:color="auto"/>
            </w:tcBorders>
            <w:vAlign w:val="bottom"/>
          </w:tcPr>
          <w:p w14:paraId="3AEF262A" w14:textId="77777777" w:rsidR="00E760C2" w:rsidRPr="006A1863" w:rsidRDefault="00E760C2" w:rsidP="006A1863">
            <w:pPr>
              <w:spacing w:before="80" w:after="100" w:afterAutospacing="1"/>
              <w:ind w:left="0"/>
              <w:jc w:val="center"/>
              <w:rPr>
                <w:rFonts w:eastAsia="Arial" w:cs="Arial"/>
                <w:color w:val="000000" w:themeColor="text1"/>
                <w:sz w:val="18"/>
                <w:szCs w:val="18"/>
              </w:rPr>
            </w:pPr>
            <w:r w:rsidRPr="006A1863">
              <w:rPr>
                <w:rFonts w:eastAsia="Arial" w:cs="Arial"/>
                <w:color w:val="000000" w:themeColor="text1"/>
                <w:sz w:val="18"/>
                <w:szCs w:val="18"/>
              </w:rPr>
              <w:t>0.003</w:t>
            </w:r>
          </w:p>
        </w:tc>
      </w:tr>
      <w:tr w:rsidR="00E760C2" w:rsidRPr="006A1863" w14:paraId="100A341D" w14:textId="77777777" w:rsidTr="00EE2C40">
        <w:trPr>
          <w:trHeight w:val="272"/>
        </w:trPr>
        <w:tc>
          <w:tcPr>
            <w:tcW w:w="3969" w:type="dxa"/>
            <w:tcBorders>
              <w:top w:val="single" w:sz="4" w:space="0" w:color="auto"/>
              <w:bottom w:val="single" w:sz="4" w:space="0" w:color="auto"/>
            </w:tcBorders>
            <w:vAlign w:val="bottom"/>
          </w:tcPr>
          <w:p w14:paraId="75700D9B" w14:textId="77777777" w:rsidR="00E760C2" w:rsidRPr="006A1863" w:rsidRDefault="00E760C2" w:rsidP="006A1863">
            <w:pPr>
              <w:spacing w:before="80" w:after="100" w:afterAutospacing="1"/>
              <w:ind w:left="0"/>
              <w:rPr>
                <w:rFonts w:eastAsiaTheme="minorHAnsi" w:cs="Arial"/>
                <w:bCs/>
                <w:sz w:val="18"/>
                <w:szCs w:val="18"/>
              </w:rPr>
            </w:pPr>
            <w:r w:rsidRPr="006A1863">
              <w:rPr>
                <w:rFonts w:cs="Arial"/>
                <w:bCs/>
                <w:sz w:val="18"/>
                <w:szCs w:val="18"/>
              </w:rPr>
              <w:t>Adjusted R</w:t>
            </w:r>
            <w:r w:rsidRPr="006A1863">
              <w:rPr>
                <w:rFonts w:cs="Arial"/>
                <w:bCs/>
                <w:sz w:val="18"/>
                <w:szCs w:val="18"/>
                <w:vertAlign w:val="superscript"/>
              </w:rPr>
              <w:t>2</w:t>
            </w:r>
          </w:p>
        </w:tc>
        <w:tc>
          <w:tcPr>
            <w:tcW w:w="1985" w:type="dxa"/>
            <w:tcBorders>
              <w:top w:val="single" w:sz="4" w:space="0" w:color="auto"/>
              <w:bottom w:val="single" w:sz="4" w:space="0" w:color="auto"/>
            </w:tcBorders>
            <w:vAlign w:val="bottom"/>
          </w:tcPr>
          <w:p w14:paraId="66C6F8FB" w14:textId="77777777" w:rsidR="00E760C2" w:rsidRPr="006A1863" w:rsidRDefault="00E760C2" w:rsidP="006A1863">
            <w:pPr>
              <w:spacing w:before="80" w:after="100" w:afterAutospacing="1"/>
              <w:ind w:left="34"/>
              <w:jc w:val="center"/>
              <w:rPr>
                <w:rFonts w:eastAsiaTheme="minorHAnsi" w:cs="Arial"/>
                <w:bCs/>
                <w:sz w:val="18"/>
                <w:szCs w:val="18"/>
              </w:rPr>
            </w:pPr>
            <w:r w:rsidRPr="006A1863">
              <w:rPr>
                <w:rFonts w:eastAsiaTheme="minorHAnsi" w:cs="Arial"/>
                <w:bCs/>
                <w:sz w:val="18"/>
                <w:szCs w:val="18"/>
              </w:rPr>
              <w:t>0.2936</w:t>
            </w:r>
          </w:p>
        </w:tc>
        <w:tc>
          <w:tcPr>
            <w:tcW w:w="1748" w:type="dxa"/>
            <w:tcBorders>
              <w:top w:val="single" w:sz="4" w:space="0" w:color="auto"/>
              <w:bottom w:val="single" w:sz="4" w:space="0" w:color="auto"/>
            </w:tcBorders>
            <w:vAlign w:val="bottom"/>
          </w:tcPr>
          <w:p w14:paraId="7A4A90D1" w14:textId="77777777" w:rsidR="00E760C2" w:rsidRPr="006A1863" w:rsidRDefault="00E760C2" w:rsidP="006A1863">
            <w:pPr>
              <w:spacing w:before="80" w:after="100" w:afterAutospacing="1"/>
              <w:ind w:left="34"/>
              <w:jc w:val="center"/>
              <w:rPr>
                <w:rFonts w:eastAsiaTheme="minorHAnsi" w:cs="Arial"/>
                <w:bCs/>
                <w:sz w:val="18"/>
                <w:szCs w:val="18"/>
              </w:rPr>
            </w:pPr>
            <w:r w:rsidRPr="006A1863">
              <w:rPr>
                <w:rFonts w:eastAsiaTheme="minorHAnsi" w:cs="Arial"/>
                <w:bCs/>
                <w:sz w:val="18"/>
                <w:szCs w:val="18"/>
              </w:rPr>
              <w:t>0.6758</w:t>
            </w:r>
          </w:p>
        </w:tc>
        <w:tc>
          <w:tcPr>
            <w:tcW w:w="1796" w:type="dxa"/>
            <w:tcBorders>
              <w:top w:val="single" w:sz="4" w:space="0" w:color="auto"/>
              <w:bottom w:val="single" w:sz="4" w:space="0" w:color="auto"/>
            </w:tcBorders>
            <w:vAlign w:val="bottom"/>
          </w:tcPr>
          <w:p w14:paraId="19A2A7C0" w14:textId="77777777" w:rsidR="00E760C2" w:rsidRPr="006A1863" w:rsidRDefault="00E760C2" w:rsidP="006A1863">
            <w:pPr>
              <w:spacing w:before="80" w:after="100" w:afterAutospacing="1"/>
              <w:ind w:left="34"/>
              <w:jc w:val="center"/>
              <w:rPr>
                <w:rFonts w:eastAsiaTheme="minorHAnsi" w:cs="Arial"/>
                <w:bCs/>
                <w:sz w:val="18"/>
                <w:szCs w:val="18"/>
              </w:rPr>
            </w:pPr>
            <w:r w:rsidRPr="006A1863">
              <w:rPr>
                <w:rFonts w:eastAsiaTheme="minorHAnsi" w:cs="Arial"/>
                <w:bCs/>
                <w:sz w:val="18"/>
                <w:szCs w:val="18"/>
              </w:rPr>
              <w:t>0.1383</w:t>
            </w:r>
          </w:p>
        </w:tc>
      </w:tr>
    </w:tbl>
    <w:p w14:paraId="727DFB53"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61ADABCB" w14:textId="77777777" w:rsidR="00E760C2" w:rsidRPr="009548FC" w:rsidRDefault="00E760C2" w:rsidP="00E760C2">
      <w:pPr>
        <w:pStyle w:val="Heading3Numbered"/>
        <w:rPr>
          <w:rFonts w:eastAsia="Calibri"/>
        </w:rPr>
      </w:pPr>
      <w:bookmarkStart w:id="57" w:name="_Toc467569605"/>
      <w:r w:rsidRPr="009548FC">
        <w:rPr>
          <w:rFonts w:eastAsia="Calibri"/>
        </w:rPr>
        <w:t>Panel data models – creative firms</w:t>
      </w:r>
      <w:bookmarkEnd w:id="57"/>
    </w:p>
    <w:p w14:paraId="3ED84AFF" w14:textId="0BF8C10E" w:rsidR="00E760C2" w:rsidRPr="009548FC" w:rsidRDefault="00E760C2" w:rsidP="00E760C2">
      <w:pPr>
        <w:rPr>
          <w:rFonts w:eastAsia="Calibri" w:cs="Arial"/>
          <w:szCs w:val="22"/>
        </w:rPr>
      </w:pPr>
      <w:r w:rsidRPr="009548FC">
        <w:rPr>
          <w:rFonts w:eastAsia="Calibri" w:cs="Arial"/>
          <w:szCs w:val="22"/>
        </w:rPr>
        <w:t xml:space="preserve">The </w:t>
      </w:r>
      <w:r w:rsidR="00320F1B">
        <w:rPr>
          <w:rFonts w:eastAsia="Calibri" w:cs="Arial"/>
          <w:szCs w:val="22"/>
        </w:rPr>
        <w:t>relationships</w:t>
      </w:r>
      <w:r w:rsidR="00320F1B" w:rsidRPr="009548FC">
        <w:rPr>
          <w:rFonts w:eastAsia="Calibri" w:cs="Arial"/>
          <w:szCs w:val="22"/>
        </w:rPr>
        <w:t xml:space="preserve"> </w:t>
      </w:r>
      <w:r w:rsidRPr="009548FC">
        <w:rPr>
          <w:rFonts w:eastAsia="Calibri" w:cs="Arial"/>
          <w:szCs w:val="22"/>
        </w:rPr>
        <w:t xml:space="preserve">between CS&amp;H investment and the location quotient </w:t>
      </w:r>
      <w:r w:rsidR="002D2364">
        <w:rPr>
          <w:rFonts w:eastAsia="Calibri" w:cs="Arial"/>
          <w:szCs w:val="22"/>
        </w:rPr>
        <w:t xml:space="preserve">of </w:t>
      </w:r>
      <w:r w:rsidRPr="009548FC">
        <w:rPr>
          <w:rFonts w:eastAsia="Calibri" w:cs="Arial"/>
          <w:szCs w:val="22"/>
        </w:rPr>
        <w:t xml:space="preserve">creative firms is presented in </w:t>
      </w:r>
      <w:r w:rsidRPr="00E760C2">
        <w:rPr>
          <w:rFonts w:eastAsia="Calibri" w:cs="Arial"/>
          <w:szCs w:val="22"/>
        </w:rPr>
        <w:fldChar w:fldCharType="begin"/>
      </w:r>
      <w:r w:rsidRPr="009548FC">
        <w:rPr>
          <w:rFonts w:eastAsia="Calibri" w:cs="Arial"/>
          <w:szCs w:val="22"/>
        </w:rPr>
        <w:instrText xml:space="preserve"> REF _Ref450039772 \h </w:instrText>
      </w:r>
      <w:r w:rsidRPr="00E760C2">
        <w:rPr>
          <w:rFonts w:eastAsia="Calibri" w:cs="Arial"/>
          <w:szCs w:val="22"/>
        </w:rPr>
        <w:instrText xml:space="preserve"> \* MERGEFORMAT </w:instrText>
      </w:r>
      <w:r w:rsidRPr="00E760C2">
        <w:rPr>
          <w:rFonts w:eastAsia="Calibri" w:cs="Arial"/>
          <w:szCs w:val="22"/>
        </w:rPr>
      </w:r>
      <w:r w:rsidRPr="00E760C2">
        <w:rPr>
          <w:rFonts w:eastAsia="Calibri" w:cs="Arial"/>
          <w:szCs w:val="22"/>
        </w:rPr>
        <w:fldChar w:fldCharType="separate"/>
      </w:r>
      <w:r w:rsidR="00F0636B" w:rsidRPr="00F0636B">
        <w:rPr>
          <w:rFonts w:cs="Arial"/>
        </w:rPr>
        <w:t xml:space="preserve">Table </w:t>
      </w:r>
      <w:r w:rsidR="00F0636B" w:rsidRPr="00F0636B">
        <w:rPr>
          <w:rFonts w:cs="Arial"/>
          <w:noProof/>
        </w:rPr>
        <w:t>5</w:t>
      </w:r>
      <w:r w:rsidRPr="00E760C2">
        <w:rPr>
          <w:rFonts w:eastAsia="Calibri" w:cs="Arial"/>
          <w:szCs w:val="22"/>
        </w:rPr>
        <w:fldChar w:fldCharType="end"/>
      </w:r>
      <w:r w:rsidRPr="009548FC">
        <w:rPr>
          <w:rFonts w:eastAsia="Calibri" w:cs="Arial"/>
          <w:szCs w:val="22"/>
        </w:rPr>
        <w:t xml:space="preserve">. Results are encouraging: when </w:t>
      </w:r>
      <w:r w:rsidRPr="009A43FB">
        <w:rPr>
          <w:rFonts w:eastAsia="Calibri" w:cs="Arial"/>
          <w:szCs w:val="22"/>
        </w:rPr>
        <w:t xml:space="preserve">controlling for time invariant effects across </w:t>
      </w:r>
      <w:r w:rsidRPr="00873DB7">
        <w:rPr>
          <w:rFonts w:eastAsia="Calibri" w:cs="Arial"/>
          <w:szCs w:val="22"/>
        </w:rPr>
        <w:t>local authorities</w:t>
      </w:r>
      <w:r w:rsidR="00320F1B">
        <w:rPr>
          <w:rFonts w:eastAsia="Calibri" w:cs="Arial"/>
          <w:szCs w:val="22"/>
        </w:rPr>
        <w:t>. P</w:t>
      </w:r>
      <w:r w:rsidRPr="00873DB7">
        <w:rPr>
          <w:rFonts w:eastAsia="Calibri" w:cs="Arial"/>
          <w:szCs w:val="22"/>
        </w:rPr>
        <w:t xml:space="preserve">er capita investment in CS&amp;H is strongly and positively associated with the relative concentration of creative firms, </w:t>
      </w:r>
      <w:r w:rsidRPr="009548FC">
        <w:rPr>
          <w:rFonts w:eastAsia="Calibri" w:cs="Arial"/>
          <w:szCs w:val="22"/>
        </w:rPr>
        <w:t>both within and outwith major urban centres. Lagged investment per capita is not significant, but two year lagged investment per capita in CS&amp;H is also strongly associated with the location quotient of creative firms. The employment rate is negatively and significantly associated</w:t>
      </w:r>
      <w:r w:rsidR="00320F1B" w:rsidRPr="00320F1B">
        <w:rPr>
          <w:rFonts w:eastAsia="Calibri" w:cs="Arial"/>
          <w:szCs w:val="22"/>
        </w:rPr>
        <w:t xml:space="preserve"> </w:t>
      </w:r>
      <w:r w:rsidR="00320F1B" w:rsidRPr="009548FC">
        <w:rPr>
          <w:rFonts w:eastAsia="Calibri" w:cs="Arial"/>
          <w:szCs w:val="22"/>
        </w:rPr>
        <w:t>with the location quotient of creative firms</w:t>
      </w:r>
      <w:r w:rsidRPr="009548FC">
        <w:rPr>
          <w:rFonts w:eastAsia="Calibri" w:cs="Arial"/>
          <w:szCs w:val="22"/>
        </w:rPr>
        <w:t xml:space="preserve"> in urban centres and outwith</w:t>
      </w:r>
      <w:r w:rsidR="00320F1B">
        <w:rPr>
          <w:rFonts w:eastAsia="Calibri" w:cs="Arial"/>
          <w:szCs w:val="22"/>
        </w:rPr>
        <w:t>,</w:t>
      </w:r>
      <w:r w:rsidRPr="009548FC">
        <w:rPr>
          <w:rFonts w:eastAsia="Calibri" w:cs="Arial"/>
          <w:szCs w:val="22"/>
        </w:rPr>
        <w:t xml:space="preserve"> which indicates that the relationships observed are not simply a reflection of urban agglomeration effects.</w:t>
      </w:r>
    </w:p>
    <w:p w14:paraId="3634C596" w14:textId="77777777" w:rsidR="00F87951" w:rsidRPr="009548FC" w:rsidRDefault="00F87951" w:rsidP="00E760C2">
      <w:pPr>
        <w:widowControl w:val="0"/>
        <w:autoSpaceDE w:val="0"/>
        <w:autoSpaceDN w:val="0"/>
        <w:adjustRightInd w:val="0"/>
        <w:spacing w:before="0" w:after="120" w:line="276" w:lineRule="auto"/>
        <w:ind w:left="1134"/>
        <w:contextualSpacing/>
        <w:rPr>
          <w:rFonts w:eastAsia="Calibri" w:cs="Arial"/>
          <w:szCs w:val="22"/>
        </w:rPr>
      </w:pPr>
    </w:p>
    <w:p w14:paraId="426E8A61" w14:textId="6112FBB1" w:rsidR="00E760C2" w:rsidRPr="009548FC" w:rsidRDefault="00E760C2" w:rsidP="00E760C2">
      <w:pPr>
        <w:pStyle w:val="Caption"/>
      </w:pPr>
      <w:bookmarkStart w:id="58" w:name="_Ref450039772"/>
      <w:bookmarkStart w:id="59" w:name="_Toc467569660"/>
      <w:r w:rsidRPr="009548FC">
        <w:t xml:space="preserve">Table </w:t>
      </w:r>
      <w:r w:rsidRPr="00982C4F">
        <w:fldChar w:fldCharType="begin"/>
      </w:r>
      <w:r w:rsidRPr="009548FC">
        <w:instrText xml:space="preserve"> SEQ Table \* ARABIC </w:instrText>
      </w:r>
      <w:r w:rsidRPr="00982C4F">
        <w:fldChar w:fldCharType="separate"/>
      </w:r>
      <w:r w:rsidR="00F0636B">
        <w:rPr>
          <w:noProof/>
        </w:rPr>
        <w:t>5</w:t>
      </w:r>
      <w:r w:rsidRPr="00982C4F">
        <w:rPr>
          <w:noProof/>
        </w:rPr>
        <w:fldChar w:fldCharType="end"/>
      </w:r>
      <w:bookmarkEnd w:id="58"/>
      <w:r w:rsidRPr="009548FC">
        <w:t>: CS&amp;H investment and the location quotient of creative firms</w:t>
      </w:r>
      <w:bookmarkEnd w:id="59"/>
    </w:p>
    <w:tbl>
      <w:tblPr>
        <w:tblStyle w:val="LightList-Accent42"/>
        <w:tblW w:w="9434"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716"/>
        <w:gridCol w:w="2083"/>
        <w:gridCol w:w="2635"/>
      </w:tblGrid>
      <w:tr w:rsidR="00E760C2" w:rsidRPr="009548FC" w14:paraId="0DBC18A5" w14:textId="77777777" w:rsidTr="00753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6" w:type="dxa"/>
            <w:tcBorders>
              <w:top w:val="single" w:sz="4" w:space="0" w:color="auto"/>
              <w:bottom w:val="single" w:sz="4" w:space="0" w:color="auto"/>
            </w:tcBorders>
            <w:shd w:val="clear" w:color="auto" w:fill="auto"/>
          </w:tcPr>
          <w:p w14:paraId="25BF866E" w14:textId="77777777" w:rsidR="00E760C2" w:rsidRPr="009548FC" w:rsidRDefault="00E760C2" w:rsidP="00753A00">
            <w:pPr>
              <w:spacing w:before="0"/>
              <w:ind w:left="0"/>
              <w:rPr>
                <w:rFonts w:cs="Arial"/>
                <w:color w:val="000000" w:themeColor="text1"/>
                <w:sz w:val="18"/>
                <w:szCs w:val="18"/>
              </w:rPr>
            </w:pPr>
          </w:p>
        </w:tc>
        <w:tc>
          <w:tcPr>
            <w:tcW w:w="2083" w:type="dxa"/>
            <w:tcBorders>
              <w:top w:val="single" w:sz="4" w:space="0" w:color="auto"/>
              <w:bottom w:val="single" w:sz="4" w:space="0" w:color="auto"/>
            </w:tcBorders>
            <w:shd w:val="clear" w:color="auto" w:fill="auto"/>
          </w:tcPr>
          <w:p w14:paraId="3F94DF9C" w14:textId="77777777" w:rsidR="00E760C2" w:rsidRPr="009548FC"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Major urban centres</w:t>
            </w:r>
          </w:p>
        </w:tc>
        <w:tc>
          <w:tcPr>
            <w:tcW w:w="2635" w:type="dxa"/>
            <w:tcBorders>
              <w:top w:val="single" w:sz="4" w:space="0" w:color="auto"/>
              <w:bottom w:val="single" w:sz="4" w:space="0" w:color="auto"/>
            </w:tcBorders>
            <w:shd w:val="clear" w:color="auto" w:fill="auto"/>
          </w:tcPr>
          <w:p w14:paraId="4D533F9C" w14:textId="77777777" w:rsidR="00E760C2" w:rsidRPr="009548FC"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Non major urban centres</w:t>
            </w:r>
          </w:p>
        </w:tc>
      </w:tr>
      <w:tr w:rsidR="003F0EF7" w:rsidRPr="009548FC" w14:paraId="11D16CAA" w14:textId="77777777" w:rsidTr="006A186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16" w:type="dxa"/>
            <w:tcBorders>
              <w:top w:val="single" w:sz="4" w:space="0" w:color="auto"/>
              <w:left w:val="none" w:sz="0" w:space="0" w:color="auto"/>
              <w:bottom w:val="none" w:sz="0" w:space="0" w:color="auto"/>
            </w:tcBorders>
            <w:shd w:val="clear" w:color="auto" w:fill="auto"/>
            <w:vAlign w:val="bottom"/>
          </w:tcPr>
          <w:p w14:paraId="040A24AC"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Investment per capita in CS&amp;H</w:t>
            </w:r>
          </w:p>
        </w:tc>
        <w:tc>
          <w:tcPr>
            <w:tcW w:w="2083" w:type="dxa"/>
            <w:tcBorders>
              <w:top w:val="single" w:sz="4" w:space="0" w:color="auto"/>
              <w:bottom w:val="none" w:sz="0" w:space="0" w:color="auto"/>
            </w:tcBorders>
            <w:shd w:val="clear" w:color="auto" w:fill="auto"/>
            <w:vAlign w:val="bottom"/>
          </w:tcPr>
          <w:p w14:paraId="142D8CD7" w14:textId="304EABB0"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0.025</w:t>
            </w:r>
            <w:r w:rsidRPr="009548FC">
              <w:rPr>
                <w:rFonts w:cs="Arial"/>
                <w:color w:val="000000" w:themeColor="text1"/>
                <w:sz w:val="18"/>
                <w:szCs w:val="18"/>
              </w:rPr>
              <w:t>***</w:t>
            </w:r>
          </w:p>
        </w:tc>
        <w:tc>
          <w:tcPr>
            <w:tcW w:w="2635" w:type="dxa"/>
            <w:tcBorders>
              <w:top w:val="single" w:sz="4" w:space="0" w:color="auto"/>
              <w:bottom w:val="none" w:sz="0" w:space="0" w:color="auto"/>
              <w:right w:val="none" w:sz="0" w:space="0" w:color="auto"/>
            </w:tcBorders>
            <w:shd w:val="clear" w:color="auto" w:fill="auto"/>
            <w:vAlign w:val="bottom"/>
          </w:tcPr>
          <w:p w14:paraId="3280C9FB" w14:textId="551D587A"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0.022</w:t>
            </w:r>
            <w:r w:rsidRPr="009548FC">
              <w:rPr>
                <w:rFonts w:cs="Arial"/>
                <w:color w:val="000000" w:themeColor="text1"/>
                <w:sz w:val="18"/>
                <w:szCs w:val="18"/>
              </w:rPr>
              <w:t>***</w:t>
            </w:r>
          </w:p>
        </w:tc>
      </w:tr>
      <w:tr w:rsidR="003F0EF7" w:rsidRPr="009548FC" w14:paraId="3A3482F4" w14:textId="77777777" w:rsidTr="006A1863">
        <w:trPr>
          <w:trHeight w:val="284"/>
          <w:jc w:val="center"/>
        </w:trPr>
        <w:tc>
          <w:tcPr>
            <w:cnfStyle w:val="001000000000" w:firstRow="0" w:lastRow="0" w:firstColumn="1" w:lastColumn="0" w:oddVBand="0" w:evenVBand="0" w:oddHBand="0" w:evenHBand="0" w:firstRowFirstColumn="0" w:firstRowLastColumn="0" w:lastRowFirstColumn="0" w:lastRowLastColumn="0"/>
            <w:tcW w:w="4716" w:type="dxa"/>
            <w:shd w:val="clear" w:color="auto" w:fill="auto"/>
            <w:vAlign w:val="bottom"/>
          </w:tcPr>
          <w:p w14:paraId="2A427E5D"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Lagged per capita investment in CS&amp;H</w:t>
            </w:r>
          </w:p>
        </w:tc>
        <w:tc>
          <w:tcPr>
            <w:tcW w:w="2083" w:type="dxa"/>
            <w:shd w:val="clear" w:color="auto" w:fill="auto"/>
            <w:vAlign w:val="bottom"/>
          </w:tcPr>
          <w:p w14:paraId="53F68FFF" w14:textId="61D81C7B"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-0.000</w:t>
            </w:r>
          </w:p>
        </w:tc>
        <w:tc>
          <w:tcPr>
            <w:tcW w:w="2635" w:type="dxa"/>
            <w:shd w:val="clear" w:color="auto" w:fill="auto"/>
            <w:vAlign w:val="bottom"/>
          </w:tcPr>
          <w:p w14:paraId="34FF1E27" w14:textId="3AC9848F"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0.000</w:t>
            </w:r>
          </w:p>
        </w:tc>
      </w:tr>
      <w:tr w:rsidR="003F0EF7" w:rsidRPr="009548FC" w14:paraId="3920CFA5" w14:textId="77777777" w:rsidTr="006A186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16" w:type="dxa"/>
            <w:tcBorders>
              <w:top w:val="none" w:sz="0" w:space="0" w:color="auto"/>
              <w:left w:val="none" w:sz="0" w:space="0" w:color="auto"/>
              <w:bottom w:val="none" w:sz="0" w:space="0" w:color="auto"/>
            </w:tcBorders>
            <w:shd w:val="clear" w:color="auto" w:fill="auto"/>
            <w:vAlign w:val="bottom"/>
          </w:tcPr>
          <w:p w14:paraId="0B909ABE" w14:textId="211C3FA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2-year lagged investment per capita in CS&amp;H</w:t>
            </w:r>
          </w:p>
        </w:tc>
        <w:tc>
          <w:tcPr>
            <w:tcW w:w="2083" w:type="dxa"/>
            <w:tcBorders>
              <w:top w:val="none" w:sz="0" w:space="0" w:color="auto"/>
              <w:bottom w:val="none" w:sz="0" w:space="0" w:color="auto"/>
            </w:tcBorders>
            <w:shd w:val="clear" w:color="auto" w:fill="auto"/>
            <w:vAlign w:val="bottom"/>
          </w:tcPr>
          <w:p w14:paraId="458D252B" w14:textId="5FEF2EAD"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0.367</w:t>
            </w:r>
            <w:r w:rsidRPr="009548FC">
              <w:rPr>
                <w:rFonts w:cs="Arial"/>
                <w:color w:val="000000" w:themeColor="text1"/>
                <w:sz w:val="18"/>
                <w:szCs w:val="18"/>
              </w:rPr>
              <w:t>***</w:t>
            </w:r>
          </w:p>
        </w:tc>
        <w:tc>
          <w:tcPr>
            <w:tcW w:w="2635" w:type="dxa"/>
            <w:tcBorders>
              <w:top w:val="none" w:sz="0" w:space="0" w:color="auto"/>
              <w:bottom w:val="none" w:sz="0" w:space="0" w:color="auto"/>
              <w:right w:val="none" w:sz="0" w:space="0" w:color="auto"/>
            </w:tcBorders>
            <w:shd w:val="clear" w:color="auto" w:fill="auto"/>
            <w:vAlign w:val="bottom"/>
          </w:tcPr>
          <w:p w14:paraId="52D7BAA9" w14:textId="75DE7CAF"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0.412</w:t>
            </w:r>
            <w:r w:rsidRPr="009548FC">
              <w:rPr>
                <w:rFonts w:cs="Arial"/>
                <w:color w:val="000000" w:themeColor="text1"/>
                <w:sz w:val="18"/>
                <w:szCs w:val="18"/>
              </w:rPr>
              <w:t>***</w:t>
            </w:r>
          </w:p>
        </w:tc>
      </w:tr>
      <w:tr w:rsidR="003F0EF7" w:rsidRPr="009548FC" w14:paraId="14523EE3" w14:textId="77777777" w:rsidTr="006A1863">
        <w:trPr>
          <w:trHeight w:val="284"/>
          <w:jc w:val="center"/>
        </w:trPr>
        <w:tc>
          <w:tcPr>
            <w:cnfStyle w:val="001000000000" w:firstRow="0" w:lastRow="0" w:firstColumn="1" w:lastColumn="0" w:oddVBand="0" w:evenVBand="0" w:oddHBand="0" w:evenHBand="0" w:firstRowFirstColumn="0" w:firstRowLastColumn="0" w:lastRowFirstColumn="0" w:lastRowLastColumn="0"/>
            <w:tcW w:w="4716" w:type="dxa"/>
            <w:shd w:val="clear" w:color="auto" w:fill="auto"/>
            <w:vAlign w:val="bottom"/>
          </w:tcPr>
          <w:p w14:paraId="73604C0F"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Competitiveness</w:t>
            </w:r>
          </w:p>
        </w:tc>
        <w:tc>
          <w:tcPr>
            <w:tcW w:w="2083" w:type="dxa"/>
            <w:shd w:val="clear" w:color="auto" w:fill="auto"/>
            <w:vAlign w:val="bottom"/>
          </w:tcPr>
          <w:p w14:paraId="5052D6EE" w14:textId="73623D9B"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0.299</w:t>
            </w:r>
          </w:p>
        </w:tc>
        <w:tc>
          <w:tcPr>
            <w:tcW w:w="2635" w:type="dxa"/>
            <w:shd w:val="clear" w:color="auto" w:fill="auto"/>
            <w:vAlign w:val="bottom"/>
          </w:tcPr>
          <w:p w14:paraId="150C4F7E" w14:textId="1AE26337"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0.543</w:t>
            </w:r>
          </w:p>
        </w:tc>
      </w:tr>
      <w:tr w:rsidR="003F0EF7" w:rsidRPr="009548FC" w14:paraId="3E09E1D3" w14:textId="77777777" w:rsidTr="006A186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16" w:type="dxa"/>
            <w:tcBorders>
              <w:bottom w:val="single" w:sz="4" w:space="0" w:color="auto"/>
            </w:tcBorders>
            <w:shd w:val="clear" w:color="auto" w:fill="auto"/>
            <w:vAlign w:val="bottom"/>
          </w:tcPr>
          <w:p w14:paraId="32434117"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Life satisfaction</w:t>
            </w:r>
          </w:p>
        </w:tc>
        <w:tc>
          <w:tcPr>
            <w:tcW w:w="2083" w:type="dxa"/>
            <w:tcBorders>
              <w:bottom w:val="single" w:sz="4" w:space="0" w:color="auto"/>
            </w:tcBorders>
            <w:shd w:val="clear" w:color="auto" w:fill="auto"/>
            <w:vAlign w:val="bottom"/>
          </w:tcPr>
          <w:p w14:paraId="5924D2CA" w14:textId="7A04EADA"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-0.012</w:t>
            </w:r>
          </w:p>
        </w:tc>
        <w:tc>
          <w:tcPr>
            <w:tcW w:w="2635" w:type="dxa"/>
            <w:tcBorders>
              <w:bottom w:val="single" w:sz="4" w:space="0" w:color="auto"/>
            </w:tcBorders>
            <w:shd w:val="clear" w:color="auto" w:fill="auto"/>
            <w:vAlign w:val="bottom"/>
          </w:tcPr>
          <w:p w14:paraId="74B77B80" w14:textId="29B29E0A"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-0.00</w:t>
            </w:r>
            <w:r>
              <w:rPr>
                <w:rFonts w:cs="Arial"/>
                <w:color w:val="000000" w:themeColor="text1"/>
                <w:sz w:val="18"/>
                <w:szCs w:val="18"/>
              </w:rPr>
              <w:t>1</w:t>
            </w:r>
          </w:p>
        </w:tc>
      </w:tr>
      <w:tr w:rsidR="003F0EF7" w:rsidRPr="009548FC" w14:paraId="223CA06E" w14:textId="77777777" w:rsidTr="006A1863">
        <w:trPr>
          <w:trHeight w:val="284"/>
          <w:jc w:val="center"/>
        </w:trPr>
        <w:tc>
          <w:tcPr>
            <w:cnfStyle w:val="001000000000" w:firstRow="0" w:lastRow="0" w:firstColumn="1" w:lastColumn="0" w:oddVBand="0" w:evenVBand="0" w:oddHBand="0" w:evenHBand="0" w:firstRowFirstColumn="0" w:firstRowLastColumn="0" w:lastRowFirstColumn="0" w:lastRowLastColumn="0"/>
            <w:tcW w:w="4716" w:type="dxa"/>
            <w:tcBorders>
              <w:top w:val="single" w:sz="4" w:space="0" w:color="auto"/>
            </w:tcBorders>
            <w:shd w:val="clear" w:color="auto" w:fill="auto"/>
            <w:vAlign w:val="bottom"/>
          </w:tcPr>
          <w:p w14:paraId="1C292D1A"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Adjusted R²</w:t>
            </w:r>
          </w:p>
        </w:tc>
        <w:tc>
          <w:tcPr>
            <w:tcW w:w="2083" w:type="dxa"/>
            <w:tcBorders>
              <w:top w:val="single" w:sz="4" w:space="0" w:color="auto"/>
            </w:tcBorders>
            <w:shd w:val="clear" w:color="auto" w:fill="auto"/>
            <w:vAlign w:val="bottom"/>
          </w:tcPr>
          <w:p w14:paraId="72B402ED" w14:textId="4465AE63"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0.0343</w:t>
            </w:r>
          </w:p>
        </w:tc>
        <w:tc>
          <w:tcPr>
            <w:tcW w:w="2635" w:type="dxa"/>
            <w:tcBorders>
              <w:top w:val="single" w:sz="4" w:space="0" w:color="auto"/>
            </w:tcBorders>
            <w:shd w:val="clear" w:color="auto" w:fill="auto"/>
            <w:vAlign w:val="bottom"/>
          </w:tcPr>
          <w:p w14:paraId="7EE13F0C" w14:textId="0BDFF41E"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0.0234</w:t>
            </w:r>
          </w:p>
        </w:tc>
      </w:tr>
    </w:tbl>
    <w:p w14:paraId="0AE35330"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4DFB06E4" w14:textId="77777777" w:rsidR="00E760C2" w:rsidRPr="009548FC" w:rsidRDefault="00E760C2" w:rsidP="00E760C2">
      <w:pPr>
        <w:rPr>
          <w:rFonts w:eastAsia="Calibri"/>
        </w:rPr>
      </w:pPr>
    </w:p>
    <w:p w14:paraId="32444A58" w14:textId="368412BC" w:rsidR="00E760C2" w:rsidRPr="00873DB7" w:rsidRDefault="00E760C2" w:rsidP="00E760C2">
      <w:pPr>
        <w:rPr>
          <w:rFonts w:eastAsia="Calibri" w:cs="Arial"/>
          <w:szCs w:val="22"/>
        </w:rPr>
      </w:pPr>
      <w:r w:rsidRPr="009548FC">
        <w:rPr>
          <w:rFonts w:eastAsia="Calibri" w:cs="Arial"/>
          <w:szCs w:val="22"/>
        </w:rPr>
        <w:t xml:space="preserve">As can be seen in </w:t>
      </w:r>
      <w:r w:rsidRPr="009A43FB">
        <w:rPr>
          <w:rFonts w:eastAsia="Calibri" w:cs="Arial"/>
          <w:szCs w:val="22"/>
        </w:rPr>
        <w:fldChar w:fldCharType="begin"/>
      </w:r>
      <w:r w:rsidRPr="009548FC">
        <w:rPr>
          <w:rFonts w:eastAsia="Calibri" w:cs="Arial"/>
          <w:szCs w:val="22"/>
        </w:rPr>
        <w:instrText xml:space="preserve"> REF _Ref450039813 \h  \* MERGEFORMAT </w:instrText>
      </w:r>
      <w:r w:rsidRPr="009A43FB">
        <w:rPr>
          <w:rFonts w:eastAsia="Calibri" w:cs="Arial"/>
          <w:szCs w:val="22"/>
        </w:rPr>
      </w:r>
      <w:r w:rsidRPr="009A43FB">
        <w:rPr>
          <w:rFonts w:eastAsia="Calibri" w:cs="Arial"/>
          <w:szCs w:val="22"/>
        </w:rPr>
        <w:fldChar w:fldCharType="separate"/>
      </w:r>
      <w:r w:rsidR="00F0636B" w:rsidRPr="00F0636B">
        <w:rPr>
          <w:rFonts w:cs="Arial"/>
        </w:rPr>
        <w:t xml:space="preserve">Table </w:t>
      </w:r>
      <w:r w:rsidR="00F0636B" w:rsidRPr="00F0636B">
        <w:rPr>
          <w:rFonts w:cs="Arial"/>
          <w:noProof/>
        </w:rPr>
        <w:t>6</w:t>
      </w:r>
      <w:r w:rsidRPr="009A43FB">
        <w:rPr>
          <w:rFonts w:eastAsia="Calibri" w:cs="Arial"/>
          <w:szCs w:val="22"/>
        </w:rPr>
        <w:fldChar w:fldCharType="end"/>
      </w:r>
      <w:r w:rsidRPr="00873DB7">
        <w:rPr>
          <w:rFonts w:eastAsia="Calibri" w:cs="Arial"/>
          <w:szCs w:val="22"/>
        </w:rPr>
        <w:t>, there were no significant results for CS&amp;H investment and net migration of creative firms.</w:t>
      </w:r>
    </w:p>
    <w:p w14:paraId="00E4F2EE" w14:textId="77777777" w:rsidR="00E760C2" w:rsidRPr="009548FC" w:rsidRDefault="00E760C2" w:rsidP="00E760C2">
      <w:pPr>
        <w:rPr>
          <w:rFonts w:eastAsia="Calibri" w:cs="Arial"/>
          <w:szCs w:val="22"/>
        </w:rPr>
      </w:pPr>
    </w:p>
    <w:p w14:paraId="6A484995" w14:textId="03CF7F5B" w:rsidR="00E760C2" w:rsidRPr="00E760C2" w:rsidRDefault="00E760C2" w:rsidP="00E760C2">
      <w:pPr>
        <w:pStyle w:val="Caption"/>
        <w:rPr>
          <w:rFonts w:eastAsia="Calibri"/>
          <w:szCs w:val="22"/>
        </w:rPr>
      </w:pPr>
      <w:bookmarkStart w:id="60" w:name="_Ref450039813"/>
      <w:bookmarkStart w:id="61" w:name="_Toc467569661"/>
      <w:r w:rsidRPr="009548FC">
        <w:t xml:space="preserve">Table </w:t>
      </w:r>
      <w:r w:rsidRPr="00982C4F">
        <w:fldChar w:fldCharType="begin"/>
      </w:r>
      <w:r w:rsidRPr="009548FC">
        <w:instrText xml:space="preserve"> SEQ Table \* ARABIC </w:instrText>
      </w:r>
      <w:r w:rsidRPr="00982C4F">
        <w:fldChar w:fldCharType="separate"/>
      </w:r>
      <w:r w:rsidR="00F0636B">
        <w:rPr>
          <w:noProof/>
        </w:rPr>
        <w:t>6</w:t>
      </w:r>
      <w:r w:rsidRPr="00982C4F">
        <w:rPr>
          <w:noProof/>
        </w:rPr>
        <w:fldChar w:fldCharType="end"/>
      </w:r>
      <w:bookmarkEnd w:id="60"/>
      <w:r w:rsidRPr="009548FC">
        <w:t xml:space="preserve">: </w:t>
      </w:r>
      <w:r w:rsidRPr="009548FC">
        <w:rPr>
          <w:rFonts w:eastAsia="Calibri"/>
          <w:szCs w:val="22"/>
        </w:rPr>
        <w:t>CS&amp;H investment and net migration of creative firms</w:t>
      </w:r>
      <w:bookmarkEnd w:id="61"/>
    </w:p>
    <w:tbl>
      <w:tblPr>
        <w:tblStyle w:val="LightList-Accent42"/>
        <w:tblW w:w="9399"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641"/>
        <w:gridCol w:w="2206"/>
        <w:gridCol w:w="2552"/>
      </w:tblGrid>
      <w:tr w:rsidR="00E760C2" w:rsidRPr="009548FC" w14:paraId="6A306519" w14:textId="77777777" w:rsidTr="00753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1" w:type="dxa"/>
            <w:tcBorders>
              <w:top w:val="single" w:sz="4" w:space="0" w:color="auto"/>
              <w:bottom w:val="single" w:sz="4" w:space="0" w:color="auto"/>
            </w:tcBorders>
            <w:shd w:val="clear" w:color="auto" w:fill="auto"/>
          </w:tcPr>
          <w:p w14:paraId="723BD103" w14:textId="77777777" w:rsidR="00E760C2" w:rsidRPr="009548FC" w:rsidRDefault="00E760C2" w:rsidP="00753A00">
            <w:pPr>
              <w:spacing w:before="0"/>
              <w:ind w:left="0"/>
              <w:rPr>
                <w:rFonts w:cs="Arial"/>
                <w:color w:val="000000" w:themeColor="text1"/>
                <w:sz w:val="18"/>
                <w:szCs w:val="18"/>
              </w:rPr>
            </w:pPr>
          </w:p>
        </w:tc>
        <w:tc>
          <w:tcPr>
            <w:tcW w:w="2206" w:type="dxa"/>
            <w:tcBorders>
              <w:top w:val="single" w:sz="4" w:space="0" w:color="auto"/>
              <w:bottom w:val="single" w:sz="4" w:space="0" w:color="auto"/>
            </w:tcBorders>
            <w:shd w:val="clear" w:color="auto" w:fill="auto"/>
          </w:tcPr>
          <w:p w14:paraId="7BCE5D5E" w14:textId="77777777" w:rsidR="00E760C2" w:rsidRPr="009A43FB"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A43FB">
              <w:rPr>
                <w:rFonts w:cs="Arial"/>
                <w:color w:val="000000" w:themeColor="text1"/>
                <w:sz w:val="18"/>
                <w:szCs w:val="18"/>
              </w:rPr>
              <w:t>Major urban centres</w:t>
            </w:r>
          </w:p>
        </w:tc>
        <w:tc>
          <w:tcPr>
            <w:tcW w:w="2552" w:type="dxa"/>
            <w:tcBorders>
              <w:top w:val="single" w:sz="4" w:space="0" w:color="auto"/>
              <w:bottom w:val="single" w:sz="4" w:space="0" w:color="auto"/>
            </w:tcBorders>
            <w:shd w:val="clear" w:color="auto" w:fill="auto"/>
          </w:tcPr>
          <w:p w14:paraId="36E0D3F6" w14:textId="77777777" w:rsidR="00E760C2" w:rsidRPr="00873DB7"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873DB7">
              <w:rPr>
                <w:rFonts w:cs="Arial"/>
                <w:color w:val="000000" w:themeColor="text1"/>
                <w:sz w:val="18"/>
                <w:szCs w:val="18"/>
              </w:rPr>
              <w:t>Non major urban centres</w:t>
            </w:r>
          </w:p>
        </w:tc>
      </w:tr>
      <w:tr w:rsidR="003F0EF7" w:rsidRPr="009548FC" w14:paraId="02A5F0EB" w14:textId="77777777" w:rsidTr="006A186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641" w:type="dxa"/>
            <w:tcBorders>
              <w:top w:val="single" w:sz="4" w:space="0" w:color="auto"/>
              <w:left w:val="none" w:sz="0" w:space="0" w:color="auto"/>
              <w:bottom w:val="none" w:sz="0" w:space="0" w:color="auto"/>
            </w:tcBorders>
            <w:shd w:val="clear" w:color="auto" w:fill="auto"/>
            <w:vAlign w:val="bottom"/>
          </w:tcPr>
          <w:p w14:paraId="5DA35D07"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Investment per capita in CS&amp;H</w:t>
            </w:r>
          </w:p>
        </w:tc>
        <w:tc>
          <w:tcPr>
            <w:tcW w:w="2206" w:type="dxa"/>
            <w:tcBorders>
              <w:top w:val="single" w:sz="4" w:space="0" w:color="auto"/>
              <w:bottom w:val="none" w:sz="0" w:space="0" w:color="auto"/>
            </w:tcBorders>
            <w:shd w:val="clear" w:color="auto" w:fill="auto"/>
            <w:vAlign w:val="bottom"/>
          </w:tcPr>
          <w:p w14:paraId="5F34B36D" w14:textId="4A557D5B"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-0.002</w:t>
            </w:r>
          </w:p>
        </w:tc>
        <w:tc>
          <w:tcPr>
            <w:tcW w:w="2552" w:type="dxa"/>
            <w:tcBorders>
              <w:top w:val="single" w:sz="4" w:space="0" w:color="auto"/>
              <w:bottom w:val="none" w:sz="0" w:space="0" w:color="auto"/>
              <w:right w:val="none" w:sz="0" w:space="0" w:color="auto"/>
            </w:tcBorders>
            <w:shd w:val="clear" w:color="auto" w:fill="auto"/>
            <w:vAlign w:val="bottom"/>
          </w:tcPr>
          <w:p w14:paraId="03D44D4B" w14:textId="4CB6E7D8"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-0.012*</w:t>
            </w:r>
          </w:p>
        </w:tc>
      </w:tr>
      <w:tr w:rsidR="003F0EF7" w:rsidRPr="009548FC" w14:paraId="7634C973" w14:textId="77777777" w:rsidTr="006A1863">
        <w:trPr>
          <w:trHeight w:val="284"/>
          <w:jc w:val="center"/>
        </w:trPr>
        <w:tc>
          <w:tcPr>
            <w:cnfStyle w:val="001000000000" w:firstRow="0" w:lastRow="0" w:firstColumn="1" w:lastColumn="0" w:oddVBand="0" w:evenVBand="0" w:oddHBand="0" w:evenHBand="0" w:firstRowFirstColumn="0" w:firstRowLastColumn="0" w:lastRowFirstColumn="0" w:lastRowLastColumn="0"/>
            <w:tcW w:w="4641" w:type="dxa"/>
            <w:shd w:val="clear" w:color="auto" w:fill="auto"/>
            <w:vAlign w:val="bottom"/>
          </w:tcPr>
          <w:p w14:paraId="33182377"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Lagged per capita investment in CS&amp;H</w:t>
            </w:r>
          </w:p>
        </w:tc>
        <w:tc>
          <w:tcPr>
            <w:tcW w:w="2206" w:type="dxa"/>
            <w:shd w:val="clear" w:color="auto" w:fill="auto"/>
            <w:vAlign w:val="bottom"/>
          </w:tcPr>
          <w:p w14:paraId="401559A2" w14:textId="1FE936DE"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0.012</w:t>
            </w:r>
          </w:p>
        </w:tc>
        <w:tc>
          <w:tcPr>
            <w:tcW w:w="2552" w:type="dxa"/>
            <w:shd w:val="clear" w:color="auto" w:fill="auto"/>
            <w:vAlign w:val="bottom"/>
          </w:tcPr>
          <w:p w14:paraId="0E1C7EAF" w14:textId="50EA9D9E"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0.028</w:t>
            </w:r>
          </w:p>
        </w:tc>
      </w:tr>
      <w:tr w:rsidR="003F0EF7" w:rsidRPr="009548FC" w14:paraId="21A6AC89" w14:textId="77777777" w:rsidTr="006A186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641" w:type="dxa"/>
            <w:tcBorders>
              <w:top w:val="none" w:sz="0" w:space="0" w:color="auto"/>
              <w:left w:val="none" w:sz="0" w:space="0" w:color="auto"/>
              <w:bottom w:val="none" w:sz="0" w:space="0" w:color="auto"/>
            </w:tcBorders>
            <w:shd w:val="clear" w:color="auto" w:fill="auto"/>
            <w:vAlign w:val="bottom"/>
          </w:tcPr>
          <w:p w14:paraId="622144B9" w14:textId="7C28AF9D"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2-year lagged investment per capita in CS&amp;H</w:t>
            </w:r>
          </w:p>
        </w:tc>
        <w:tc>
          <w:tcPr>
            <w:tcW w:w="2206" w:type="dxa"/>
            <w:tcBorders>
              <w:top w:val="none" w:sz="0" w:space="0" w:color="auto"/>
              <w:bottom w:val="none" w:sz="0" w:space="0" w:color="auto"/>
            </w:tcBorders>
            <w:shd w:val="clear" w:color="auto" w:fill="auto"/>
            <w:vAlign w:val="bottom"/>
          </w:tcPr>
          <w:p w14:paraId="31566877" w14:textId="53AD8E5D"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-0.055</w:t>
            </w:r>
          </w:p>
        </w:tc>
        <w:tc>
          <w:tcPr>
            <w:tcW w:w="2552" w:type="dxa"/>
            <w:tcBorders>
              <w:top w:val="none" w:sz="0" w:space="0" w:color="auto"/>
              <w:bottom w:val="none" w:sz="0" w:space="0" w:color="auto"/>
              <w:right w:val="none" w:sz="0" w:space="0" w:color="auto"/>
            </w:tcBorders>
            <w:shd w:val="clear" w:color="auto" w:fill="auto"/>
            <w:vAlign w:val="bottom"/>
          </w:tcPr>
          <w:p w14:paraId="5AF26F5A" w14:textId="443B6911"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-0.059</w:t>
            </w:r>
          </w:p>
        </w:tc>
      </w:tr>
      <w:tr w:rsidR="003F0EF7" w:rsidRPr="009548FC" w14:paraId="6998B747" w14:textId="77777777" w:rsidTr="006A1863">
        <w:trPr>
          <w:trHeight w:val="284"/>
          <w:jc w:val="center"/>
        </w:trPr>
        <w:tc>
          <w:tcPr>
            <w:cnfStyle w:val="001000000000" w:firstRow="0" w:lastRow="0" w:firstColumn="1" w:lastColumn="0" w:oddVBand="0" w:evenVBand="0" w:oddHBand="0" w:evenHBand="0" w:firstRowFirstColumn="0" w:firstRowLastColumn="0" w:lastRowFirstColumn="0" w:lastRowLastColumn="0"/>
            <w:tcW w:w="4641" w:type="dxa"/>
            <w:shd w:val="clear" w:color="auto" w:fill="auto"/>
            <w:vAlign w:val="bottom"/>
          </w:tcPr>
          <w:p w14:paraId="3D3FF918"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Competitiveness</w:t>
            </w:r>
          </w:p>
        </w:tc>
        <w:tc>
          <w:tcPr>
            <w:tcW w:w="2206" w:type="dxa"/>
            <w:shd w:val="clear" w:color="auto" w:fill="auto"/>
            <w:vAlign w:val="bottom"/>
          </w:tcPr>
          <w:p w14:paraId="5A43ECF4" w14:textId="363A7E81"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-0.123</w:t>
            </w:r>
          </w:p>
        </w:tc>
        <w:tc>
          <w:tcPr>
            <w:tcW w:w="2552" w:type="dxa"/>
            <w:shd w:val="clear" w:color="auto" w:fill="auto"/>
            <w:vAlign w:val="bottom"/>
          </w:tcPr>
          <w:p w14:paraId="7AE6214E" w14:textId="7D13DFB8"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0.265</w:t>
            </w:r>
          </w:p>
        </w:tc>
      </w:tr>
      <w:tr w:rsidR="003F0EF7" w:rsidRPr="009548FC" w14:paraId="0B06308A" w14:textId="77777777" w:rsidTr="006A186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641" w:type="dxa"/>
            <w:tcBorders>
              <w:bottom w:val="single" w:sz="4" w:space="0" w:color="auto"/>
            </w:tcBorders>
            <w:shd w:val="clear" w:color="auto" w:fill="auto"/>
            <w:vAlign w:val="bottom"/>
          </w:tcPr>
          <w:p w14:paraId="22BC0812"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Life satisfaction</w:t>
            </w:r>
          </w:p>
        </w:tc>
        <w:tc>
          <w:tcPr>
            <w:tcW w:w="2206" w:type="dxa"/>
            <w:tcBorders>
              <w:bottom w:val="single" w:sz="4" w:space="0" w:color="auto"/>
            </w:tcBorders>
            <w:shd w:val="clear" w:color="auto" w:fill="auto"/>
            <w:vAlign w:val="bottom"/>
          </w:tcPr>
          <w:p w14:paraId="228E55E2" w14:textId="7E7A9345"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0.998</w:t>
            </w:r>
          </w:p>
        </w:tc>
        <w:tc>
          <w:tcPr>
            <w:tcW w:w="2552" w:type="dxa"/>
            <w:tcBorders>
              <w:bottom w:val="single" w:sz="4" w:space="0" w:color="auto"/>
            </w:tcBorders>
            <w:shd w:val="clear" w:color="auto" w:fill="auto"/>
            <w:vAlign w:val="bottom"/>
          </w:tcPr>
          <w:p w14:paraId="4981938C" w14:textId="3F70C0F7" w:rsidR="003F0EF7" w:rsidRPr="009548FC" w:rsidRDefault="003F0EF7" w:rsidP="006A1863">
            <w:pPr>
              <w:spacing w:before="8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0.682</w:t>
            </w:r>
          </w:p>
        </w:tc>
      </w:tr>
      <w:tr w:rsidR="003F0EF7" w:rsidRPr="009548FC" w14:paraId="5EB2B6ED" w14:textId="77777777" w:rsidTr="006A1863">
        <w:trPr>
          <w:trHeight w:val="284"/>
          <w:jc w:val="center"/>
        </w:trPr>
        <w:tc>
          <w:tcPr>
            <w:cnfStyle w:val="001000000000" w:firstRow="0" w:lastRow="0" w:firstColumn="1" w:lastColumn="0" w:oddVBand="0" w:evenVBand="0" w:oddHBand="0" w:evenHBand="0" w:firstRowFirstColumn="0" w:firstRowLastColumn="0" w:lastRowFirstColumn="0" w:lastRowLastColumn="0"/>
            <w:tcW w:w="4641" w:type="dxa"/>
            <w:tcBorders>
              <w:top w:val="single" w:sz="4" w:space="0" w:color="auto"/>
            </w:tcBorders>
            <w:shd w:val="clear" w:color="auto" w:fill="auto"/>
            <w:vAlign w:val="bottom"/>
          </w:tcPr>
          <w:p w14:paraId="0780C6F9" w14:textId="77777777" w:rsidR="003F0EF7" w:rsidRPr="000F6B69" w:rsidRDefault="003F0EF7" w:rsidP="006A1863">
            <w:pPr>
              <w:spacing w:before="80"/>
              <w:ind w:left="0"/>
              <w:rPr>
                <w:rFonts w:cs="Arial"/>
                <w:b w:val="0"/>
                <w:color w:val="000000" w:themeColor="text1"/>
                <w:sz w:val="18"/>
                <w:szCs w:val="18"/>
              </w:rPr>
            </w:pPr>
            <w:r w:rsidRPr="000F6B69">
              <w:rPr>
                <w:rFonts w:cs="Arial"/>
                <w:b w:val="0"/>
                <w:color w:val="000000" w:themeColor="text1"/>
                <w:sz w:val="18"/>
                <w:szCs w:val="18"/>
              </w:rPr>
              <w:t>Adjusted R²</w:t>
            </w:r>
          </w:p>
        </w:tc>
        <w:tc>
          <w:tcPr>
            <w:tcW w:w="2206" w:type="dxa"/>
            <w:tcBorders>
              <w:top w:val="single" w:sz="4" w:space="0" w:color="auto"/>
            </w:tcBorders>
            <w:shd w:val="clear" w:color="auto" w:fill="auto"/>
            <w:vAlign w:val="bottom"/>
          </w:tcPr>
          <w:p w14:paraId="725DF1B5" w14:textId="63A7AA28"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0.0435</w:t>
            </w:r>
          </w:p>
        </w:tc>
        <w:tc>
          <w:tcPr>
            <w:tcW w:w="2552" w:type="dxa"/>
            <w:tcBorders>
              <w:top w:val="single" w:sz="4" w:space="0" w:color="auto"/>
            </w:tcBorders>
            <w:shd w:val="clear" w:color="auto" w:fill="auto"/>
            <w:vAlign w:val="bottom"/>
          </w:tcPr>
          <w:p w14:paraId="190E8FE3" w14:textId="3237A5FC" w:rsidR="003F0EF7" w:rsidRPr="009548FC" w:rsidRDefault="003F0EF7" w:rsidP="006A1863">
            <w:pPr>
              <w:spacing w:before="8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0.1199</w:t>
            </w:r>
          </w:p>
        </w:tc>
      </w:tr>
    </w:tbl>
    <w:p w14:paraId="09209C89"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4321DF9A" w14:textId="77777777" w:rsidR="00E760C2" w:rsidRPr="009548FC" w:rsidRDefault="00E760C2" w:rsidP="00E760C2">
      <w:pPr>
        <w:widowControl w:val="0"/>
        <w:autoSpaceDE w:val="0"/>
        <w:autoSpaceDN w:val="0"/>
        <w:adjustRightInd w:val="0"/>
        <w:spacing w:before="0" w:after="120" w:line="276" w:lineRule="auto"/>
        <w:ind w:left="1134"/>
        <w:contextualSpacing/>
        <w:rPr>
          <w:rFonts w:eastAsia="Calibri" w:cs="Arial"/>
          <w:szCs w:val="22"/>
        </w:rPr>
      </w:pPr>
    </w:p>
    <w:p w14:paraId="0A289920" w14:textId="1B368019" w:rsidR="003F0EF7" w:rsidRDefault="003F0EF7" w:rsidP="003F0EF7">
      <w:pPr>
        <w:rPr>
          <w:rFonts w:eastAsia="Calibri" w:cs="Arial"/>
        </w:rPr>
      </w:pPr>
      <w:r>
        <w:rPr>
          <w:rFonts w:eastAsia="Calibri" w:cs="Arial"/>
        </w:rPr>
        <w:t xml:space="preserve">Interestingly, results do not vary significantly between local authorities in major urban centres and outwith major urban centres. This may be due to the multidirectional effect of </w:t>
      </w:r>
      <w:r w:rsidR="00A25AFD">
        <w:rPr>
          <w:rFonts w:eastAsia="Calibri" w:cs="Arial"/>
        </w:rPr>
        <w:t xml:space="preserve">major </w:t>
      </w:r>
      <w:r>
        <w:rPr>
          <w:rFonts w:eastAsia="Calibri" w:cs="Arial"/>
        </w:rPr>
        <w:t>urban centres: for a major urban centre</w:t>
      </w:r>
      <w:r w:rsidR="00A25AFD">
        <w:rPr>
          <w:rFonts w:eastAsia="Calibri" w:cs="Arial"/>
        </w:rPr>
        <w:t xml:space="preserve"> (</w:t>
      </w:r>
      <w:r w:rsidR="006F44D8">
        <w:rPr>
          <w:rFonts w:eastAsia="Calibri" w:cs="Arial"/>
        </w:rPr>
        <w:t>comprising</w:t>
      </w:r>
      <w:r w:rsidR="00A25AFD">
        <w:rPr>
          <w:rFonts w:eastAsia="Calibri" w:cs="Arial"/>
        </w:rPr>
        <w:t xml:space="preserve"> multiple local authorities) </w:t>
      </w:r>
      <w:r>
        <w:rPr>
          <w:rFonts w:eastAsia="Calibri" w:cs="Arial"/>
        </w:rPr>
        <w:t xml:space="preserve">with a high concentration of culture, sport or heritage assets or investments in one particular area, this means some local authorities will contain this concentration, and others will not, so the effect could work in both ways. </w:t>
      </w:r>
    </w:p>
    <w:p w14:paraId="058BFAC1" w14:textId="715F06E2" w:rsidR="00E760C2" w:rsidRPr="009548FC" w:rsidRDefault="00E760C2" w:rsidP="00E760C2">
      <w:pPr>
        <w:rPr>
          <w:rFonts w:eastAsia="Calibri" w:cs="Arial"/>
        </w:rPr>
      </w:pPr>
      <w:r w:rsidRPr="009548FC">
        <w:rPr>
          <w:rFonts w:eastAsia="Calibri" w:cs="Arial"/>
        </w:rPr>
        <w:t xml:space="preserve">Finally we consider turnover of creative firms and investment in CS&amp;H in </w:t>
      </w:r>
      <w:r w:rsidRPr="00E760C2">
        <w:rPr>
          <w:rFonts w:eastAsia="Calibri" w:cs="Arial"/>
        </w:rPr>
        <w:fldChar w:fldCharType="begin"/>
      </w:r>
      <w:r w:rsidRPr="009548FC">
        <w:rPr>
          <w:rFonts w:eastAsia="Calibri" w:cs="Arial"/>
        </w:rPr>
        <w:instrText xml:space="preserve"> REF _Ref450040439 \h </w:instrText>
      </w:r>
      <w:r w:rsidRPr="00E760C2">
        <w:rPr>
          <w:rFonts w:eastAsia="Calibri" w:cs="Arial"/>
        </w:rPr>
        <w:instrText xml:space="preserve"> \* MERGEFORMAT </w:instrText>
      </w:r>
      <w:r w:rsidRPr="00E760C2">
        <w:rPr>
          <w:rFonts w:eastAsia="Calibri" w:cs="Arial"/>
        </w:rPr>
      </w:r>
      <w:r w:rsidRPr="00E760C2">
        <w:rPr>
          <w:rFonts w:eastAsia="Calibri" w:cs="Arial"/>
        </w:rPr>
        <w:fldChar w:fldCharType="separate"/>
      </w:r>
      <w:r w:rsidR="00F0636B" w:rsidRPr="00F0636B">
        <w:rPr>
          <w:rFonts w:cs="Arial"/>
        </w:rPr>
        <w:t xml:space="preserve">Table </w:t>
      </w:r>
      <w:r w:rsidR="00F0636B" w:rsidRPr="00F0636B">
        <w:rPr>
          <w:rFonts w:cs="Arial"/>
          <w:noProof/>
        </w:rPr>
        <w:t>7</w:t>
      </w:r>
      <w:r w:rsidRPr="00E760C2">
        <w:rPr>
          <w:rFonts w:eastAsia="Calibri" w:cs="Arial"/>
        </w:rPr>
        <w:fldChar w:fldCharType="end"/>
      </w:r>
      <w:r w:rsidRPr="009548FC">
        <w:rPr>
          <w:rFonts w:eastAsia="Calibri" w:cs="Arial"/>
        </w:rPr>
        <w:t>.</w:t>
      </w:r>
      <w:r w:rsidR="00A033C6">
        <w:rPr>
          <w:rFonts w:eastAsia="Calibri" w:cs="Arial"/>
        </w:rPr>
        <w:t xml:space="preserve"> </w:t>
      </w:r>
      <w:r w:rsidR="00320F1B">
        <w:rPr>
          <w:rFonts w:eastAsia="Calibri" w:cs="Arial"/>
        </w:rPr>
        <w:t>Two</w:t>
      </w:r>
      <w:r w:rsidRPr="00873DB7">
        <w:rPr>
          <w:rFonts w:eastAsia="Calibri" w:cs="Arial"/>
        </w:rPr>
        <w:t xml:space="preserve">-year lagged per capita investment in CS&amp;H is significantly and positively associated with turnover of creative firms in major urban centres, but not in </w:t>
      </w:r>
      <w:r w:rsidRPr="009548FC">
        <w:rPr>
          <w:rFonts w:eastAsia="Calibri" w:cs="Arial"/>
        </w:rPr>
        <w:t>local authorities outside major urban centres. Competitiveness, a measure including GVA, is positively associated with turnover in both cases.</w:t>
      </w:r>
    </w:p>
    <w:p w14:paraId="661F6F7D" w14:textId="77777777" w:rsidR="00E760C2" w:rsidRPr="009548FC" w:rsidRDefault="00E760C2" w:rsidP="00E760C2">
      <w:pPr>
        <w:widowControl w:val="0"/>
        <w:autoSpaceDE w:val="0"/>
        <w:autoSpaceDN w:val="0"/>
        <w:adjustRightInd w:val="0"/>
        <w:spacing w:before="0" w:after="120" w:line="276" w:lineRule="auto"/>
        <w:ind w:left="1134"/>
        <w:contextualSpacing/>
        <w:rPr>
          <w:rFonts w:eastAsia="Calibri" w:cs="Arial"/>
          <w:szCs w:val="22"/>
        </w:rPr>
      </w:pPr>
    </w:p>
    <w:p w14:paraId="5F050326" w14:textId="6597F573" w:rsidR="00E760C2" w:rsidRPr="009548FC" w:rsidRDefault="00E760C2" w:rsidP="00E760C2">
      <w:pPr>
        <w:pStyle w:val="Caption"/>
        <w:rPr>
          <w:rFonts w:eastAsia="Calibri"/>
          <w:szCs w:val="22"/>
        </w:rPr>
      </w:pPr>
      <w:bookmarkStart w:id="62" w:name="_Ref450040439"/>
      <w:bookmarkStart w:id="63" w:name="_Toc467569662"/>
      <w:r w:rsidRPr="009548FC">
        <w:t xml:space="preserve">Table </w:t>
      </w:r>
      <w:r w:rsidRPr="00982C4F">
        <w:fldChar w:fldCharType="begin"/>
      </w:r>
      <w:r w:rsidRPr="009548FC">
        <w:instrText xml:space="preserve"> SEQ Table \* ARABIC </w:instrText>
      </w:r>
      <w:r w:rsidRPr="00982C4F">
        <w:fldChar w:fldCharType="separate"/>
      </w:r>
      <w:r w:rsidR="00F0636B">
        <w:rPr>
          <w:noProof/>
        </w:rPr>
        <w:t>7</w:t>
      </w:r>
      <w:r w:rsidRPr="00982C4F">
        <w:rPr>
          <w:noProof/>
        </w:rPr>
        <w:fldChar w:fldCharType="end"/>
      </w:r>
      <w:bookmarkEnd w:id="62"/>
      <w:r w:rsidRPr="009548FC">
        <w:t>: CS&amp;H investment and creative firms’ turnover</w:t>
      </w:r>
      <w:bookmarkEnd w:id="63"/>
    </w:p>
    <w:tbl>
      <w:tblPr>
        <w:tblStyle w:val="LightList-Accent42"/>
        <w:tblW w:w="9434"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05"/>
        <w:gridCol w:w="2120"/>
        <w:gridCol w:w="2509"/>
      </w:tblGrid>
      <w:tr w:rsidR="00E760C2" w:rsidRPr="009548FC" w14:paraId="2055B06B" w14:textId="77777777" w:rsidTr="00753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5" w:type="dxa"/>
            <w:tcBorders>
              <w:top w:val="single" w:sz="4" w:space="0" w:color="auto"/>
              <w:bottom w:val="single" w:sz="4" w:space="0" w:color="auto"/>
            </w:tcBorders>
            <w:shd w:val="clear" w:color="auto" w:fill="auto"/>
          </w:tcPr>
          <w:p w14:paraId="5E56A27E" w14:textId="77777777" w:rsidR="00E760C2" w:rsidRPr="009548FC" w:rsidRDefault="00E760C2" w:rsidP="00753A00">
            <w:pPr>
              <w:spacing w:before="0"/>
              <w:ind w:left="0"/>
              <w:rPr>
                <w:rFonts w:cs="Arial"/>
                <w:color w:val="000000" w:themeColor="text1"/>
                <w:sz w:val="18"/>
                <w:szCs w:val="18"/>
              </w:rPr>
            </w:pPr>
          </w:p>
        </w:tc>
        <w:tc>
          <w:tcPr>
            <w:tcW w:w="2120" w:type="dxa"/>
            <w:tcBorders>
              <w:top w:val="single" w:sz="4" w:space="0" w:color="auto"/>
              <w:bottom w:val="single" w:sz="4" w:space="0" w:color="auto"/>
            </w:tcBorders>
            <w:shd w:val="clear" w:color="auto" w:fill="auto"/>
          </w:tcPr>
          <w:p w14:paraId="3CA4A5DF" w14:textId="77777777" w:rsidR="00E760C2" w:rsidRPr="009548FC"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Major urban centres</w:t>
            </w:r>
          </w:p>
        </w:tc>
        <w:tc>
          <w:tcPr>
            <w:tcW w:w="2509" w:type="dxa"/>
            <w:tcBorders>
              <w:top w:val="single" w:sz="4" w:space="0" w:color="auto"/>
              <w:bottom w:val="single" w:sz="4" w:space="0" w:color="auto"/>
            </w:tcBorders>
            <w:shd w:val="clear" w:color="auto" w:fill="auto"/>
          </w:tcPr>
          <w:p w14:paraId="137C3DA5" w14:textId="77777777" w:rsidR="00E760C2" w:rsidRPr="009548FC"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Non major urban centres</w:t>
            </w:r>
          </w:p>
        </w:tc>
      </w:tr>
      <w:tr w:rsidR="00A25AFD" w:rsidRPr="009548FC" w14:paraId="7C9D1617"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05" w:type="dxa"/>
            <w:tcBorders>
              <w:top w:val="single" w:sz="4" w:space="0" w:color="auto"/>
              <w:left w:val="none" w:sz="0" w:space="0" w:color="auto"/>
              <w:bottom w:val="none" w:sz="0" w:space="0" w:color="auto"/>
            </w:tcBorders>
            <w:shd w:val="clear" w:color="auto" w:fill="auto"/>
            <w:vAlign w:val="bottom"/>
          </w:tcPr>
          <w:p w14:paraId="125DCBAC" w14:textId="77777777"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Investment per capita in CS&amp;H</w:t>
            </w:r>
          </w:p>
        </w:tc>
        <w:tc>
          <w:tcPr>
            <w:tcW w:w="2120" w:type="dxa"/>
            <w:tcBorders>
              <w:top w:val="single" w:sz="4" w:space="0" w:color="auto"/>
              <w:bottom w:val="none" w:sz="0" w:space="0" w:color="auto"/>
            </w:tcBorders>
            <w:shd w:val="clear" w:color="auto" w:fill="auto"/>
            <w:vAlign w:val="bottom"/>
          </w:tcPr>
          <w:p w14:paraId="335B2DF2" w14:textId="11B0259B"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-0.023</w:t>
            </w:r>
          </w:p>
        </w:tc>
        <w:tc>
          <w:tcPr>
            <w:tcW w:w="2509" w:type="dxa"/>
            <w:tcBorders>
              <w:top w:val="single" w:sz="4" w:space="0" w:color="auto"/>
              <w:bottom w:val="none" w:sz="0" w:space="0" w:color="auto"/>
              <w:right w:val="none" w:sz="0" w:space="0" w:color="auto"/>
            </w:tcBorders>
            <w:shd w:val="clear" w:color="auto" w:fill="auto"/>
            <w:vAlign w:val="bottom"/>
          </w:tcPr>
          <w:p w14:paraId="4BFE7A0D" w14:textId="2D9F6335"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-0.022</w:t>
            </w:r>
          </w:p>
        </w:tc>
      </w:tr>
      <w:tr w:rsidR="00A25AFD" w:rsidRPr="009548FC" w14:paraId="2F2D8B75"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4805" w:type="dxa"/>
            <w:shd w:val="clear" w:color="auto" w:fill="auto"/>
            <w:vAlign w:val="bottom"/>
          </w:tcPr>
          <w:p w14:paraId="31657A99" w14:textId="77777777"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Lagged per capita investment in CS&amp;H</w:t>
            </w:r>
          </w:p>
        </w:tc>
        <w:tc>
          <w:tcPr>
            <w:tcW w:w="2120" w:type="dxa"/>
            <w:shd w:val="clear" w:color="auto" w:fill="auto"/>
            <w:vAlign w:val="bottom"/>
          </w:tcPr>
          <w:p w14:paraId="1D1D1E5E" w14:textId="56ADAF0F"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0.002</w:t>
            </w:r>
          </w:p>
        </w:tc>
        <w:tc>
          <w:tcPr>
            <w:tcW w:w="2509" w:type="dxa"/>
            <w:shd w:val="clear" w:color="auto" w:fill="auto"/>
            <w:vAlign w:val="bottom"/>
          </w:tcPr>
          <w:p w14:paraId="0122CD60" w14:textId="6021C53D"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-0.001</w:t>
            </w:r>
          </w:p>
        </w:tc>
      </w:tr>
      <w:tr w:rsidR="00A25AFD" w:rsidRPr="009548FC" w14:paraId="480057B4"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05" w:type="dxa"/>
            <w:tcBorders>
              <w:top w:val="none" w:sz="0" w:space="0" w:color="auto"/>
              <w:left w:val="none" w:sz="0" w:space="0" w:color="auto"/>
              <w:bottom w:val="none" w:sz="0" w:space="0" w:color="auto"/>
            </w:tcBorders>
            <w:shd w:val="clear" w:color="auto" w:fill="auto"/>
            <w:vAlign w:val="bottom"/>
          </w:tcPr>
          <w:p w14:paraId="014BC819" w14:textId="157736B2"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2-year lagged investment per capita in CS&amp;H</w:t>
            </w:r>
          </w:p>
        </w:tc>
        <w:tc>
          <w:tcPr>
            <w:tcW w:w="2120" w:type="dxa"/>
            <w:tcBorders>
              <w:top w:val="none" w:sz="0" w:space="0" w:color="auto"/>
              <w:bottom w:val="none" w:sz="0" w:space="0" w:color="auto"/>
            </w:tcBorders>
            <w:shd w:val="clear" w:color="auto" w:fill="auto"/>
            <w:vAlign w:val="bottom"/>
          </w:tcPr>
          <w:p w14:paraId="534815B9" w14:textId="0A98997E"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0.078</w:t>
            </w:r>
            <w:r w:rsidRPr="009548FC">
              <w:rPr>
                <w:rFonts w:cs="Arial"/>
                <w:color w:val="000000" w:themeColor="text1"/>
                <w:sz w:val="18"/>
                <w:szCs w:val="18"/>
              </w:rPr>
              <w:t>*</w:t>
            </w:r>
          </w:p>
        </w:tc>
        <w:tc>
          <w:tcPr>
            <w:tcW w:w="2509" w:type="dxa"/>
            <w:tcBorders>
              <w:top w:val="none" w:sz="0" w:space="0" w:color="auto"/>
              <w:bottom w:val="none" w:sz="0" w:space="0" w:color="auto"/>
              <w:right w:val="none" w:sz="0" w:space="0" w:color="auto"/>
            </w:tcBorders>
            <w:shd w:val="clear" w:color="auto" w:fill="auto"/>
            <w:vAlign w:val="bottom"/>
          </w:tcPr>
          <w:p w14:paraId="0F7649F8" w14:textId="1B453292"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0.054</w:t>
            </w:r>
          </w:p>
        </w:tc>
      </w:tr>
      <w:tr w:rsidR="00A25AFD" w:rsidRPr="009548FC" w14:paraId="2F97C990"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4805" w:type="dxa"/>
            <w:shd w:val="clear" w:color="auto" w:fill="auto"/>
            <w:vAlign w:val="bottom"/>
          </w:tcPr>
          <w:p w14:paraId="5D6A88BC" w14:textId="77777777"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Competitiveness</w:t>
            </w:r>
          </w:p>
        </w:tc>
        <w:tc>
          <w:tcPr>
            <w:tcW w:w="2120" w:type="dxa"/>
            <w:shd w:val="clear" w:color="auto" w:fill="auto"/>
            <w:vAlign w:val="bottom"/>
          </w:tcPr>
          <w:p w14:paraId="5B0C721B" w14:textId="48B1BC91"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0.763*</w:t>
            </w:r>
            <w:r w:rsidRPr="009548FC">
              <w:rPr>
                <w:rFonts w:cs="Arial"/>
                <w:color w:val="000000" w:themeColor="text1"/>
                <w:sz w:val="18"/>
                <w:szCs w:val="18"/>
              </w:rPr>
              <w:t>*</w:t>
            </w:r>
          </w:p>
        </w:tc>
        <w:tc>
          <w:tcPr>
            <w:tcW w:w="2509" w:type="dxa"/>
            <w:shd w:val="clear" w:color="auto" w:fill="auto"/>
            <w:vAlign w:val="bottom"/>
          </w:tcPr>
          <w:p w14:paraId="07825F89" w14:textId="659BE2FC"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0.35</w:t>
            </w:r>
            <w:r w:rsidRPr="009548FC">
              <w:rPr>
                <w:rFonts w:cs="Arial"/>
                <w:color w:val="000000" w:themeColor="text1"/>
                <w:sz w:val="18"/>
                <w:szCs w:val="18"/>
              </w:rPr>
              <w:t>0**</w:t>
            </w:r>
          </w:p>
        </w:tc>
      </w:tr>
      <w:tr w:rsidR="00A25AFD" w:rsidRPr="009548FC" w14:paraId="410101ED"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05" w:type="dxa"/>
            <w:tcBorders>
              <w:bottom w:val="single" w:sz="4" w:space="0" w:color="auto"/>
            </w:tcBorders>
            <w:shd w:val="clear" w:color="auto" w:fill="auto"/>
            <w:vAlign w:val="bottom"/>
          </w:tcPr>
          <w:p w14:paraId="6D1C5507" w14:textId="77777777"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Life satisfaction</w:t>
            </w:r>
          </w:p>
        </w:tc>
        <w:tc>
          <w:tcPr>
            <w:tcW w:w="2120" w:type="dxa"/>
            <w:tcBorders>
              <w:bottom w:val="single" w:sz="4" w:space="0" w:color="auto"/>
            </w:tcBorders>
            <w:shd w:val="clear" w:color="auto" w:fill="auto"/>
            <w:vAlign w:val="bottom"/>
          </w:tcPr>
          <w:p w14:paraId="72F6E4D3" w14:textId="285FD55C"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0.008</w:t>
            </w:r>
          </w:p>
        </w:tc>
        <w:tc>
          <w:tcPr>
            <w:tcW w:w="2509" w:type="dxa"/>
            <w:tcBorders>
              <w:bottom w:val="single" w:sz="4" w:space="0" w:color="auto"/>
            </w:tcBorders>
            <w:shd w:val="clear" w:color="auto" w:fill="auto"/>
            <w:vAlign w:val="bottom"/>
          </w:tcPr>
          <w:p w14:paraId="04B57974" w14:textId="7F88EEE7"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0.222</w:t>
            </w:r>
          </w:p>
        </w:tc>
      </w:tr>
      <w:tr w:rsidR="00A25AFD" w:rsidRPr="009548FC" w14:paraId="0F51F4E4"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4805" w:type="dxa"/>
            <w:tcBorders>
              <w:top w:val="single" w:sz="4" w:space="0" w:color="auto"/>
            </w:tcBorders>
            <w:shd w:val="clear" w:color="auto" w:fill="auto"/>
            <w:vAlign w:val="bottom"/>
          </w:tcPr>
          <w:p w14:paraId="5EB3B012" w14:textId="77777777"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Adjusted R²</w:t>
            </w:r>
          </w:p>
        </w:tc>
        <w:tc>
          <w:tcPr>
            <w:tcW w:w="2120" w:type="dxa"/>
            <w:tcBorders>
              <w:top w:val="single" w:sz="4" w:space="0" w:color="auto"/>
            </w:tcBorders>
            <w:shd w:val="clear" w:color="auto" w:fill="auto"/>
            <w:vAlign w:val="bottom"/>
          </w:tcPr>
          <w:p w14:paraId="2E768D9D" w14:textId="434214DF"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0.4590</w:t>
            </w:r>
          </w:p>
        </w:tc>
        <w:tc>
          <w:tcPr>
            <w:tcW w:w="2509" w:type="dxa"/>
            <w:tcBorders>
              <w:top w:val="single" w:sz="4" w:space="0" w:color="auto"/>
            </w:tcBorders>
            <w:shd w:val="clear" w:color="auto" w:fill="auto"/>
            <w:vAlign w:val="bottom"/>
          </w:tcPr>
          <w:p w14:paraId="1523892B" w14:textId="592779B7"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0.5834</w:t>
            </w:r>
          </w:p>
        </w:tc>
      </w:tr>
    </w:tbl>
    <w:p w14:paraId="562C8021"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1B32734A" w14:textId="77777777" w:rsidR="00E760C2" w:rsidRPr="009548FC" w:rsidRDefault="00E760C2" w:rsidP="00E760C2">
      <w:pPr>
        <w:pStyle w:val="Heading2Numbered"/>
        <w:rPr>
          <w:rFonts w:eastAsia="Calibri"/>
        </w:rPr>
      </w:pPr>
      <w:bookmarkStart w:id="64" w:name="_Toc467569606"/>
      <w:r w:rsidRPr="009548FC">
        <w:rPr>
          <w:rFonts w:eastAsia="Calibri"/>
        </w:rPr>
        <w:t>Other industries</w:t>
      </w:r>
      <w:bookmarkEnd w:id="64"/>
    </w:p>
    <w:p w14:paraId="797DA13D" w14:textId="5A753EFD" w:rsidR="00E760C2" w:rsidRPr="009548FC" w:rsidRDefault="00E760C2" w:rsidP="00E760C2">
      <w:pPr>
        <w:rPr>
          <w:rFonts w:eastAsia="Calibri" w:cs="Arial"/>
        </w:rPr>
      </w:pPr>
      <w:r w:rsidRPr="009548FC">
        <w:rPr>
          <w:rFonts w:eastAsia="Calibri" w:cs="Arial"/>
        </w:rPr>
        <w:t>In this section we consider the links between CS&amp;H assets and investment and three other sectors of the economy: the knowledge economy, tourism industries and professional and business services.</w:t>
      </w:r>
    </w:p>
    <w:p w14:paraId="639FACAD" w14:textId="62D1CF50" w:rsidR="00E760C2" w:rsidRPr="009548FC" w:rsidRDefault="00E760C2" w:rsidP="00E760C2">
      <w:pPr>
        <w:rPr>
          <w:rFonts w:eastAsia="Calibri" w:cs="Arial"/>
        </w:rPr>
      </w:pPr>
      <w:r w:rsidRPr="009548FC">
        <w:rPr>
          <w:rFonts w:eastAsia="Calibri" w:cs="Arial"/>
        </w:rPr>
        <w:t>There is evidence that CS&amp;H assets are associated with other sectors beyond the creative indu</w:t>
      </w:r>
      <w:r w:rsidR="002D2364">
        <w:rPr>
          <w:rFonts w:eastAsia="Calibri" w:cs="Arial"/>
        </w:rPr>
        <w:t>s</w:t>
      </w:r>
      <w:r w:rsidRPr="009548FC">
        <w:rPr>
          <w:rFonts w:eastAsia="Calibri" w:cs="Arial"/>
        </w:rPr>
        <w:t xml:space="preserve">tries. Both knowledge economy and tourism turnover are significantly and positively associated with higher heritage assets density and cultural events per capita. There will naturally be more economic activity around the tourism industry in areas with high heritage assets and cultural events, as these are tourist destinations. Professional and business services turnover is not significantly linked to culture, sports and heritage assets. There are no significant </w:t>
      </w:r>
      <w:r w:rsidRPr="009548FC">
        <w:rPr>
          <w:rFonts w:eastAsia="Calibri" w:cs="Arial"/>
        </w:rPr>
        <w:lastRenderedPageBreak/>
        <w:t>impacts of cumulative CS&amp;H investment on any of the industries in these results. All are very strongly and significantly associated with higher GVA per capita.</w:t>
      </w:r>
    </w:p>
    <w:p w14:paraId="293D1D20" w14:textId="3DC9BD61" w:rsidR="00A033C6" w:rsidRDefault="00E760C2" w:rsidP="00E3244A">
      <w:pPr>
        <w:rPr>
          <w:rFonts w:eastAsia="Calibri" w:cs="Arial"/>
        </w:rPr>
      </w:pPr>
      <w:r w:rsidRPr="009548FC">
        <w:rPr>
          <w:rFonts w:eastAsia="Calibri" w:cs="Arial"/>
        </w:rPr>
        <w:t>Results are not presented for the panel analysis as investment was not significant in the cross</w:t>
      </w:r>
      <w:r w:rsidR="008F3611">
        <w:rPr>
          <w:rFonts w:eastAsia="Calibri" w:cs="Arial"/>
        </w:rPr>
        <w:t>-</w:t>
      </w:r>
      <w:r w:rsidRPr="009548FC">
        <w:rPr>
          <w:rFonts w:eastAsia="Calibri" w:cs="Arial"/>
        </w:rPr>
        <w:t>sectional analysis.</w:t>
      </w:r>
    </w:p>
    <w:p w14:paraId="501981CB" w14:textId="77777777" w:rsidR="00E760C2" w:rsidRPr="009548FC" w:rsidRDefault="00E760C2" w:rsidP="00E760C2">
      <w:pPr>
        <w:rPr>
          <w:rFonts w:eastAsia="Calibri" w:cs="Arial"/>
        </w:rPr>
      </w:pPr>
    </w:p>
    <w:p w14:paraId="28932CF8" w14:textId="6053EEE6" w:rsidR="00E760C2" w:rsidRPr="009548FC" w:rsidRDefault="00E760C2" w:rsidP="00E760C2">
      <w:pPr>
        <w:pStyle w:val="Caption"/>
        <w:rPr>
          <w:rFonts w:eastAsia="Calibri"/>
        </w:rPr>
      </w:pPr>
      <w:bookmarkStart w:id="65" w:name="_Toc467569663"/>
      <w:r w:rsidRPr="009548FC">
        <w:t xml:space="preserve">Table </w:t>
      </w:r>
      <w:r w:rsidRPr="00982C4F">
        <w:fldChar w:fldCharType="begin"/>
      </w:r>
      <w:r w:rsidRPr="009548FC">
        <w:instrText xml:space="preserve"> SEQ Table \* ARABIC </w:instrText>
      </w:r>
      <w:r w:rsidRPr="00982C4F">
        <w:fldChar w:fldCharType="separate"/>
      </w:r>
      <w:r w:rsidR="00F0636B">
        <w:rPr>
          <w:noProof/>
        </w:rPr>
        <w:t>8</w:t>
      </w:r>
      <w:r w:rsidRPr="00982C4F">
        <w:rPr>
          <w:noProof/>
        </w:rPr>
        <w:fldChar w:fldCharType="end"/>
      </w:r>
      <w:r w:rsidRPr="009548FC">
        <w:t>: R</w:t>
      </w:r>
      <w:r w:rsidRPr="009548FC">
        <w:rPr>
          <w:rFonts w:eastAsia="Calibri"/>
          <w:szCs w:val="22"/>
        </w:rPr>
        <w:t>elationships between other industries and CS&amp;H assets and investment</w:t>
      </w:r>
      <w:bookmarkEnd w:id="65"/>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985"/>
        <w:gridCol w:w="1748"/>
        <w:gridCol w:w="1796"/>
      </w:tblGrid>
      <w:tr w:rsidR="00E760C2" w:rsidRPr="006A1863" w14:paraId="25FE4B79" w14:textId="77777777" w:rsidTr="006A1863">
        <w:trPr>
          <w:trHeight w:val="302"/>
        </w:trPr>
        <w:tc>
          <w:tcPr>
            <w:tcW w:w="3969" w:type="dxa"/>
            <w:tcBorders>
              <w:top w:val="single" w:sz="4" w:space="0" w:color="auto"/>
              <w:bottom w:val="single" w:sz="4" w:space="0" w:color="auto"/>
            </w:tcBorders>
          </w:tcPr>
          <w:p w14:paraId="3AFA9D7F" w14:textId="77777777" w:rsidR="00E760C2" w:rsidRPr="006A1863" w:rsidRDefault="00E760C2" w:rsidP="00753A00">
            <w:pPr>
              <w:widowControl w:val="0"/>
              <w:autoSpaceDE w:val="0"/>
              <w:autoSpaceDN w:val="0"/>
              <w:adjustRightInd w:val="0"/>
              <w:spacing w:before="0" w:after="120" w:line="276" w:lineRule="auto"/>
              <w:ind w:left="34"/>
              <w:contextualSpacing/>
              <w:rPr>
                <w:rFonts w:eastAsia="Calibri" w:cs="Arial"/>
                <w:b/>
                <w:sz w:val="18"/>
                <w:szCs w:val="18"/>
              </w:rPr>
            </w:pPr>
            <w:r w:rsidRPr="006A1863">
              <w:rPr>
                <w:rFonts w:eastAsia="Calibri" w:cs="Arial"/>
                <w:b/>
                <w:sz w:val="18"/>
                <w:szCs w:val="18"/>
              </w:rPr>
              <w:t>Variable</w:t>
            </w:r>
          </w:p>
        </w:tc>
        <w:tc>
          <w:tcPr>
            <w:tcW w:w="5529" w:type="dxa"/>
            <w:gridSpan w:val="3"/>
            <w:tcBorders>
              <w:top w:val="single" w:sz="4" w:space="0" w:color="auto"/>
              <w:bottom w:val="single" w:sz="4" w:space="0" w:color="auto"/>
            </w:tcBorders>
          </w:tcPr>
          <w:p w14:paraId="3B78D7DF" w14:textId="77777777" w:rsidR="00E760C2" w:rsidRPr="006A1863" w:rsidRDefault="00E760C2" w:rsidP="00753A00">
            <w:pPr>
              <w:widowControl w:val="0"/>
              <w:autoSpaceDE w:val="0"/>
              <w:autoSpaceDN w:val="0"/>
              <w:adjustRightInd w:val="0"/>
              <w:spacing w:before="0" w:after="120" w:line="276" w:lineRule="auto"/>
              <w:ind w:left="40"/>
              <w:contextualSpacing/>
              <w:jc w:val="center"/>
              <w:rPr>
                <w:rFonts w:eastAsia="Calibri" w:cs="Arial"/>
                <w:b/>
                <w:sz w:val="18"/>
                <w:szCs w:val="18"/>
              </w:rPr>
            </w:pPr>
            <w:r w:rsidRPr="006A1863">
              <w:rPr>
                <w:rFonts w:eastAsia="Calibri" w:cs="Arial"/>
                <w:b/>
                <w:sz w:val="18"/>
                <w:szCs w:val="18"/>
              </w:rPr>
              <w:t>Coefficients</w:t>
            </w:r>
          </w:p>
        </w:tc>
      </w:tr>
      <w:tr w:rsidR="00E760C2" w:rsidRPr="006A1863" w14:paraId="6BC3B345" w14:textId="77777777" w:rsidTr="00753A00">
        <w:tc>
          <w:tcPr>
            <w:tcW w:w="3969" w:type="dxa"/>
            <w:tcBorders>
              <w:top w:val="single" w:sz="4" w:space="0" w:color="auto"/>
              <w:bottom w:val="single" w:sz="4" w:space="0" w:color="auto"/>
            </w:tcBorders>
          </w:tcPr>
          <w:p w14:paraId="27A2230C" w14:textId="77777777" w:rsidR="00E760C2" w:rsidRPr="006A1863" w:rsidRDefault="00E760C2" w:rsidP="00753A00">
            <w:pPr>
              <w:widowControl w:val="0"/>
              <w:autoSpaceDE w:val="0"/>
              <w:autoSpaceDN w:val="0"/>
              <w:adjustRightInd w:val="0"/>
              <w:spacing w:before="0" w:after="120" w:line="276" w:lineRule="auto"/>
              <w:ind w:left="34"/>
              <w:contextualSpacing/>
              <w:rPr>
                <w:rFonts w:eastAsia="Calibri" w:cs="Arial"/>
                <w:b/>
                <w:sz w:val="18"/>
                <w:szCs w:val="18"/>
              </w:rPr>
            </w:pPr>
          </w:p>
        </w:tc>
        <w:tc>
          <w:tcPr>
            <w:tcW w:w="1985" w:type="dxa"/>
            <w:tcBorders>
              <w:top w:val="single" w:sz="4" w:space="0" w:color="auto"/>
              <w:bottom w:val="single" w:sz="4" w:space="0" w:color="auto"/>
            </w:tcBorders>
          </w:tcPr>
          <w:p w14:paraId="12273EC8" w14:textId="77777777" w:rsidR="00E760C2" w:rsidRPr="006A1863" w:rsidRDefault="00E760C2" w:rsidP="00753A00">
            <w:pPr>
              <w:widowControl w:val="0"/>
              <w:autoSpaceDE w:val="0"/>
              <w:autoSpaceDN w:val="0"/>
              <w:adjustRightInd w:val="0"/>
              <w:spacing w:before="0" w:after="120" w:line="276" w:lineRule="auto"/>
              <w:ind w:left="40"/>
              <w:contextualSpacing/>
              <w:jc w:val="center"/>
              <w:rPr>
                <w:rFonts w:eastAsia="Calibri" w:cs="Arial"/>
                <w:b/>
                <w:sz w:val="18"/>
                <w:szCs w:val="18"/>
              </w:rPr>
            </w:pPr>
            <w:r w:rsidRPr="006A1863">
              <w:rPr>
                <w:rFonts w:eastAsia="Calibri" w:cs="Arial"/>
                <w:b/>
                <w:sz w:val="18"/>
                <w:szCs w:val="18"/>
              </w:rPr>
              <w:t>Knowledge industries turnover per capita</w:t>
            </w:r>
          </w:p>
        </w:tc>
        <w:tc>
          <w:tcPr>
            <w:tcW w:w="1748" w:type="dxa"/>
            <w:tcBorders>
              <w:top w:val="single" w:sz="4" w:space="0" w:color="auto"/>
              <w:bottom w:val="single" w:sz="4" w:space="0" w:color="auto"/>
            </w:tcBorders>
          </w:tcPr>
          <w:p w14:paraId="06A033B6" w14:textId="77777777" w:rsidR="00E760C2" w:rsidRPr="006A1863" w:rsidRDefault="00E760C2" w:rsidP="00753A00">
            <w:pPr>
              <w:widowControl w:val="0"/>
              <w:autoSpaceDE w:val="0"/>
              <w:autoSpaceDN w:val="0"/>
              <w:adjustRightInd w:val="0"/>
              <w:spacing w:before="0" w:after="120" w:line="276" w:lineRule="auto"/>
              <w:ind w:left="40"/>
              <w:contextualSpacing/>
              <w:jc w:val="center"/>
              <w:rPr>
                <w:rFonts w:eastAsia="Calibri" w:cs="Arial"/>
                <w:b/>
                <w:sz w:val="18"/>
                <w:szCs w:val="18"/>
              </w:rPr>
            </w:pPr>
            <w:r w:rsidRPr="006A1863">
              <w:rPr>
                <w:rFonts w:eastAsia="Calibri" w:cs="Arial"/>
                <w:b/>
                <w:sz w:val="18"/>
                <w:szCs w:val="18"/>
              </w:rPr>
              <w:t>Tourism industries turnover per capita</w:t>
            </w:r>
          </w:p>
        </w:tc>
        <w:tc>
          <w:tcPr>
            <w:tcW w:w="1796" w:type="dxa"/>
            <w:tcBorders>
              <w:top w:val="single" w:sz="4" w:space="0" w:color="auto"/>
              <w:bottom w:val="single" w:sz="4" w:space="0" w:color="auto"/>
            </w:tcBorders>
          </w:tcPr>
          <w:p w14:paraId="4AEC714F" w14:textId="77777777" w:rsidR="00E760C2" w:rsidRPr="006A1863" w:rsidRDefault="00E760C2" w:rsidP="00753A00">
            <w:pPr>
              <w:widowControl w:val="0"/>
              <w:autoSpaceDE w:val="0"/>
              <w:autoSpaceDN w:val="0"/>
              <w:adjustRightInd w:val="0"/>
              <w:spacing w:before="0" w:after="120" w:line="276" w:lineRule="auto"/>
              <w:ind w:left="40"/>
              <w:contextualSpacing/>
              <w:jc w:val="center"/>
              <w:rPr>
                <w:rFonts w:eastAsia="Calibri" w:cs="Arial"/>
                <w:b/>
                <w:sz w:val="18"/>
                <w:szCs w:val="18"/>
              </w:rPr>
            </w:pPr>
            <w:r w:rsidRPr="006A1863">
              <w:rPr>
                <w:rFonts w:eastAsia="Calibri" w:cs="Arial"/>
                <w:b/>
                <w:sz w:val="18"/>
                <w:szCs w:val="18"/>
              </w:rPr>
              <w:t>Professional industries turnover per capita</w:t>
            </w:r>
          </w:p>
        </w:tc>
      </w:tr>
      <w:tr w:rsidR="00E760C2" w:rsidRPr="006A1863" w14:paraId="032247C9" w14:textId="77777777" w:rsidTr="006A1863">
        <w:trPr>
          <w:trHeight w:val="284"/>
        </w:trPr>
        <w:tc>
          <w:tcPr>
            <w:tcW w:w="3969" w:type="dxa"/>
            <w:tcBorders>
              <w:top w:val="single" w:sz="4" w:space="0" w:color="auto"/>
            </w:tcBorders>
            <w:vAlign w:val="bottom"/>
          </w:tcPr>
          <w:p w14:paraId="4DC15A86"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b/>
                <w:sz w:val="18"/>
                <w:szCs w:val="18"/>
                <w:u w:val="single"/>
              </w:rPr>
            </w:pPr>
            <w:r w:rsidRPr="006A1863">
              <w:rPr>
                <w:rFonts w:eastAsia="Calibri" w:cs="Arial"/>
                <w:b/>
                <w:sz w:val="18"/>
                <w:szCs w:val="18"/>
                <w:u w:val="single"/>
              </w:rPr>
              <w:t>Assets</w:t>
            </w:r>
          </w:p>
        </w:tc>
        <w:tc>
          <w:tcPr>
            <w:tcW w:w="1985" w:type="dxa"/>
            <w:tcBorders>
              <w:top w:val="single" w:sz="4" w:space="0" w:color="auto"/>
            </w:tcBorders>
            <w:vAlign w:val="bottom"/>
          </w:tcPr>
          <w:p w14:paraId="0DBA9548"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p>
        </w:tc>
        <w:tc>
          <w:tcPr>
            <w:tcW w:w="1748" w:type="dxa"/>
            <w:tcBorders>
              <w:top w:val="single" w:sz="4" w:space="0" w:color="auto"/>
            </w:tcBorders>
            <w:vAlign w:val="bottom"/>
          </w:tcPr>
          <w:p w14:paraId="49FDB363"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p>
        </w:tc>
        <w:tc>
          <w:tcPr>
            <w:tcW w:w="1796" w:type="dxa"/>
            <w:tcBorders>
              <w:top w:val="single" w:sz="4" w:space="0" w:color="auto"/>
            </w:tcBorders>
            <w:vAlign w:val="bottom"/>
          </w:tcPr>
          <w:p w14:paraId="24D7BAB4"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p>
        </w:tc>
      </w:tr>
      <w:tr w:rsidR="00E760C2" w:rsidRPr="006A1863" w14:paraId="691946D3" w14:textId="77777777" w:rsidTr="006A1863">
        <w:trPr>
          <w:trHeight w:val="284"/>
        </w:trPr>
        <w:tc>
          <w:tcPr>
            <w:tcW w:w="3969" w:type="dxa"/>
            <w:vAlign w:val="bottom"/>
          </w:tcPr>
          <w:p w14:paraId="5528ACEE"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eastAsia="Calibri" w:cs="Arial"/>
                <w:sz w:val="18"/>
                <w:szCs w:val="18"/>
              </w:rPr>
              <w:t>Heritage assets density</w:t>
            </w:r>
          </w:p>
        </w:tc>
        <w:tc>
          <w:tcPr>
            <w:tcW w:w="1985" w:type="dxa"/>
            <w:vAlign w:val="bottom"/>
          </w:tcPr>
          <w:p w14:paraId="147F082C"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0.082***</w:t>
            </w:r>
          </w:p>
        </w:tc>
        <w:tc>
          <w:tcPr>
            <w:tcW w:w="1748" w:type="dxa"/>
            <w:vAlign w:val="bottom"/>
          </w:tcPr>
          <w:p w14:paraId="68694511"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0.099***</w:t>
            </w:r>
          </w:p>
        </w:tc>
        <w:tc>
          <w:tcPr>
            <w:tcW w:w="1796" w:type="dxa"/>
            <w:vAlign w:val="bottom"/>
          </w:tcPr>
          <w:p w14:paraId="298B8926"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0.022</w:t>
            </w:r>
          </w:p>
        </w:tc>
      </w:tr>
      <w:tr w:rsidR="00E760C2" w:rsidRPr="006A1863" w14:paraId="69D69884" w14:textId="77777777" w:rsidTr="006A1863">
        <w:trPr>
          <w:trHeight w:val="284"/>
        </w:trPr>
        <w:tc>
          <w:tcPr>
            <w:tcW w:w="3969" w:type="dxa"/>
            <w:vAlign w:val="bottom"/>
          </w:tcPr>
          <w:p w14:paraId="09BF0C8F"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eastAsia="Calibri" w:cs="Arial"/>
                <w:sz w:val="18"/>
                <w:szCs w:val="18"/>
              </w:rPr>
              <w:t>Sports assets density</w:t>
            </w:r>
          </w:p>
        </w:tc>
        <w:tc>
          <w:tcPr>
            <w:tcW w:w="1985" w:type="dxa"/>
            <w:vAlign w:val="bottom"/>
          </w:tcPr>
          <w:p w14:paraId="01517FC0"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-0.157</w:t>
            </w:r>
          </w:p>
        </w:tc>
        <w:tc>
          <w:tcPr>
            <w:tcW w:w="1748" w:type="dxa"/>
            <w:vAlign w:val="bottom"/>
          </w:tcPr>
          <w:p w14:paraId="2E9EAC43"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-0.163</w:t>
            </w:r>
          </w:p>
        </w:tc>
        <w:tc>
          <w:tcPr>
            <w:tcW w:w="1796" w:type="dxa"/>
            <w:vAlign w:val="bottom"/>
          </w:tcPr>
          <w:p w14:paraId="18435312"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0.055</w:t>
            </w:r>
          </w:p>
        </w:tc>
      </w:tr>
      <w:tr w:rsidR="00E760C2" w:rsidRPr="006A1863" w14:paraId="6CEE67BE" w14:textId="77777777" w:rsidTr="006A1863">
        <w:trPr>
          <w:trHeight w:val="284"/>
        </w:trPr>
        <w:tc>
          <w:tcPr>
            <w:tcW w:w="3969" w:type="dxa"/>
            <w:vAlign w:val="bottom"/>
          </w:tcPr>
          <w:p w14:paraId="68A5E045"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eastAsia="Calibri" w:cs="Arial"/>
                <w:sz w:val="18"/>
                <w:szCs w:val="18"/>
              </w:rPr>
              <w:t>Cultural events per capita</w:t>
            </w:r>
          </w:p>
        </w:tc>
        <w:tc>
          <w:tcPr>
            <w:tcW w:w="1985" w:type="dxa"/>
            <w:vAlign w:val="bottom"/>
          </w:tcPr>
          <w:p w14:paraId="3E99B732"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0.175***</w:t>
            </w:r>
          </w:p>
        </w:tc>
        <w:tc>
          <w:tcPr>
            <w:tcW w:w="1748" w:type="dxa"/>
            <w:vAlign w:val="bottom"/>
          </w:tcPr>
          <w:p w14:paraId="2A15C3DF"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0.311***</w:t>
            </w:r>
          </w:p>
        </w:tc>
        <w:tc>
          <w:tcPr>
            <w:tcW w:w="1796" w:type="dxa"/>
            <w:vAlign w:val="bottom"/>
          </w:tcPr>
          <w:p w14:paraId="2007F929"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0.144</w:t>
            </w:r>
          </w:p>
        </w:tc>
      </w:tr>
      <w:tr w:rsidR="00E760C2" w:rsidRPr="006A1863" w14:paraId="7F92106D" w14:textId="77777777" w:rsidTr="006A1863">
        <w:trPr>
          <w:trHeight w:val="284"/>
        </w:trPr>
        <w:tc>
          <w:tcPr>
            <w:tcW w:w="3969" w:type="dxa"/>
            <w:vAlign w:val="bottom"/>
          </w:tcPr>
          <w:p w14:paraId="110ED9AA"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eastAsia="Calibri" w:cs="Arial"/>
                <w:sz w:val="18"/>
                <w:szCs w:val="18"/>
              </w:rPr>
              <w:t>Libraries density</w:t>
            </w:r>
          </w:p>
        </w:tc>
        <w:tc>
          <w:tcPr>
            <w:tcW w:w="1985" w:type="dxa"/>
            <w:vAlign w:val="bottom"/>
          </w:tcPr>
          <w:p w14:paraId="01C10922"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-0.039</w:t>
            </w:r>
          </w:p>
        </w:tc>
        <w:tc>
          <w:tcPr>
            <w:tcW w:w="1748" w:type="dxa"/>
            <w:vAlign w:val="bottom"/>
          </w:tcPr>
          <w:p w14:paraId="6587FD92"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-0.097</w:t>
            </w:r>
          </w:p>
        </w:tc>
        <w:tc>
          <w:tcPr>
            <w:tcW w:w="1796" w:type="dxa"/>
            <w:vAlign w:val="bottom"/>
          </w:tcPr>
          <w:p w14:paraId="2D17A7EE"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-0.048</w:t>
            </w:r>
          </w:p>
        </w:tc>
      </w:tr>
      <w:tr w:rsidR="00E760C2" w:rsidRPr="006A1863" w14:paraId="07C93E3F" w14:textId="77777777" w:rsidTr="006A1863">
        <w:trPr>
          <w:trHeight w:val="284"/>
        </w:trPr>
        <w:tc>
          <w:tcPr>
            <w:tcW w:w="3969" w:type="dxa"/>
            <w:vAlign w:val="bottom"/>
          </w:tcPr>
          <w:p w14:paraId="218D23EE"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b/>
                <w:sz w:val="18"/>
                <w:szCs w:val="18"/>
                <w:u w:val="single"/>
              </w:rPr>
            </w:pPr>
            <w:r w:rsidRPr="006A1863">
              <w:rPr>
                <w:rFonts w:eastAsia="Calibri" w:cs="Arial"/>
                <w:b/>
                <w:sz w:val="18"/>
                <w:szCs w:val="18"/>
                <w:u w:val="single"/>
              </w:rPr>
              <w:t>Investment</w:t>
            </w:r>
          </w:p>
        </w:tc>
        <w:tc>
          <w:tcPr>
            <w:tcW w:w="1985" w:type="dxa"/>
            <w:vAlign w:val="bottom"/>
          </w:tcPr>
          <w:p w14:paraId="3EA81E87"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b/>
                <w:sz w:val="18"/>
                <w:szCs w:val="18"/>
              </w:rPr>
            </w:pPr>
          </w:p>
        </w:tc>
        <w:tc>
          <w:tcPr>
            <w:tcW w:w="1748" w:type="dxa"/>
            <w:vAlign w:val="bottom"/>
          </w:tcPr>
          <w:p w14:paraId="52A7FC4E"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b/>
                <w:sz w:val="18"/>
                <w:szCs w:val="18"/>
              </w:rPr>
            </w:pPr>
          </w:p>
        </w:tc>
        <w:tc>
          <w:tcPr>
            <w:tcW w:w="1796" w:type="dxa"/>
            <w:vAlign w:val="bottom"/>
          </w:tcPr>
          <w:p w14:paraId="11871F52"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b/>
                <w:sz w:val="18"/>
                <w:szCs w:val="18"/>
              </w:rPr>
            </w:pPr>
          </w:p>
        </w:tc>
      </w:tr>
      <w:tr w:rsidR="00E760C2" w:rsidRPr="006A1863" w14:paraId="2D4D557C" w14:textId="77777777" w:rsidTr="006A1863">
        <w:trPr>
          <w:trHeight w:val="284"/>
        </w:trPr>
        <w:tc>
          <w:tcPr>
            <w:tcW w:w="3969" w:type="dxa"/>
            <w:vAlign w:val="bottom"/>
          </w:tcPr>
          <w:p w14:paraId="4E65A5DE"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eastAsia="Calibri" w:cs="Arial"/>
                <w:sz w:val="18"/>
                <w:szCs w:val="18"/>
              </w:rPr>
              <w:t>Local authority investment in CS&amp;H</w:t>
            </w:r>
          </w:p>
        </w:tc>
        <w:tc>
          <w:tcPr>
            <w:tcW w:w="1985" w:type="dxa"/>
            <w:vAlign w:val="bottom"/>
          </w:tcPr>
          <w:p w14:paraId="2C990B38"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0.005</w:t>
            </w:r>
          </w:p>
        </w:tc>
        <w:tc>
          <w:tcPr>
            <w:tcW w:w="1748" w:type="dxa"/>
            <w:vAlign w:val="bottom"/>
          </w:tcPr>
          <w:p w14:paraId="06502775"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0.060</w:t>
            </w:r>
          </w:p>
        </w:tc>
        <w:tc>
          <w:tcPr>
            <w:tcW w:w="1796" w:type="dxa"/>
            <w:vAlign w:val="bottom"/>
          </w:tcPr>
          <w:p w14:paraId="4C066B40"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-0.095*</w:t>
            </w:r>
          </w:p>
        </w:tc>
      </w:tr>
      <w:tr w:rsidR="00E760C2" w:rsidRPr="006A1863" w14:paraId="3824CF90" w14:textId="77777777" w:rsidTr="006A1863">
        <w:trPr>
          <w:trHeight w:val="284"/>
        </w:trPr>
        <w:tc>
          <w:tcPr>
            <w:tcW w:w="3969" w:type="dxa"/>
            <w:vAlign w:val="bottom"/>
          </w:tcPr>
          <w:p w14:paraId="0AD54AB8"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eastAsia="Calibri" w:cs="Arial"/>
                <w:sz w:val="18"/>
                <w:szCs w:val="18"/>
              </w:rPr>
              <w:t>Lottery investment in CS&amp;H</w:t>
            </w:r>
          </w:p>
        </w:tc>
        <w:tc>
          <w:tcPr>
            <w:tcW w:w="1985" w:type="dxa"/>
            <w:vAlign w:val="bottom"/>
          </w:tcPr>
          <w:p w14:paraId="33A03210"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-0.041</w:t>
            </w:r>
          </w:p>
        </w:tc>
        <w:tc>
          <w:tcPr>
            <w:tcW w:w="1748" w:type="dxa"/>
            <w:vAlign w:val="bottom"/>
          </w:tcPr>
          <w:p w14:paraId="23AD52A7"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0.057</w:t>
            </w:r>
          </w:p>
        </w:tc>
        <w:tc>
          <w:tcPr>
            <w:tcW w:w="1796" w:type="dxa"/>
            <w:vAlign w:val="bottom"/>
          </w:tcPr>
          <w:p w14:paraId="4B48850B"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-0.027</w:t>
            </w:r>
          </w:p>
        </w:tc>
      </w:tr>
      <w:tr w:rsidR="00E760C2" w:rsidRPr="006A1863" w14:paraId="597801B6" w14:textId="77777777" w:rsidTr="006A1863">
        <w:trPr>
          <w:trHeight w:val="284"/>
        </w:trPr>
        <w:tc>
          <w:tcPr>
            <w:tcW w:w="3969" w:type="dxa"/>
            <w:vAlign w:val="bottom"/>
          </w:tcPr>
          <w:p w14:paraId="773B959C"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b/>
                <w:sz w:val="18"/>
                <w:szCs w:val="18"/>
                <w:u w:val="single"/>
              </w:rPr>
            </w:pPr>
            <w:r w:rsidRPr="006A1863">
              <w:rPr>
                <w:rFonts w:eastAsia="Calibri" w:cs="Arial"/>
                <w:b/>
                <w:sz w:val="18"/>
                <w:szCs w:val="18"/>
                <w:u w:val="single"/>
              </w:rPr>
              <w:t>Additional push/pull factors</w:t>
            </w:r>
          </w:p>
        </w:tc>
        <w:tc>
          <w:tcPr>
            <w:tcW w:w="1985" w:type="dxa"/>
            <w:vAlign w:val="bottom"/>
          </w:tcPr>
          <w:p w14:paraId="43E77AC2"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b/>
                <w:sz w:val="18"/>
                <w:szCs w:val="18"/>
              </w:rPr>
            </w:pPr>
          </w:p>
        </w:tc>
        <w:tc>
          <w:tcPr>
            <w:tcW w:w="1748" w:type="dxa"/>
            <w:vAlign w:val="bottom"/>
          </w:tcPr>
          <w:p w14:paraId="225D2C56"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b/>
                <w:sz w:val="18"/>
                <w:szCs w:val="18"/>
              </w:rPr>
            </w:pPr>
          </w:p>
        </w:tc>
        <w:tc>
          <w:tcPr>
            <w:tcW w:w="1796" w:type="dxa"/>
            <w:vAlign w:val="bottom"/>
          </w:tcPr>
          <w:p w14:paraId="6B7A9A22"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b/>
                <w:sz w:val="18"/>
                <w:szCs w:val="18"/>
              </w:rPr>
            </w:pPr>
          </w:p>
        </w:tc>
      </w:tr>
      <w:tr w:rsidR="00E760C2" w:rsidRPr="006A1863" w14:paraId="3B4002E0" w14:textId="77777777" w:rsidTr="006A1863">
        <w:trPr>
          <w:trHeight w:val="284"/>
        </w:trPr>
        <w:tc>
          <w:tcPr>
            <w:tcW w:w="3969" w:type="dxa"/>
            <w:vAlign w:val="bottom"/>
          </w:tcPr>
          <w:p w14:paraId="6BE68A97"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cs="Arial"/>
                <w:bCs/>
                <w:sz w:val="18"/>
                <w:szCs w:val="18"/>
              </w:rPr>
              <w:t>Employment rate</w:t>
            </w:r>
          </w:p>
        </w:tc>
        <w:tc>
          <w:tcPr>
            <w:tcW w:w="1985" w:type="dxa"/>
            <w:vAlign w:val="bottom"/>
          </w:tcPr>
          <w:p w14:paraId="065FBD24"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0.036</w:t>
            </w:r>
          </w:p>
        </w:tc>
        <w:tc>
          <w:tcPr>
            <w:tcW w:w="1748" w:type="dxa"/>
            <w:vAlign w:val="bottom"/>
          </w:tcPr>
          <w:p w14:paraId="21E7D257"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0.041</w:t>
            </w:r>
          </w:p>
        </w:tc>
        <w:tc>
          <w:tcPr>
            <w:tcW w:w="1796" w:type="dxa"/>
            <w:vAlign w:val="bottom"/>
          </w:tcPr>
          <w:p w14:paraId="557D194A"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-0.001</w:t>
            </w:r>
          </w:p>
        </w:tc>
      </w:tr>
      <w:tr w:rsidR="00E760C2" w:rsidRPr="006A1863" w14:paraId="59652ED4" w14:textId="77777777" w:rsidTr="006A1863">
        <w:trPr>
          <w:trHeight w:val="284"/>
        </w:trPr>
        <w:tc>
          <w:tcPr>
            <w:tcW w:w="3969" w:type="dxa"/>
            <w:vAlign w:val="bottom"/>
          </w:tcPr>
          <w:p w14:paraId="21BB20CC"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cs="Arial"/>
                <w:bCs/>
                <w:sz w:val="18"/>
                <w:szCs w:val="18"/>
              </w:rPr>
              <w:t>Skilled labour proportion</w:t>
            </w:r>
          </w:p>
        </w:tc>
        <w:tc>
          <w:tcPr>
            <w:tcW w:w="1985" w:type="dxa"/>
            <w:vAlign w:val="bottom"/>
          </w:tcPr>
          <w:p w14:paraId="22E5E849"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0.406***</w:t>
            </w:r>
          </w:p>
        </w:tc>
        <w:tc>
          <w:tcPr>
            <w:tcW w:w="1748" w:type="dxa"/>
            <w:vAlign w:val="bottom"/>
          </w:tcPr>
          <w:p w14:paraId="690CF882"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-0.036</w:t>
            </w:r>
          </w:p>
        </w:tc>
        <w:tc>
          <w:tcPr>
            <w:tcW w:w="1796" w:type="dxa"/>
            <w:vAlign w:val="bottom"/>
          </w:tcPr>
          <w:p w14:paraId="31A671B6"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0.481</w:t>
            </w:r>
          </w:p>
        </w:tc>
      </w:tr>
      <w:tr w:rsidR="00E760C2" w:rsidRPr="006A1863" w14:paraId="428D087B" w14:textId="77777777" w:rsidTr="006A1863">
        <w:trPr>
          <w:trHeight w:val="284"/>
        </w:trPr>
        <w:tc>
          <w:tcPr>
            <w:tcW w:w="3969" w:type="dxa"/>
            <w:vAlign w:val="bottom"/>
          </w:tcPr>
          <w:p w14:paraId="19C26172"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cs="Arial"/>
                <w:bCs/>
                <w:sz w:val="18"/>
                <w:szCs w:val="18"/>
              </w:rPr>
              <w:t>Housing density</w:t>
            </w:r>
          </w:p>
        </w:tc>
        <w:tc>
          <w:tcPr>
            <w:tcW w:w="1985" w:type="dxa"/>
            <w:vAlign w:val="bottom"/>
          </w:tcPr>
          <w:p w14:paraId="51211181"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-0.485</w:t>
            </w:r>
          </w:p>
        </w:tc>
        <w:tc>
          <w:tcPr>
            <w:tcW w:w="1748" w:type="dxa"/>
            <w:vAlign w:val="bottom"/>
          </w:tcPr>
          <w:p w14:paraId="7CA95973"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0.131</w:t>
            </w:r>
          </w:p>
        </w:tc>
        <w:tc>
          <w:tcPr>
            <w:tcW w:w="1796" w:type="dxa"/>
            <w:vAlign w:val="bottom"/>
          </w:tcPr>
          <w:p w14:paraId="07D99DF2"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-0.886</w:t>
            </w:r>
          </w:p>
        </w:tc>
      </w:tr>
      <w:tr w:rsidR="00E760C2" w:rsidRPr="006A1863" w14:paraId="394AFB7B" w14:textId="77777777" w:rsidTr="006A1863">
        <w:trPr>
          <w:trHeight w:val="284"/>
        </w:trPr>
        <w:tc>
          <w:tcPr>
            <w:tcW w:w="3969" w:type="dxa"/>
            <w:vAlign w:val="bottom"/>
          </w:tcPr>
          <w:p w14:paraId="378B4009"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cs="Arial"/>
                <w:bCs/>
                <w:sz w:val="18"/>
                <w:szCs w:val="18"/>
              </w:rPr>
              <w:t xml:space="preserve">Network infrastructure </w:t>
            </w:r>
          </w:p>
        </w:tc>
        <w:tc>
          <w:tcPr>
            <w:tcW w:w="1985" w:type="dxa"/>
            <w:vAlign w:val="bottom"/>
          </w:tcPr>
          <w:p w14:paraId="74245B94"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0.179</w:t>
            </w:r>
          </w:p>
        </w:tc>
        <w:tc>
          <w:tcPr>
            <w:tcW w:w="1748" w:type="dxa"/>
            <w:vAlign w:val="bottom"/>
          </w:tcPr>
          <w:p w14:paraId="31DA3374"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0.336**</w:t>
            </w:r>
          </w:p>
        </w:tc>
        <w:tc>
          <w:tcPr>
            <w:tcW w:w="1796" w:type="dxa"/>
            <w:vAlign w:val="bottom"/>
          </w:tcPr>
          <w:p w14:paraId="1AF4B831"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0.169</w:t>
            </w:r>
          </w:p>
        </w:tc>
      </w:tr>
      <w:tr w:rsidR="00E760C2" w:rsidRPr="006A1863" w14:paraId="40E0EC84" w14:textId="77777777" w:rsidTr="006A1863">
        <w:trPr>
          <w:trHeight w:val="284"/>
        </w:trPr>
        <w:tc>
          <w:tcPr>
            <w:tcW w:w="3969" w:type="dxa"/>
            <w:vAlign w:val="bottom"/>
          </w:tcPr>
          <w:p w14:paraId="0C9E62B2"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cs="Arial"/>
                <w:bCs/>
                <w:sz w:val="18"/>
                <w:szCs w:val="18"/>
              </w:rPr>
              <w:t>Transport infrastructure</w:t>
            </w:r>
          </w:p>
        </w:tc>
        <w:tc>
          <w:tcPr>
            <w:tcW w:w="1985" w:type="dxa"/>
            <w:vAlign w:val="bottom"/>
          </w:tcPr>
          <w:p w14:paraId="333D054E"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-0.179*</w:t>
            </w:r>
          </w:p>
        </w:tc>
        <w:tc>
          <w:tcPr>
            <w:tcW w:w="1748" w:type="dxa"/>
            <w:vAlign w:val="bottom"/>
          </w:tcPr>
          <w:p w14:paraId="4701557B"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-0.116</w:t>
            </w:r>
          </w:p>
        </w:tc>
        <w:tc>
          <w:tcPr>
            <w:tcW w:w="1796" w:type="dxa"/>
            <w:vAlign w:val="bottom"/>
          </w:tcPr>
          <w:p w14:paraId="193928DA"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-0.111</w:t>
            </w:r>
          </w:p>
        </w:tc>
      </w:tr>
      <w:tr w:rsidR="00E760C2" w:rsidRPr="006A1863" w14:paraId="1B083505" w14:textId="77777777" w:rsidTr="006A1863">
        <w:trPr>
          <w:trHeight w:val="284"/>
        </w:trPr>
        <w:tc>
          <w:tcPr>
            <w:tcW w:w="3969" w:type="dxa"/>
            <w:vAlign w:val="bottom"/>
          </w:tcPr>
          <w:p w14:paraId="0FDE5C12"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cs="Arial"/>
                <w:bCs/>
                <w:sz w:val="18"/>
                <w:szCs w:val="18"/>
              </w:rPr>
              <w:t>Life satisfaction</w:t>
            </w:r>
          </w:p>
        </w:tc>
        <w:tc>
          <w:tcPr>
            <w:tcW w:w="1985" w:type="dxa"/>
            <w:vAlign w:val="bottom"/>
          </w:tcPr>
          <w:p w14:paraId="607EE964"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0.235</w:t>
            </w:r>
          </w:p>
        </w:tc>
        <w:tc>
          <w:tcPr>
            <w:tcW w:w="1748" w:type="dxa"/>
            <w:vAlign w:val="bottom"/>
          </w:tcPr>
          <w:p w14:paraId="7FCC8CC6"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0.394</w:t>
            </w:r>
          </w:p>
        </w:tc>
        <w:tc>
          <w:tcPr>
            <w:tcW w:w="1796" w:type="dxa"/>
            <w:vAlign w:val="bottom"/>
          </w:tcPr>
          <w:p w14:paraId="654173E6"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-0.471</w:t>
            </w:r>
          </w:p>
        </w:tc>
      </w:tr>
      <w:tr w:rsidR="00E760C2" w:rsidRPr="006A1863" w14:paraId="18028CD9" w14:textId="77777777" w:rsidTr="006A1863">
        <w:trPr>
          <w:trHeight w:val="284"/>
        </w:trPr>
        <w:tc>
          <w:tcPr>
            <w:tcW w:w="3969" w:type="dxa"/>
            <w:vAlign w:val="bottom"/>
          </w:tcPr>
          <w:p w14:paraId="24E6BAF6"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cs="Arial"/>
                <w:bCs/>
                <w:sz w:val="18"/>
                <w:szCs w:val="18"/>
              </w:rPr>
              <w:t>Size of the market (population)</w:t>
            </w:r>
          </w:p>
        </w:tc>
        <w:tc>
          <w:tcPr>
            <w:tcW w:w="1985" w:type="dxa"/>
            <w:vAlign w:val="bottom"/>
          </w:tcPr>
          <w:p w14:paraId="429F4768"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0.538</w:t>
            </w:r>
          </w:p>
        </w:tc>
        <w:tc>
          <w:tcPr>
            <w:tcW w:w="1748" w:type="dxa"/>
            <w:vAlign w:val="bottom"/>
          </w:tcPr>
          <w:p w14:paraId="73834B07" w14:textId="77777777" w:rsidR="00E760C2" w:rsidRPr="006A1863" w:rsidRDefault="00E760C2" w:rsidP="006A1863">
            <w:pPr>
              <w:widowControl w:val="0"/>
              <w:autoSpaceDE w:val="0"/>
              <w:autoSpaceDN w:val="0"/>
              <w:adjustRightInd w:val="0"/>
              <w:spacing w:before="80" w:after="120" w:line="276" w:lineRule="auto"/>
              <w:ind w:left="0"/>
              <w:contextualSpacing/>
              <w:jc w:val="center"/>
              <w:rPr>
                <w:rFonts w:eastAsia="Calibri" w:cs="Arial"/>
                <w:sz w:val="18"/>
                <w:szCs w:val="18"/>
              </w:rPr>
            </w:pPr>
            <w:r w:rsidRPr="006A1863">
              <w:rPr>
                <w:rFonts w:eastAsia="Calibri" w:cs="Arial"/>
                <w:sz w:val="18"/>
                <w:szCs w:val="18"/>
              </w:rPr>
              <w:t>0.336</w:t>
            </w:r>
          </w:p>
        </w:tc>
        <w:tc>
          <w:tcPr>
            <w:tcW w:w="1796" w:type="dxa"/>
            <w:vAlign w:val="bottom"/>
          </w:tcPr>
          <w:p w14:paraId="0EE23B1D"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0.810</w:t>
            </w:r>
          </w:p>
        </w:tc>
      </w:tr>
      <w:tr w:rsidR="00E760C2" w:rsidRPr="006A1863" w14:paraId="181A3E85" w14:textId="77777777" w:rsidTr="006A1863">
        <w:trPr>
          <w:trHeight w:val="284"/>
        </w:trPr>
        <w:tc>
          <w:tcPr>
            <w:tcW w:w="3969" w:type="dxa"/>
            <w:tcBorders>
              <w:bottom w:val="single" w:sz="4" w:space="0" w:color="auto"/>
            </w:tcBorders>
            <w:vAlign w:val="bottom"/>
          </w:tcPr>
          <w:p w14:paraId="34E214FC"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cs="Arial"/>
                <w:bCs/>
                <w:sz w:val="18"/>
                <w:szCs w:val="18"/>
              </w:rPr>
              <w:t>GVA per capita</w:t>
            </w:r>
          </w:p>
        </w:tc>
        <w:tc>
          <w:tcPr>
            <w:tcW w:w="1985" w:type="dxa"/>
            <w:tcBorders>
              <w:bottom w:val="single" w:sz="4" w:space="0" w:color="auto"/>
            </w:tcBorders>
            <w:vAlign w:val="bottom"/>
          </w:tcPr>
          <w:p w14:paraId="604BCB35"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0.891***</w:t>
            </w:r>
          </w:p>
        </w:tc>
        <w:tc>
          <w:tcPr>
            <w:tcW w:w="1748" w:type="dxa"/>
            <w:tcBorders>
              <w:bottom w:val="single" w:sz="4" w:space="0" w:color="auto"/>
            </w:tcBorders>
            <w:vAlign w:val="bottom"/>
          </w:tcPr>
          <w:p w14:paraId="56BF8AEB"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0.640***</w:t>
            </w:r>
          </w:p>
        </w:tc>
        <w:tc>
          <w:tcPr>
            <w:tcW w:w="1796" w:type="dxa"/>
            <w:tcBorders>
              <w:bottom w:val="single" w:sz="4" w:space="0" w:color="auto"/>
            </w:tcBorders>
            <w:vAlign w:val="bottom"/>
          </w:tcPr>
          <w:p w14:paraId="0D412AF9"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0.903***</w:t>
            </w:r>
          </w:p>
        </w:tc>
      </w:tr>
      <w:tr w:rsidR="00E760C2" w:rsidRPr="006A1863" w14:paraId="30F05788" w14:textId="77777777" w:rsidTr="006A1863">
        <w:trPr>
          <w:trHeight w:val="284"/>
        </w:trPr>
        <w:tc>
          <w:tcPr>
            <w:tcW w:w="3969" w:type="dxa"/>
            <w:tcBorders>
              <w:top w:val="single" w:sz="4" w:space="0" w:color="auto"/>
              <w:bottom w:val="single" w:sz="4" w:space="0" w:color="auto"/>
            </w:tcBorders>
            <w:vAlign w:val="bottom"/>
          </w:tcPr>
          <w:p w14:paraId="41DD204D" w14:textId="77777777" w:rsidR="00E760C2" w:rsidRPr="006A1863" w:rsidRDefault="00E760C2" w:rsidP="006A1863">
            <w:pPr>
              <w:widowControl w:val="0"/>
              <w:autoSpaceDE w:val="0"/>
              <w:autoSpaceDN w:val="0"/>
              <w:adjustRightInd w:val="0"/>
              <w:spacing w:before="80" w:after="120" w:line="276" w:lineRule="auto"/>
              <w:ind w:left="34"/>
              <w:contextualSpacing/>
              <w:rPr>
                <w:rFonts w:eastAsia="Calibri" w:cs="Arial"/>
                <w:sz w:val="18"/>
                <w:szCs w:val="18"/>
              </w:rPr>
            </w:pPr>
            <w:r w:rsidRPr="006A1863">
              <w:rPr>
                <w:rFonts w:cs="Arial"/>
                <w:bCs/>
                <w:sz w:val="18"/>
                <w:szCs w:val="18"/>
              </w:rPr>
              <w:t>Adjusted R</w:t>
            </w:r>
            <w:r w:rsidRPr="006A1863">
              <w:rPr>
                <w:rFonts w:cs="Arial"/>
                <w:bCs/>
                <w:sz w:val="18"/>
                <w:szCs w:val="18"/>
                <w:vertAlign w:val="superscript"/>
              </w:rPr>
              <w:t>2</w:t>
            </w:r>
          </w:p>
        </w:tc>
        <w:tc>
          <w:tcPr>
            <w:tcW w:w="1985" w:type="dxa"/>
            <w:tcBorders>
              <w:top w:val="single" w:sz="4" w:space="0" w:color="auto"/>
              <w:bottom w:val="single" w:sz="4" w:space="0" w:color="auto"/>
            </w:tcBorders>
            <w:vAlign w:val="bottom"/>
          </w:tcPr>
          <w:p w14:paraId="5B2CF559"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0.8091</w:t>
            </w:r>
          </w:p>
        </w:tc>
        <w:tc>
          <w:tcPr>
            <w:tcW w:w="1748" w:type="dxa"/>
            <w:tcBorders>
              <w:top w:val="single" w:sz="4" w:space="0" w:color="auto"/>
              <w:bottom w:val="single" w:sz="4" w:space="0" w:color="auto"/>
            </w:tcBorders>
            <w:vAlign w:val="bottom"/>
          </w:tcPr>
          <w:p w14:paraId="66CD4D31"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0.7147</w:t>
            </w:r>
          </w:p>
        </w:tc>
        <w:tc>
          <w:tcPr>
            <w:tcW w:w="1796" w:type="dxa"/>
            <w:tcBorders>
              <w:top w:val="single" w:sz="4" w:space="0" w:color="auto"/>
              <w:bottom w:val="single" w:sz="4" w:space="0" w:color="auto"/>
            </w:tcBorders>
            <w:vAlign w:val="bottom"/>
          </w:tcPr>
          <w:p w14:paraId="6D174649" w14:textId="77777777" w:rsidR="00E760C2" w:rsidRPr="006A1863" w:rsidRDefault="00E760C2" w:rsidP="006A1863">
            <w:pPr>
              <w:widowControl w:val="0"/>
              <w:autoSpaceDE w:val="0"/>
              <w:autoSpaceDN w:val="0"/>
              <w:adjustRightInd w:val="0"/>
              <w:spacing w:before="80" w:after="120" w:line="276" w:lineRule="auto"/>
              <w:ind w:left="34"/>
              <w:contextualSpacing/>
              <w:jc w:val="center"/>
              <w:rPr>
                <w:rFonts w:eastAsia="Calibri" w:cs="Arial"/>
                <w:sz w:val="18"/>
                <w:szCs w:val="18"/>
              </w:rPr>
            </w:pPr>
            <w:r w:rsidRPr="006A1863">
              <w:rPr>
                <w:rFonts w:eastAsia="Calibri" w:cs="Arial"/>
                <w:sz w:val="18"/>
                <w:szCs w:val="18"/>
              </w:rPr>
              <w:t>0.7780</w:t>
            </w:r>
          </w:p>
        </w:tc>
      </w:tr>
    </w:tbl>
    <w:p w14:paraId="0F5ABD5F" w14:textId="77777777" w:rsidR="00E760C2" w:rsidRPr="00E760C2" w:rsidRDefault="00E760C2" w:rsidP="00E760C2">
      <w:pPr>
        <w:ind w:left="0"/>
        <w:rPr>
          <w:rFonts w:eastAsia="Calibri" w:cs="Arial"/>
          <w:sz w:val="18"/>
        </w:rPr>
      </w:pPr>
      <w:r w:rsidRPr="00E760C2">
        <w:rPr>
          <w:rFonts w:eastAsia="Calibri" w:cs="Arial"/>
          <w:sz w:val="18"/>
        </w:rPr>
        <w:t>Source: NEF Consulting</w:t>
      </w:r>
    </w:p>
    <w:p w14:paraId="271FAB7F" w14:textId="77777777" w:rsidR="00E760C2" w:rsidRPr="00873DB7" w:rsidRDefault="00E760C2" w:rsidP="00E760C2">
      <w:pPr>
        <w:pStyle w:val="Heading2Numbered"/>
        <w:rPr>
          <w:rFonts w:eastAsia="Calibri"/>
        </w:rPr>
      </w:pPr>
      <w:bookmarkStart w:id="66" w:name="_Toc467569607"/>
      <w:r w:rsidRPr="009548FC">
        <w:rPr>
          <w:rFonts w:eastAsia="Calibri"/>
        </w:rPr>
        <w:t>Technical d</w:t>
      </w:r>
      <w:r w:rsidRPr="009A43FB">
        <w:rPr>
          <w:rFonts w:eastAsia="Calibri"/>
        </w:rPr>
        <w:t xml:space="preserve">iscussion of </w:t>
      </w:r>
      <w:r w:rsidRPr="00873DB7">
        <w:rPr>
          <w:rFonts w:eastAsia="Calibri"/>
        </w:rPr>
        <w:t>econometric approach</w:t>
      </w:r>
      <w:bookmarkEnd w:id="66"/>
    </w:p>
    <w:p w14:paraId="6274A041" w14:textId="0550F099" w:rsidR="000A46E0" w:rsidRDefault="00E760C2" w:rsidP="000A46E0">
      <w:pPr>
        <w:rPr>
          <w:rFonts w:eastAsia="Calibri" w:cs="Arial"/>
        </w:rPr>
      </w:pPr>
      <w:r w:rsidRPr="009548FC">
        <w:rPr>
          <w:rFonts w:eastAsia="Calibri" w:cs="Arial"/>
        </w:rPr>
        <w:t xml:space="preserve">The results show some significant associations between the performance of local economies and CS&amp;H assets and investment. In particular, the number of cultural events per capita is strongly associated with measures of all firms’ economic activity, and there is some evidence that CS&amp;H investment is linked to </w:t>
      </w:r>
      <w:r w:rsidR="00C42AF7">
        <w:rPr>
          <w:rFonts w:eastAsia="Calibri" w:cs="Arial"/>
        </w:rPr>
        <w:t xml:space="preserve">the </w:t>
      </w:r>
      <w:r w:rsidRPr="009548FC">
        <w:rPr>
          <w:rFonts w:eastAsia="Calibri" w:cs="Arial"/>
        </w:rPr>
        <w:t xml:space="preserve">number of firms per capita and </w:t>
      </w:r>
      <w:r w:rsidR="00C42AF7">
        <w:rPr>
          <w:rFonts w:eastAsia="Calibri" w:cs="Arial"/>
        </w:rPr>
        <w:t xml:space="preserve">the </w:t>
      </w:r>
      <w:r w:rsidRPr="009548FC">
        <w:rPr>
          <w:rFonts w:eastAsia="Calibri" w:cs="Arial"/>
        </w:rPr>
        <w:t>net migration of firms. The relative concentration and turnover of creative industries is also strongly associated with the number of cultural events per capita, as well as lagged investment in CS&amp;H in the panel data.</w:t>
      </w:r>
      <w:r w:rsidR="000A46E0" w:rsidRPr="000A46E0">
        <w:rPr>
          <w:rFonts w:eastAsia="Calibri" w:cs="Arial"/>
        </w:rPr>
        <w:t xml:space="preserve"> </w:t>
      </w:r>
    </w:p>
    <w:p w14:paraId="0502F3A4" w14:textId="7B972684" w:rsidR="00E760C2" w:rsidRPr="009548FC" w:rsidRDefault="000A46E0" w:rsidP="000A46E0">
      <w:pPr>
        <w:rPr>
          <w:rFonts w:eastAsia="Calibri" w:cs="Arial"/>
        </w:rPr>
      </w:pPr>
      <w:r>
        <w:rPr>
          <w:rFonts w:eastAsia="Calibri" w:cs="Arial"/>
        </w:rPr>
        <w:t>The</w:t>
      </w:r>
      <w:r w:rsidR="00C42AF7">
        <w:rPr>
          <w:rFonts w:eastAsia="Calibri" w:cs="Arial"/>
        </w:rPr>
        <w:t>se</w:t>
      </w:r>
      <w:r>
        <w:rPr>
          <w:rFonts w:eastAsia="Calibri" w:cs="Arial"/>
        </w:rPr>
        <w:t xml:space="preserve"> results should be considered exploratory and a starting point for further research. The relationships between variables influencing local economic development are complex, with dynamic interactions and uncertain causality. One future avenue of research could be to use a structural equations approach, making the links between variables explicit. However, this would not be possible without clarifying the theoretical relationships between all variables, which as yet </w:t>
      </w:r>
      <w:r w:rsidR="007A3AE1">
        <w:rPr>
          <w:rFonts w:eastAsia="Calibri" w:cs="Arial"/>
        </w:rPr>
        <w:t>are</w:t>
      </w:r>
      <w:r>
        <w:rPr>
          <w:rFonts w:eastAsia="Calibri" w:cs="Arial"/>
        </w:rPr>
        <w:t xml:space="preserve"> not </w:t>
      </w:r>
      <w:r w:rsidR="007A3AE1">
        <w:rPr>
          <w:rFonts w:eastAsia="Calibri" w:cs="Arial"/>
        </w:rPr>
        <w:t xml:space="preserve">wholly </w:t>
      </w:r>
      <w:r>
        <w:rPr>
          <w:rFonts w:eastAsia="Calibri" w:cs="Arial"/>
        </w:rPr>
        <w:t>clear.</w:t>
      </w:r>
    </w:p>
    <w:p w14:paraId="3336E92F" w14:textId="77777777" w:rsidR="000A46E0" w:rsidRDefault="000A46E0" w:rsidP="000A46E0">
      <w:pPr>
        <w:rPr>
          <w:rFonts w:eastAsia="Calibri" w:cs="Arial"/>
        </w:rPr>
      </w:pPr>
      <w:r>
        <w:rPr>
          <w:rFonts w:eastAsia="Calibri" w:cs="Arial"/>
        </w:rPr>
        <w:lastRenderedPageBreak/>
        <w:t>W</w:t>
      </w:r>
      <w:r w:rsidRPr="009548FC">
        <w:rPr>
          <w:rFonts w:eastAsia="Calibri" w:cs="Arial"/>
        </w:rPr>
        <w:t>e must be cautious about the findings of these results for a number of reasons. A key concern is reverse causality, i.e.</w:t>
      </w:r>
      <w:r>
        <w:rPr>
          <w:rFonts w:eastAsia="Calibri" w:cs="Arial"/>
        </w:rPr>
        <w:t xml:space="preserve"> the cause and effect assumptions of our model may be backwards. Our model assumes that higher local authority investment causes improved economic activity. However, it may be the case that</w:t>
      </w:r>
      <w:r w:rsidRPr="009548FC">
        <w:rPr>
          <w:rFonts w:eastAsia="Calibri" w:cs="Arial"/>
        </w:rPr>
        <w:t xml:space="preserve"> </w:t>
      </w:r>
      <w:r>
        <w:rPr>
          <w:rFonts w:eastAsia="Calibri" w:cs="Arial"/>
        </w:rPr>
        <w:t>economic activity causes local authority investment, perhaps due to increased local authority funds in more affluent areas</w:t>
      </w:r>
      <w:r w:rsidRPr="009548FC">
        <w:rPr>
          <w:rFonts w:eastAsia="Calibri" w:cs="Arial"/>
        </w:rPr>
        <w:t xml:space="preserve">. This would bias our results to appear significant when they are not. </w:t>
      </w:r>
      <w:r>
        <w:rPr>
          <w:rFonts w:eastAsia="Calibri" w:cs="Arial"/>
        </w:rPr>
        <w:t>Alternatively, the two variables may appear to be linked but are actually due to some third unidentified factor.</w:t>
      </w:r>
    </w:p>
    <w:p w14:paraId="5D499F83" w14:textId="43A38B04" w:rsidR="00E760C2" w:rsidRPr="009548FC" w:rsidRDefault="00E760C2" w:rsidP="00E760C2">
      <w:pPr>
        <w:rPr>
          <w:rFonts w:eastAsia="Calibri" w:cs="Arial"/>
        </w:rPr>
      </w:pPr>
      <w:r w:rsidRPr="009548FC">
        <w:rPr>
          <w:rFonts w:eastAsia="Calibri" w:cs="Arial"/>
        </w:rPr>
        <w:t>A solution would be to use an instrumental variables approach:</w:t>
      </w:r>
      <w:r w:rsidR="00034DCF">
        <w:rPr>
          <w:rFonts w:eastAsia="Calibri" w:cs="Arial"/>
        </w:rPr>
        <w:t xml:space="preserve"> i.e. to</w:t>
      </w:r>
      <w:r w:rsidRPr="009548FC">
        <w:rPr>
          <w:rFonts w:eastAsia="Calibri" w:cs="Arial"/>
        </w:rPr>
        <w:t xml:space="preserve"> find a variable that only affects firms through its </w:t>
      </w:r>
      <w:r w:rsidR="00034DCF">
        <w:rPr>
          <w:rFonts w:eastAsia="Calibri" w:cs="Arial"/>
        </w:rPr>
        <w:t>relationship with</w:t>
      </w:r>
      <w:r w:rsidRPr="009548FC">
        <w:rPr>
          <w:rFonts w:eastAsia="Calibri" w:cs="Arial"/>
        </w:rPr>
        <w:t xml:space="preserve"> CS&amp;H investment. This would allow an unbiased estimation of results, but we have been unable to identify such a variable</w:t>
      </w:r>
      <w:r w:rsidR="00D61CD6">
        <w:rPr>
          <w:rFonts w:eastAsia="Calibri" w:cs="Arial"/>
        </w:rPr>
        <w:t>. T</w:t>
      </w:r>
      <w:r w:rsidRPr="009548FC">
        <w:rPr>
          <w:rFonts w:eastAsia="Calibri" w:cs="Arial"/>
        </w:rPr>
        <w:t xml:space="preserve">his may be an area for further </w:t>
      </w:r>
      <w:r w:rsidR="00034DCF">
        <w:rPr>
          <w:rFonts w:eastAsia="Calibri" w:cs="Arial"/>
        </w:rPr>
        <w:t>research in the future</w:t>
      </w:r>
      <w:r w:rsidRPr="009548FC">
        <w:rPr>
          <w:rFonts w:eastAsia="Calibri" w:cs="Arial"/>
        </w:rPr>
        <w:t>.</w:t>
      </w:r>
    </w:p>
    <w:p w14:paraId="6C79429F" w14:textId="7418E268" w:rsidR="00E760C2" w:rsidRPr="009548FC" w:rsidRDefault="00E760C2" w:rsidP="00E760C2">
      <w:pPr>
        <w:rPr>
          <w:rFonts w:eastAsia="Calibri" w:cs="Arial"/>
        </w:rPr>
      </w:pPr>
      <w:r w:rsidRPr="009548FC">
        <w:rPr>
          <w:rFonts w:eastAsia="Calibri" w:cs="Arial"/>
        </w:rPr>
        <w:t>Another area for attention is our unit of analysis</w:t>
      </w:r>
      <w:r w:rsidR="00034DCF">
        <w:rPr>
          <w:rFonts w:eastAsia="Calibri" w:cs="Arial"/>
        </w:rPr>
        <w:t>,</w:t>
      </w:r>
      <w:r w:rsidRPr="009548FC">
        <w:rPr>
          <w:rFonts w:eastAsia="Calibri" w:cs="Arial"/>
        </w:rPr>
        <w:t xml:space="preserve"> the local authority. Effects of arts, culture and heritage have been found in previous studies to be hyperlocal. As such, the local authority is a comparatively large unit of analysis – however, we have had to balance the need for a </w:t>
      </w:r>
      <w:r w:rsidR="00034DCF">
        <w:rPr>
          <w:rFonts w:eastAsia="Calibri" w:cs="Arial"/>
        </w:rPr>
        <w:t xml:space="preserve">local or </w:t>
      </w:r>
      <w:r w:rsidRPr="009548FC">
        <w:rPr>
          <w:rFonts w:eastAsia="Calibri" w:cs="Arial"/>
        </w:rPr>
        <w:t>hyperlocal focus with availability of data. Some CS&amp;H assets and investment data is available at postcode level</w:t>
      </w:r>
      <w:r w:rsidR="00034DCF">
        <w:rPr>
          <w:rFonts w:eastAsia="Calibri" w:cs="Arial"/>
        </w:rPr>
        <w:t>, or even by grid reference</w:t>
      </w:r>
      <w:r w:rsidRPr="009548FC">
        <w:rPr>
          <w:rFonts w:eastAsia="Calibri" w:cs="Arial"/>
        </w:rPr>
        <w:t xml:space="preserve">, but such local detail is not available consistently. While economic performance can also be analysed at hyperlocal scales, however, few of our control variables are available below local authority level. An econometric analysis at hyperlocal level has therefore not been possible. The availability of localised datasets which might allow further testing of our models at hyperlocal levels is worth exploring. </w:t>
      </w:r>
    </w:p>
    <w:p w14:paraId="59D8D8AC" w14:textId="4B023556" w:rsidR="00FA72FB" w:rsidRDefault="00E760C2" w:rsidP="00FA72FB">
      <w:pPr>
        <w:rPr>
          <w:rFonts w:eastAsia="Calibri" w:cs="Arial"/>
        </w:rPr>
      </w:pPr>
      <w:r w:rsidRPr="009548FC">
        <w:rPr>
          <w:rFonts w:eastAsia="Calibri" w:cs="Arial"/>
        </w:rPr>
        <w:t xml:space="preserve">A third area where better data is needed is </w:t>
      </w:r>
      <w:r w:rsidR="00034DCF">
        <w:rPr>
          <w:rFonts w:eastAsia="Calibri" w:cs="Arial"/>
        </w:rPr>
        <w:t xml:space="preserve">changes in </w:t>
      </w:r>
      <w:r w:rsidRPr="009548FC">
        <w:rPr>
          <w:rFonts w:eastAsia="Calibri" w:cs="Arial"/>
        </w:rPr>
        <w:t xml:space="preserve">culture, sports and heritage assets over time. Many (though not all) datasets are available only as a current snapshot, which presents a challenge for longitudinal analysis. </w:t>
      </w:r>
      <w:r w:rsidR="00FA72FB">
        <w:rPr>
          <w:rFonts w:eastAsia="Calibri" w:cs="Arial"/>
        </w:rPr>
        <w:t>Therefore, our panel data analysis does not contain many push/pull factors explicitly (our main control, the Competitiveness Index</w:t>
      </w:r>
      <w:r w:rsidR="00BD1C2B">
        <w:rPr>
          <w:rFonts w:eastAsia="Calibri" w:cs="Arial"/>
        </w:rPr>
        <w:t xml:space="preserve"> (Centre for International Competitiveness, </w:t>
      </w:r>
      <w:r w:rsidR="00970152">
        <w:rPr>
          <w:rFonts w:eastAsia="Calibri" w:cs="Arial"/>
        </w:rPr>
        <w:t>2016</w:t>
      </w:r>
      <w:r w:rsidR="00BD1C2B">
        <w:rPr>
          <w:rFonts w:eastAsia="Calibri" w:cs="Arial"/>
        </w:rPr>
        <w:t>)</w:t>
      </w:r>
      <w:r w:rsidR="00FA72FB">
        <w:rPr>
          <w:rFonts w:eastAsia="Calibri" w:cs="Arial"/>
        </w:rPr>
        <w:t>, contains many of these factors but aggregated and so specific effects cannot be determined</w:t>
      </w:r>
      <w:r w:rsidR="00C42AF7">
        <w:rPr>
          <w:rFonts w:eastAsia="Calibri" w:cs="Arial"/>
        </w:rPr>
        <w:t>.</w:t>
      </w:r>
      <w:r w:rsidR="00FA72FB">
        <w:rPr>
          <w:rFonts w:eastAsia="Calibri" w:cs="Arial"/>
        </w:rPr>
        <w:t xml:space="preserve"> </w:t>
      </w:r>
      <w:r w:rsidR="00C42AF7">
        <w:rPr>
          <w:rFonts w:eastAsia="Calibri" w:cs="Arial"/>
        </w:rPr>
        <w:t xml:space="preserve">It </w:t>
      </w:r>
      <w:r w:rsidR="00FA72FB">
        <w:rPr>
          <w:rFonts w:eastAsia="Calibri" w:cs="Arial"/>
        </w:rPr>
        <w:t xml:space="preserve">was felt </w:t>
      </w:r>
      <w:r w:rsidR="00C42AF7">
        <w:rPr>
          <w:rFonts w:eastAsia="Calibri" w:cs="Arial"/>
        </w:rPr>
        <w:t xml:space="preserve">that </w:t>
      </w:r>
      <w:r w:rsidR="00FA72FB">
        <w:rPr>
          <w:rFonts w:eastAsia="Calibri" w:cs="Arial"/>
        </w:rPr>
        <w:t xml:space="preserve">it was better to include a more reliable composite indicator, even though the individual effects </w:t>
      </w:r>
      <w:r w:rsidR="00C42AF7">
        <w:rPr>
          <w:rFonts w:eastAsia="Calibri" w:cs="Arial"/>
        </w:rPr>
        <w:t xml:space="preserve">would be </w:t>
      </w:r>
      <w:r w:rsidR="00FA72FB">
        <w:rPr>
          <w:rFonts w:eastAsia="Calibri" w:cs="Arial"/>
        </w:rPr>
        <w:t>masked. However, with better data this would not be necessary.</w:t>
      </w:r>
    </w:p>
    <w:p w14:paraId="02FDCC65" w14:textId="2EC4EF3F" w:rsidR="00E760C2" w:rsidRPr="009548FC" w:rsidRDefault="00FA72FB" w:rsidP="00FA72FB">
      <w:pPr>
        <w:rPr>
          <w:rFonts w:eastAsia="Calibri" w:cs="Arial"/>
        </w:rPr>
      </w:pPr>
      <w:r>
        <w:rPr>
          <w:rFonts w:eastAsia="Calibri" w:cs="Arial"/>
        </w:rPr>
        <w:t>In future, further data could be gathered to improve analysis over time:</w:t>
      </w:r>
      <w:r w:rsidR="00E760C2" w:rsidRPr="009548FC">
        <w:rPr>
          <w:rFonts w:eastAsia="Calibri" w:cs="Arial"/>
        </w:rPr>
        <w:t xml:space="preserve"> data such as cultural events listings could perhaps be expanded to be longitudinal</w:t>
      </w:r>
      <w:r w:rsidR="00B11B4E">
        <w:rPr>
          <w:rFonts w:eastAsia="Calibri" w:cs="Arial"/>
        </w:rPr>
        <w:t>, for example</w:t>
      </w:r>
      <w:r w:rsidR="00E760C2" w:rsidRPr="009548FC">
        <w:rPr>
          <w:rFonts w:eastAsia="Calibri" w:cs="Arial"/>
        </w:rPr>
        <w:t xml:space="preserve"> if data </w:t>
      </w:r>
      <w:r w:rsidR="00B11B4E">
        <w:rPr>
          <w:rFonts w:eastAsia="Calibri" w:cs="Arial"/>
        </w:rPr>
        <w:t>wa</w:t>
      </w:r>
      <w:r w:rsidR="00E760C2" w:rsidRPr="009548FC">
        <w:rPr>
          <w:rFonts w:eastAsia="Calibri" w:cs="Arial"/>
        </w:rPr>
        <w:t>s scraped from the web annually.</w:t>
      </w:r>
    </w:p>
    <w:p w14:paraId="5D96F144" w14:textId="49B4D953" w:rsidR="00E760C2" w:rsidRPr="009548FC" w:rsidRDefault="00E760C2" w:rsidP="00E760C2">
      <w:pPr>
        <w:rPr>
          <w:rFonts w:eastAsia="Calibri" w:cs="Arial"/>
        </w:rPr>
      </w:pPr>
      <w:r w:rsidRPr="009548FC">
        <w:rPr>
          <w:rFonts w:eastAsia="Calibri" w:cs="Arial"/>
        </w:rPr>
        <w:t xml:space="preserve">Nevertheless, the dataset we have compiled for this study is incredibly rich and detailed, in particular containing detailed breakdowns of types of local authority investment and lottery investment. Culture, sport and heritage are diverse areas and although treated in aggregate in this analysis (effects could not be separated due to collinearity of </w:t>
      </w:r>
      <w:r w:rsidR="00D61CD6">
        <w:rPr>
          <w:rFonts w:eastAsia="Calibri" w:cs="Arial"/>
        </w:rPr>
        <w:t xml:space="preserve">CS&amp;H </w:t>
      </w:r>
      <w:r w:rsidRPr="009548FC">
        <w:rPr>
          <w:rFonts w:eastAsia="Calibri" w:cs="Arial"/>
        </w:rPr>
        <w:t>variables), it is worth exploring the potentially differing mechanisms of their effects.</w:t>
      </w:r>
    </w:p>
    <w:p w14:paraId="02B2AEDA" w14:textId="27CE695C" w:rsidR="00E760C2" w:rsidRPr="009548FC" w:rsidRDefault="00E760C2" w:rsidP="00E760C2">
      <w:pPr>
        <w:rPr>
          <w:rFonts w:eastAsia="Calibri" w:cs="Arial"/>
        </w:rPr>
      </w:pPr>
      <w:r w:rsidRPr="009548FC">
        <w:rPr>
          <w:rFonts w:eastAsia="Calibri" w:cs="Arial"/>
        </w:rPr>
        <w:t xml:space="preserve">An important question that naturally follows on from our analysis is whether </w:t>
      </w:r>
      <w:r w:rsidR="00D61CD6">
        <w:rPr>
          <w:rFonts w:eastAsia="Calibri" w:cs="Arial"/>
        </w:rPr>
        <w:t>CS&amp;H assets</w:t>
      </w:r>
      <w:r w:rsidRPr="009548FC">
        <w:rPr>
          <w:rFonts w:eastAsia="Calibri" w:cs="Arial"/>
        </w:rPr>
        <w:t xml:space="preserve"> and investment generate </w:t>
      </w:r>
      <w:r w:rsidR="00D61CD6">
        <w:rPr>
          <w:rFonts w:eastAsia="Calibri" w:cs="Arial"/>
        </w:rPr>
        <w:t>sustained</w:t>
      </w:r>
      <w:r w:rsidR="00D61CD6" w:rsidRPr="009548FC">
        <w:rPr>
          <w:rFonts w:eastAsia="Calibri" w:cs="Arial"/>
        </w:rPr>
        <w:t xml:space="preserve"> </w:t>
      </w:r>
      <w:r w:rsidRPr="009548FC">
        <w:rPr>
          <w:rFonts w:eastAsia="Calibri" w:cs="Arial"/>
        </w:rPr>
        <w:t xml:space="preserve">economic impacts or rather a temporary ‘multiplier’ effect that diminishes over time. It is unsurprising that any investment, including culture, sport and heritage, will boost the </w:t>
      </w:r>
      <w:r w:rsidR="00034DCF">
        <w:rPr>
          <w:rFonts w:eastAsia="Calibri" w:cs="Arial"/>
        </w:rPr>
        <w:t xml:space="preserve">local </w:t>
      </w:r>
      <w:r w:rsidRPr="009548FC">
        <w:rPr>
          <w:rFonts w:eastAsia="Calibri" w:cs="Arial"/>
        </w:rPr>
        <w:t xml:space="preserve">economy in the short term, through the activity </w:t>
      </w:r>
      <w:r w:rsidR="00034DCF">
        <w:rPr>
          <w:rFonts w:eastAsia="Calibri" w:cs="Arial"/>
        </w:rPr>
        <w:t>it directly</w:t>
      </w:r>
      <w:r w:rsidRPr="009548FC">
        <w:rPr>
          <w:rFonts w:eastAsia="Calibri" w:cs="Arial"/>
        </w:rPr>
        <w:t xml:space="preserve"> create</w:t>
      </w:r>
      <w:r w:rsidR="00034DCF">
        <w:rPr>
          <w:rFonts w:eastAsia="Calibri" w:cs="Arial"/>
        </w:rPr>
        <w:t>s</w:t>
      </w:r>
      <w:r w:rsidRPr="009548FC">
        <w:rPr>
          <w:rFonts w:eastAsia="Calibri" w:cs="Arial"/>
        </w:rPr>
        <w:t>. However, economies are dynamic and may respond in unexpected ways: in the long term such investment could crowd out other investment</w:t>
      </w:r>
      <w:r w:rsidR="005F4DE2">
        <w:rPr>
          <w:rFonts w:eastAsia="Calibri" w:cs="Arial"/>
        </w:rPr>
        <w:t xml:space="preserve"> (Pedroni et al, 2012)</w:t>
      </w:r>
      <w:r w:rsidRPr="009548FC">
        <w:rPr>
          <w:rFonts w:eastAsia="Calibri" w:cs="Arial"/>
        </w:rPr>
        <w:t>. We could not answer this question with only ten years</w:t>
      </w:r>
      <w:r w:rsidR="00F87951">
        <w:rPr>
          <w:rFonts w:eastAsia="Calibri" w:cs="Arial"/>
        </w:rPr>
        <w:t>’</w:t>
      </w:r>
      <w:r w:rsidRPr="009548FC">
        <w:rPr>
          <w:rFonts w:eastAsia="Calibri" w:cs="Arial"/>
        </w:rPr>
        <w:t xml:space="preserve"> of data – a longer term dataset would be needed</w:t>
      </w:r>
      <w:r w:rsidR="00034DCF" w:rsidRPr="009548FC">
        <w:rPr>
          <w:rFonts w:eastAsia="Calibri" w:cs="Arial"/>
        </w:rPr>
        <w:t xml:space="preserve"> – </w:t>
      </w:r>
      <w:r w:rsidRPr="009548FC">
        <w:rPr>
          <w:rFonts w:eastAsia="Calibri" w:cs="Arial"/>
        </w:rPr>
        <w:t xml:space="preserve">but this is an important area for further research in the future as </w:t>
      </w:r>
      <w:r w:rsidR="00D61CD6">
        <w:rPr>
          <w:rFonts w:eastAsia="Calibri" w:cs="Arial"/>
        </w:rPr>
        <w:t>more</w:t>
      </w:r>
      <w:r w:rsidR="00D61CD6" w:rsidRPr="009548FC">
        <w:rPr>
          <w:rFonts w:eastAsia="Calibri" w:cs="Arial"/>
        </w:rPr>
        <w:t xml:space="preserve"> </w:t>
      </w:r>
      <w:r w:rsidRPr="009548FC">
        <w:rPr>
          <w:rFonts w:eastAsia="Calibri" w:cs="Arial"/>
        </w:rPr>
        <w:t xml:space="preserve">data </w:t>
      </w:r>
      <w:r w:rsidRPr="009548FC">
        <w:rPr>
          <w:rFonts w:eastAsia="Calibri" w:cs="Arial"/>
        </w:rPr>
        <w:lastRenderedPageBreak/>
        <w:t>becomes available</w:t>
      </w:r>
      <w:r w:rsidR="00D61CD6">
        <w:rPr>
          <w:rFonts w:eastAsia="Calibri" w:cs="Arial"/>
        </w:rPr>
        <w:t>; w</w:t>
      </w:r>
      <w:r w:rsidR="004E2A85">
        <w:rPr>
          <w:rFonts w:eastAsia="Calibri" w:cs="Arial"/>
        </w:rPr>
        <w:t>e suggest that</w:t>
      </w:r>
      <w:r w:rsidR="00150389">
        <w:rPr>
          <w:rFonts w:eastAsia="Calibri" w:cs="Arial"/>
        </w:rPr>
        <w:t xml:space="preserve"> data should be collected regularly over </w:t>
      </w:r>
      <w:r w:rsidR="004E2A85">
        <w:rPr>
          <w:rFonts w:eastAsia="Calibri" w:cs="Arial"/>
        </w:rPr>
        <w:t>another</w:t>
      </w:r>
      <w:r w:rsidR="00150389">
        <w:rPr>
          <w:rFonts w:eastAsia="Calibri" w:cs="Arial"/>
        </w:rPr>
        <w:t xml:space="preserve"> ten years to allow </w:t>
      </w:r>
      <w:r w:rsidR="00AF57DE">
        <w:rPr>
          <w:rFonts w:eastAsia="Calibri" w:cs="Arial"/>
        </w:rPr>
        <w:t>sufficient</w:t>
      </w:r>
      <w:r w:rsidR="00150389">
        <w:rPr>
          <w:rFonts w:eastAsia="Calibri" w:cs="Arial"/>
        </w:rPr>
        <w:t xml:space="preserve"> data </w:t>
      </w:r>
      <w:r w:rsidR="00AF57DE">
        <w:rPr>
          <w:rFonts w:eastAsia="Calibri" w:cs="Arial"/>
        </w:rPr>
        <w:t>for proper</w:t>
      </w:r>
      <w:r w:rsidR="00150389">
        <w:rPr>
          <w:rFonts w:eastAsia="Calibri" w:cs="Arial"/>
        </w:rPr>
        <w:t xml:space="preserve"> analys</w:t>
      </w:r>
      <w:r w:rsidR="00AF57DE">
        <w:rPr>
          <w:rFonts w:eastAsia="Calibri" w:cs="Arial"/>
        </w:rPr>
        <w:t>is</w:t>
      </w:r>
      <w:r w:rsidR="00150389">
        <w:rPr>
          <w:rFonts w:eastAsia="Calibri" w:cs="Arial"/>
        </w:rPr>
        <w:t xml:space="preserve">. </w:t>
      </w:r>
    </w:p>
    <w:p w14:paraId="1BEA8FF4" w14:textId="47978871" w:rsidR="00E760C2" w:rsidRPr="009548FC" w:rsidRDefault="00E760C2" w:rsidP="00E760C2">
      <w:pPr>
        <w:rPr>
          <w:rFonts w:eastAsia="Calibri" w:cs="Arial"/>
        </w:rPr>
      </w:pPr>
      <w:r w:rsidRPr="009548FC">
        <w:rPr>
          <w:rFonts w:eastAsia="Calibri" w:cs="Arial"/>
        </w:rPr>
        <w:t xml:space="preserve">Note that </w:t>
      </w:r>
      <w:r w:rsidRPr="009548FC">
        <w:t xml:space="preserve">the broader implications of these results are discussed in more detail in the conclusion </w:t>
      </w:r>
      <w:r w:rsidR="00B11B4E">
        <w:t>(</w:t>
      </w:r>
      <w:r w:rsidRPr="009548FC">
        <w:t>section</w:t>
      </w:r>
      <w:r w:rsidR="00B11B4E">
        <w:t xml:space="preserve"> </w:t>
      </w:r>
      <w:r w:rsidR="00B11B4E">
        <w:fldChar w:fldCharType="begin"/>
      </w:r>
      <w:r w:rsidR="00B11B4E">
        <w:instrText xml:space="preserve"> REF _Ref460317720 \r \h </w:instrText>
      </w:r>
      <w:r w:rsidR="00B11B4E">
        <w:fldChar w:fldCharType="separate"/>
      </w:r>
      <w:r w:rsidR="00F0636B">
        <w:t>5:</w:t>
      </w:r>
      <w:r w:rsidR="00B11B4E">
        <w:fldChar w:fldCharType="end"/>
      </w:r>
      <w:r w:rsidR="00B11B4E">
        <w:t xml:space="preserve"> p.</w:t>
      </w:r>
      <w:r w:rsidR="00B11B4E">
        <w:fldChar w:fldCharType="begin"/>
      </w:r>
      <w:r w:rsidR="00B11B4E">
        <w:instrText xml:space="preserve"> PAGEREF _Ref460317723 \h </w:instrText>
      </w:r>
      <w:r w:rsidR="00B11B4E">
        <w:fldChar w:fldCharType="separate"/>
      </w:r>
      <w:r w:rsidR="00F0636B">
        <w:rPr>
          <w:noProof/>
        </w:rPr>
        <w:t>36</w:t>
      </w:r>
      <w:r w:rsidR="00B11B4E">
        <w:fldChar w:fldCharType="end"/>
      </w:r>
      <w:r w:rsidR="00B11B4E">
        <w:t>)</w:t>
      </w:r>
      <w:r w:rsidRPr="009548FC">
        <w:t>.</w:t>
      </w:r>
    </w:p>
    <w:p w14:paraId="1112E759" w14:textId="6CFF34F2" w:rsidR="004E0FEF" w:rsidRPr="00514EFA" w:rsidRDefault="004E0FEF" w:rsidP="00E223F8">
      <w:pPr>
        <w:pStyle w:val="Heading1Numbered"/>
        <w:rPr>
          <w:rFonts w:eastAsia="Calibri" w:cs="Arial"/>
        </w:rPr>
      </w:pPr>
      <w:bookmarkStart w:id="67" w:name="_Ref460317720"/>
      <w:bookmarkStart w:id="68" w:name="_Ref460317723"/>
      <w:bookmarkStart w:id="69" w:name="_Toc467569608"/>
      <w:r w:rsidRPr="00514EFA">
        <w:rPr>
          <w:rFonts w:eastAsia="Calibri" w:cs="Arial"/>
        </w:rPr>
        <w:lastRenderedPageBreak/>
        <w:t>Conclusions</w:t>
      </w:r>
      <w:r w:rsidR="001E3382">
        <w:rPr>
          <w:rFonts w:eastAsia="Calibri" w:cs="Arial"/>
        </w:rPr>
        <w:t>: discussion of findings and implications</w:t>
      </w:r>
      <w:bookmarkEnd w:id="67"/>
      <w:bookmarkEnd w:id="68"/>
      <w:bookmarkEnd w:id="69"/>
      <w:r w:rsidR="001E3382">
        <w:rPr>
          <w:rFonts w:eastAsia="Calibri" w:cs="Arial"/>
        </w:rPr>
        <w:t xml:space="preserve"> </w:t>
      </w:r>
    </w:p>
    <w:p w14:paraId="24A9E550" w14:textId="361B9DC8" w:rsidR="004E0FEF" w:rsidRPr="00514EFA" w:rsidRDefault="006E084B" w:rsidP="006E084B">
      <w:pPr>
        <w:rPr>
          <w:rFonts w:eastAsia="Calibri" w:cs="Arial"/>
        </w:rPr>
      </w:pPr>
      <w:r w:rsidRPr="00514EFA">
        <w:rPr>
          <w:rFonts w:eastAsia="Calibri" w:cs="Arial"/>
        </w:rPr>
        <w:t>It has long been recognised that culture, sport and heritage have the capacity to add a great deal to local places and to stimulate community engagement.</w:t>
      </w:r>
      <w:r w:rsidR="00A033C6">
        <w:rPr>
          <w:rFonts w:eastAsia="Calibri" w:cs="Arial"/>
        </w:rPr>
        <w:t xml:space="preserve"> </w:t>
      </w:r>
      <w:r w:rsidRPr="00514EFA">
        <w:rPr>
          <w:rFonts w:eastAsia="Calibri" w:cs="Arial"/>
        </w:rPr>
        <w:t xml:space="preserve">The existing evidence base regarding these interactions is relatively well developed </w:t>
      </w:r>
      <w:r w:rsidR="0097236C">
        <w:rPr>
          <w:rFonts w:eastAsia="Calibri" w:cs="Arial"/>
        </w:rPr>
        <w:t>al</w:t>
      </w:r>
      <w:r w:rsidRPr="00514EFA">
        <w:rPr>
          <w:rFonts w:eastAsia="Calibri" w:cs="Arial"/>
        </w:rPr>
        <w:t>though studies have tended to focus on specific institutions or assets (e.g. in order to understand the economic or social impact of a theatre</w:t>
      </w:r>
      <w:r w:rsidR="00936C00">
        <w:rPr>
          <w:rFonts w:eastAsia="Calibri" w:cs="Arial"/>
        </w:rPr>
        <w:t xml:space="preserve"> or event</w:t>
      </w:r>
      <w:r w:rsidRPr="00514EFA">
        <w:rPr>
          <w:rFonts w:eastAsia="Calibri" w:cs="Arial"/>
        </w:rPr>
        <w:t xml:space="preserve">), </w:t>
      </w:r>
      <w:r w:rsidR="0097236C">
        <w:rPr>
          <w:rFonts w:eastAsia="Calibri" w:cs="Arial"/>
        </w:rPr>
        <w:t xml:space="preserve">and </w:t>
      </w:r>
      <w:r w:rsidRPr="00514EFA">
        <w:rPr>
          <w:rFonts w:eastAsia="Calibri" w:cs="Arial"/>
        </w:rPr>
        <w:t>on specific outcome</w:t>
      </w:r>
      <w:r w:rsidR="0097236C">
        <w:rPr>
          <w:rFonts w:eastAsia="Calibri" w:cs="Arial"/>
        </w:rPr>
        <w:t>s</w:t>
      </w:r>
      <w:r w:rsidRPr="00514EFA">
        <w:rPr>
          <w:rFonts w:eastAsia="Calibri" w:cs="Arial"/>
        </w:rPr>
        <w:t xml:space="preserve"> (e.g. house prices), </w:t>
      </w:r>
      <w:r w:rsidR="0097236C">
        <w:rPr>
          <w:rFonts w:eastAsia="Calibri" w:cs="Arial"/>
        </w:rPr>
        <w:t xml:space="preserve">and been </w:t>
      </w:r>
      <w:r w:rsidRPr="00514EFA">
        <w:rPr>
          <w:rFonts w:eastAsia="Calibri" w:cs="Arial"/>
        </w:rPr>
        <w:t xml:space="preserve">cross-sectional or not UK-based. </w:t>
      </w:r>
    </w:p>
    <w:p w14:paraId="43BF537F" w14:textId="093C7656" w:rsidR="006E084B" w:rsidRPr="00514EFA" w:rsidRDefault="006E084B" w:rsidP="006E084B">
      <w:pPr>
        <w:rPr>
          <w:rFonts w:cs="Arial"/>
        </w:rPr>
      </w:pPr>
      <w:r w:rsidRPr="00514EFA">
        <w:rPr>
          <w:rFonts w:cs="Arial"/>
        </w:rPr>
        <w:t>This study focuses on a key gap in the evidence base associated with the question of whether, when all local places are examined, an empirical link</w:t>
      </w:r>
      <w:r w:rsidR="00D61CD6" w:rsidRPr="00D61CD6">
        <w:rPr>
          <w:rFonts w:cs="Arial"/>
        </w:rPr>
        <w:t xml:space="preserve"> </w:t>
      </w:r>
      <w:r w:rsidR="00D61CD6" w:rsidRPr="00514EFA">
        <w:rPr>
          <w:rFonts w:cs="Arial"/>
        </w:rPr>
        <w:t>can be detected</w:t>
      </w:r>
      <w:r w:rsidRPr="00514EFA">
        <w:rPr>
          <w:rFonts w:cs="Arial"/>
        </w:rPr>
        <w:t xml:space="preserve"> between the presence of or investment in CS&amp;H assets and positive economic outcomes.</w:t>
      </w:r>
      <w:r w:rsidR="00A033C6">
        <w:rPr>
          <w:rFonts w:cs="Arial"/>
        </w:rPr>
        <w:t xml:space="preserve"> </w:t>
      </w:r>
    </w:p>
    <w:p w14:paraId="599128D4" w14:textId="565D552D" w:rsidR="006E084B" w:rsidRPr="00514EFA" w:rsidRDefault="006E084B" w:rsidP="006E084B">
      <w:pPr>
        <w:rPr>
          <w:rFonts w:cs="Arial"/>
        </w:rPr>
      </w:pPr>
      <w:r w:rsidRPr="00514EFA">
        <w:rPr>
          <w:rFonts w:cs="Arial"/>
        </w:rPr>
        <w:t xml:space="preserve">There are some important contextual points to consider before drawing conclusions from the analysis presented </w:t>
      </w:r>
      <w:r w:rsidR="00D61CD6">
        <w:rPr>
          <w:rFonts w:cs="Arial"/>
        </w:rPr>
        <w:t xml:space="preserve">in this </w:t>
      </w:r>
      <w:r w:rsidR="00541CE0">
        <w:rPr>
          <w:rFonts w:cs="Arial"/>
        </w:rPr>
        <w:t>report</w:t>
      </w:r>
      <w:r w:rsidRPr="00514EFA">
        <w:rPr>
          <w:rFonts w:cs="Arial"/>
        </w:rPr>
        <w:t>.</w:t>
      </w:r>
      <w:r w:rsidR="00A033C6">
        <w:rPr>
          <w:rFonts w:cs="Arial"/>
        </w:rPr>
        <w:t xml:space="preserve"> </w:t>
      </w:r>
      <w:r w:rsidR="00541CE0">
        <w:rPr>
          <w:rFonts w:cs="Arial"/>
        </w:rPr>
        <w:t>First, t</w:t>
      </w:r>
      <w:r w:rsidR="00541CE0" w:rsidRPr="00514EFA">
        <w:rPr>
          <w:rFonts w:cs="Arial"/>
        </w:rPr>
        <w:t xml:space="preserve">here </w:t>
      </w:r>
      <w:r w:rsidRPr="00514EFA">
        <w:rPr>
          <w:rFonts w:cs="Arial"/>
        </w:rPr>
        <w:t>is no tried and tested methodology for a study of this nature</w:t>
      </w:r>
      <w:r w:rsidR="00ED1F3B">
        <w:rPr>
          <w:rFonts w:cs="Arial"/>
        </w:rPr>
        <w:t xml:space="preserve">, </w:t>
      </w:r>
      <w:r w:rsidR="00541CE0">
        <w:rPr>
          <w:rFonts w:cs="Arial"/>
        </w:rPr>
        <w:t xml:space="preserve">and our approach has therefore been highly exploratory. </w:t>
      </w:r>
      <w:r w:rsidRPr="00514EFA">
        <w:rPr>
          <w:rFonts w:cs="Arial"/>
        </w:rPr>
        <w:t xml:space="preserve">The results should be interpreted </w:t>
      </w:r>
      <w:r w:rsidR="00307677">
        <w:rPr>
          <w:rFonts w:cs="Arial"/>
        </w:rPr>
        <w:t>with this in mind</w:t>
      </w:r>
      <w:r w:rsidRPr="00514EFA">
        <w:rPr>
          <w:rFonts w:cs="Arial"/>
        </w:rPr>
        <w:t>.</w:t>
      </w:r>
      <w:r w:rsidR="00A033C6">
        <w:rPr>
          <w:rFonts w:cs="Arial"/>
        </w:rPr>
        <w:t xml:space="preserve"> </w:t>
      </w:r>
      <w:r w:rsidR="00541CE0">
        <w:rPr>
          <w:rFonts w:cs="Arial"/>
        </w:rPr>
        <w:t>T</w:t>
      </w:r>
      <w:r w:rsidRPr="00514EFA">
        <w:rPr>
          <w:rFonts w:cs="Arial"/>
        </w:rPr>
        <w:t>he study might be considered the first step on a research journey for which the ultimate destination is the gaining of deeper insight into the extent to which, and how, CS&amp;H assets and investment generate positive economic and social outcomes at the local (place) level</w:t>
      </w:r>
      <w:r w:rsidR="00307677">
        <w:rPr>
          <w:rFonts w:cs="Arial"/>
        </w:rPr>
        <w:t>, and how they contribute to generating the intrinsic benefits of cultural value</w:t>
      </w:r>
      <w:r w:rsidRPr="00514EFA">
        <w:rPr>
          <w:rFonts w:cs="Arial"/>
        </w:rPr>
        <w:t>.</w:t>
      </w:r>
    </w:p>
    <w:p w14:paraId="5BD67877" w14:textId="50EE6B91" w:rsidR="0017499A" w:rsidRPr="00514EFA" w:rsidRDefault="0017499A" w:rsidP="006E084B">
      <w:pPr>
        <w:rPr>
          <w:rFonts w:cs="Arial"/>
        </w:rPr>
      </w:pPr>
      <w:r w:rsidRPr="00514EFA">
        <w:rPr>
          <w:rFonts w:cs="Arial"/>
        </w:rPr>
        <w:t xml:space="preserve">Further, the study places an emphasis on </w:t>
      </w:r>
      <w:r w:rsidR="00D61CD6" w:rsidRPr="00514EFA">
        <w:rPr>
          <w:rFonts w:cs="Arial"/>
        </w:rPr>
        <w:t>place</w:t>
      </w:r>
      <w:r w:rsidR="00D61CD6">
        <w:rPr>
          <w:rFonts w:cs="Arial"/>
        </w:rPr>
        <w:t>-</w:t>
      </w:r>
      <w:r w:rsidRPr="00514EFA">
        <w:rPr>
          <w:rFonts w:cs="Arial"/>
        </w:rPr>
        <w:t>shaping.</w:t>
      </w:r>
      <w:r w:rsidR="00A033C6">
        <w:rPr>
          <w:rFonts w:cs="Arial"/>
        </w:rPr>
        <w:t xml:space="preserve"> </w:t>
      </w:r>
      <w:r w:rsidRPr="00514EFA">
        <w:rPr>
          <w:rFonts w:cs="Arial"/>
        </w:rPr>
        <w:t>This is a term which is not well represented in the literature.</w:t>
      </w:r>
      <w:r w:rsidR="00A033C6">
        <w:rPr>
          <w:rFonts w:cs="Arial"/>
        </w:rPr>
        <w:t xml:space="preserve"> </w:t>
      </w:r>
      <w:r w:rsidRPr="00514EFA">
        <w:rPr>
          <w:rFonts w:cs="Arial"/>
        </w:rPr>
        <w:t xml:space="preserve">It reflects a more holistic approach to </w:t>
      </w:r>
      <w:r w:rsidR="00AF57DE" w:rsidRPr="00514EFA">
        <w:rPr>
          <w:rFonts w:cs="Arial"/>
        </w:rPr>
        <w:t>build</w:t>
      </w:r>
      <w:r w:rsidR="00AF57DE">
        <w:rPr>
          <w:rFonts w:cs="Arial"/>
        </w:rPr>
        <w:t>ing</w:t>
      </w:r>
      <w:r w:rsidR="00AF57DE" w:rsidRPr="00514EFA">
        <w:rPr>
          <w:rFonts w:cs="Arial"/>
        </w:rPr>
        <w:t xml:space="preserve"> </w:t>
      </w:r>
      <w:r w:rsidRPr="00514EFA">
        <w:rPr>
          <w:rFonts w:cs="Arial"/>
        </w:rPr>
        <w:t xml:space="preserve">better places than, for example, </w:t>
      </w:r>
      <w:r w:rsidR="00AD6B47">
        <w:rPr>
          <w:rFonts w:cs="Arial"/>
        </w:rPr>
        <w:t>placemaking</w:t>
      </w:r>
      <w:r w:rsidRPr="00514EFA">
        <w:rPr>
          <w:rFonts w:cs="Arial"/>
        </w:rPr>
        <w:t xml:space="preserve"> (which tends to be used </w:t>
      </w:r>
      <w:r w:rsidR="00541CE0">
        <w:rPr>
          <w:rFonts w:cs="Arial"/>
        </w:rPr>
        <w:t xml:space="preserve">more specifically </w:t>
      </w:r>
      <w:r w:rsidRPr="00514EFA">
        <w:rPr>
          <w:rFonts w:cs="Arial"/>
        </w:rPr>
        <w:t>to capture local-area based improvement, often associated with environmental design or public realm and/or place marketing and branding</w:t>
      </w:r>
      <w:r w:rsidR="00307677">
        <w:rPr>
          <w:rFonts w:cs="Arial"/>
        </w:rPr>
        <w:t>)</w:t>
      </w:r>
      <w:r w:rsidRPr="00514EFA">
        <w:rPr>
          <w:rFonts w:cs="Arial"/>
        </w:rPr>
        <w:t>.</w:t>
      </w:r>
      <w:r w:rsidR="00A033C6">
        <w:rPr>
          <w:rFonts w:cs="Arial"/>
        </w:rPr>
        <w:t xml:space="preserve"> </w:t>
      </w:r>
    </w:p>
    <w:p w14:paraId="124D745F" w14:textId="010CEAFF" w:rsidR="006E084B" w:rsidRPr="00514EFA" w:rsidRDefault="006E084B" w:rsidP="006E084B">
      <w:pPr>
        <w:rPr>
          <w:rFonts w:cs="Arial"/>
        </w:rPr>
      </w:pPr>
      <w:r w:rsidRPr="00514EFA">
        <w:rPr>
          <w:rFonts w:cs="Arial"/>
        </w:rPr>
        <w:t xml:space="preserve">Addressing </w:t>
      </w:r>
      <w:r w:rsidR="00541CE0" w:rsidRPr="00514EFA">
        <w:rPr>
          <w:rFonts w:cs="Arial"/>
        </w:rPr>
        <w:t>th</w:t>
      </w:r>
      <w:r w:rsidR="00541CE0">
        <w:rPr>
          <w:rFonts w:cs="Arial"/>
        </w:rPr>
        <w:t>e research</w:t>
      </w:r>
      <w:r w:rsidR="00541CE0" w:rsidRPr="00514EFA">
        <w:rPr>
          <w:rFonts w:cs="Arial"/>
        </w:rPr>
        <w:t xml:space="preserve"> </w:t>
      </w:r>
      <w:r w:rsidRPr="00514EFA">
        <w:rPr>
          <w:rFonts w:cs="Arial"/>
        </w:rPr>
        <w:t>question has required three significant exercises.</w:t>
      </w:r>
      <w:r w:rsidR="00A033C6">
        <w:rPr>
          <w:rFonts w:cs="Arial"/>
        </w:rPr>
        <w:t xml:space="preserve"> </w:t>
      </w:r>
      <w:r w:rsidRPr="00514EFA">
        <w:rPr>
          <w:rFonts w:cs="Arial"/>
        </w:rPr>
        <w:t xml:space="preserve">Firstly, a review of theoretical/conceptual and empirical literature has helped in identifying </w:t>
      </w:r>
      <w:r w:rsidR="00541CE0">
        <w:rPr>
          <w:rFonts w:cs="Arial"/>
        </w:rPr>
        <w:t>analytical</w:t>
      </w:r>
      <w:r w:rsidRPr="00514EFA">
        <w:rPr>
          <w:rFonts w:cs="Arial"/>
        </w:rPr>
        <w:t xml:space="preserve"> techniques and in identifying key gaps in the evidence base.</w:t>
      </w:r>
      <w:r w:rsidR="00A033C6">
        <w:rPr>
          <w:rFonts w:cs="Arial"/>
        </w:rPr>
        <w:t xml:space="preserve"> </w:t>
      </w:r>
      <w:r w:rsidR="0017499A" w:rsidRPr="00514EFA">
        <w:rPr>
          <w:rFonts w:cs="Arial"/>
        </w:rPr>
        <w:t>Overall the review found that the most significant gaps in the evidence base were around econometric estimation, in the UK, of the link</w:t>
      </w:r>
      <w:r w:rsidR="00541CE0">
        <w:rPr>
          <w:rFonts w:cs="Arial"/>
        </w:rPr>
        <w:t>s</w:t>
      </w:r>
      <w:r w:rsidR="0017499A" w:rsidRPr="00514EFA">
        <w:rPr>
          <w:rFonts w:cs="Arial"/>
        </w:rPr>
        <w:t xml:space="preserve"> between CS&amp;H assets and investment and economic outcomes.</w:t>
      </w:r>
      <w:r w:rsidR="00A033C6">
        <w:rPr>
          <w:rFonts w:cs="Arial"/>
        </w:rPr>
        <w:t xml:space="preserve"> </w:t>
      </w:r>
      <w:r w:rsidR="0017499A" w:rsidRPr="00514EFA">
        <w:rPr>
          <w:rFonts w:cs="Arial"/>
        </w:rPr>
        <w:t>It also found that other research studies had investigated the link between the creative industries and the density of local culture and other amenities in attempts to explain location decisions of firms.</w:t>
      </w:r>
      <w:r w:rsidR="00A033C6">
        <w:rPr>
          <w:rFonts w:cs="Arial"/>
        </w:rPr>
        <w:t xml:space="preserve"> </w:t>
      </w:r>
      <w:r w:rsidR="0017499A" w:rsidRPr="00514EFA">
        <w:rPr>
          <w:rFonts w:cs="Arial"/>
        </w:rPr>
        <w:t>This was an important finding in that it suggested that a focus on the link between CS&amp;H assets and investment and the creative industries (and other knowledge-based sectors) should be pursued.</w:t>
      </w:r>
    </w:p>
    <w:p w14:paraId="376A12A0" w14:textId="59EE4EB9" w:rsidR="006E084B" w:rsidRPr="00514EFA" w:rsidRDefault="0017499A" w:rsidP="006E084B">
      <w:pPr>
        <w:rPr>
          <w:rFonts w:cs="Arial"/>
        </w:rPr>
      </w:pPr>
      <w:r w:rsidRPr="00514EFA">
        <w:rPr>
          <w:rFonts w:cs="Arial"/>
        </w:rPr>
        <w:t xml:space="preserve">The second element was an extensive </w:t>
      </w:r>
      <w:r w:rsidR="006E084B" w:rsidRPr="00514EFA">
        <w:rPr>
          <w:rFonts w:cs="Arial"/>
        </w:rPr>
        <w:t>data collection and assessment</w:t>
      </w:r>
      <w:r w:rsidRPr="00514EFA">
        <w:rPr>
          <w:rFonts w:cs="Arial"/>
        </w:rPr>
        <w:t xml:space="preserve"> exercise.</w:t>
      </w:r>
      <w:r w:rsidR="00A033C6">
        <w:rPr>
          <w:rFonts w:cs="Arial"/>
        </w:rPr>
        <w:t xml:space="preserve"> </w:t>
      </w:r>
      <w:r w:rsidRPr="00514EFA">
        <w:rPr>
          <w:rFonts w:cs="Arial"/>
        </w:rPr>
        <w:t>The goal was to gather relevant data that could be used in an econometric model (either as dependent, independent or control variables).</w:t>
      </w:r>
      <w:r w:rsidR="00A033C6">
        <w:rPr>
          <w:rFonts w:cs="Arial"/>
        </w:rPr>
        <w:t xml:space="preserve"> </w:t>
      </w:r>
      <w:r w:rsidRPr="00514EFA">
        <w:rPr>
          <w:rFonts w:cs="Arial"/>
        </w:rPr>
        <w:t xml:space="preserve">This exercise </w:t>
      </w:r>
      <w:r w:rsidR="002526E1" w:rsidRPr="00514EFA">
        <w:rPr>
          <w:rFonts w:cs="Arial"/>
        </w:rPr>
        <w:t>drove a number of decisions</w:t>
      </w:r>
      <w:r w:rsidR="00701F3D">
        <w:rPr>
          <w:rFonts w:cs="Arial"/>
        </w:rPr>
        <w:t xml:space="preserve"> relating to the scope of the study</w:t>
      </w:r>
      <w:r w:rsidR="002526E1" w:rsidRPr="00514EFA">
        <w:rPr>
          <w:rFonts w:cs="Arial"/>
        </w:rPr>
        <w:t xml:space="preserve">, including the spatial scale at which the data should be collected (and therefore the level at which the </w:t>
      </w:r>
      <w:r w:rsidR="002526E1" w:rsidRPr="00514EFA">
        <w:rPr>
          <w:rFonts w:cs="Arial"/>
        </w:rPr>
        <w:lastRenderedPageBreak/>
        <w:t>investigation would take place – i.e. local authority) and the time-series that could be adopted for the panel models.</w:t>
      </w:r>
    </w:p>
    <w:p w14:paraId="4A8B8596" w14:textId="1DD258E1" w:rsidR="0027639A" w:rsidRPr="00514EFA" w:rsidRDefault="002526E1" w:rsidP="006E084B">
      <w:pPr>
        <w:rPr>
          <w:rFonts w:cs="Arial"/>
        </w:rPr>
      </w:pPr>
      <w:r w:rsidRPr="00514EFA">
        <w:rPr>
          <w:rFonts w:cs="Arial"/>
        </w:rPr>
        <w:t xml:space="preserve">The third element was the design and </w:t>
      </w:r>
      <w:r w:rsidR="00FC5C17" w:rsidRPr="00514EFA">
        <w:rPr>
          <w:rFonts w:cs="Arial"/>
        </w:rPr>
        <w:t>implementation</w:t>
      </w:r>
      <w:r w:rsidRPr="00514EFA">
        <w:rPr>
          <w:rFonts w:cs="Arial"/>
        </w:rPr>
        <w:t xml:space="preserve"> of econometric models to investigate the key relationships and interactions</w:t>
      </w:r>
      <w:r w:rsidR="00FC5C17" w:rsidRPr="00514EFA">
        <w:rPr>
          <w:rFonts w:cs="Arial"/>
        </w:rPr>
        <w:t xml:space="preserve"> (</w:t>
      </w:r>
      <w:r w:rsidR="009E5B84">
        <w:rPr>
          <w:rFonts w:cs="Arial"/>
        </w:rPr>
        <w:t>where their</w:t>
      </w:r>
      <w:r w:rsidR="00FC5C17" w:rsidRPr="00514EFA">
        <w:rPr>
          <w:rFonts w:cs="Arial"/>
        </w:rPr>
        <w:t xml:space="preserve"> design was </w:t>
      </w:r>
      <w:r w:rsidR="009E5B84">
        <w:rPr>
          <w:rFonts w:cs="Arial"/>
        </w:rPr>
        <w:t>informed</w:t>
      </w:r>
      <w:r w:rsidR="00FC5C17" w:rsidRPr="00514EFA">
        <w:rPr>
          <w:rFonts w:cs="Arial"/>
        </w:rPr>
        <w:t xml:space="preserve"> to some extent by the existing literature).</w:t>
      </w:r>
      <w:r w:rsidR="00A033C6">
        <w:rPr>
          <w:rFonts w:cs="Arial"/>
        </w:rPr>
        <w:t xml:space="preserve"> </w:t>
      </w:r>
      <w:r w:rsidR="0027639A" w:rsidRPr="00514EFA">
        <w:rPr>
          <w:rFonts w:cs="Arial"/>
        </w:rPr>
        <w:t>Importantly, and recognising that the role that CS&amp;H play in local places should be thought of as an ‘ecosystem’ rather than as isolated investments, the analysis tests push and pull factors that might influence firm location and performance.</w:t>
      </w:r>
    </w:p>
    <w:p w14:paraId="24CEE955" w14:textId="29A86E57" w:rsidR="004E0FEF" w:rsidRPr="00514EFA" w:rsidRDefault="00FC5C17" w:rsidP="006E084B">
      <w:pPr>
        <w:rPr>
          <w:rFonts w:eastAsia="Calibri" w:cs="Arial"/>
        </w:rPr>
      </w:pPr>
      <w:r w:rsidRPr="00514EFA">
        <w:rPr>
          <w:rFonts w:eastAsia="Calibri" w:cs="Arial"/>
        </w:rPr>
        <w:t xml:space="preserve">The results </w:t>
      </w:r>
      <w:r w:rsidR="00E760C2">
        <w:rPr>
          <w:rFonts w:eastAsia="Calibri" w:cs="Arial"/>
        </w:rPr>
        <w:t>of</w:t>
      </w:r>
      <w:r w:rsidR="00F34580">
        <w:rPr>
          <w:rFonts w:eastAsia="Calibri" w:cs="Arial"/>
        </w:rPr>
        <w:t xml:space="preserve"> this study represent </w:t>
      </w:r>
      <w:r w:rsidRPr="00514EFA">
        <w:rPr>
          <w:rFonts w:eastAsia="Calibri" w:cs="Arial"/>
        </w:rPr>
        <w:t>an important milestone in the development of the evidence base around the place-</w:t>
      </w:r>
      <w:r w:rsidR="00C50B54">
        <w:rPr>
          <w:rFonts w:eastAsia="Calibri" w:cs="Arial"/>
        </w:rPr>
        <w:t>shaping</w:t>
      </w:r>
      <w:r w:rsidR="00C50B54" w:rsidRPr="00514EFA">
        <w:rPr>
          <w:rFonts w:eastAsia="Calibri" w:cs="Arial"/>
        </w:rPr>
        <w:t xml:space="preserve"> </w:t>
      </w:r>
      <w:r w:rsidRPr="00514EFA">
        <w:rPr>
          <w:rFonts w:eastAsia="Calibri" w:cs="Arial"/>
        </w:rPr>
        <w:t>impacts of CS&amp;H assets and investment.</w:t>
      </w:r>
      <w:r w:rsidR="00A033C6">
        <w:rPr>
          <w:rFonts w:eastAsia="Calibri" w:cs="Arial"/>
        </w:rPr>
        <w:t xml:space="preserve"> </w:t>
      </w:r>
      <w:r w:rsidRPr="00514EFA">
        <w:rPr>
          <w:rFonts w:eastAsia="Calibri" w:cs="Arial"/>
        </w:rPr>
        <w:t xml:space="preserve">Accepting some of the key caveats of the analysis (which </w:t>
      </w:r>
      <w:r w:rsidR="00AF57DE">
        <w:rPr>
          <w:rFonts w:eastAsia="Calibri" w:cs="Arial"/>
        </w:rPr>
        <w:t>we</w:t>
      </w:r>
      <w:r w:rsidR="00AF57DE" w:rsidRPr="00514EFA">
        <w:rPr>
          <w:rFonts w:eastAsia="Calibri" w:cs="Arial"/>
        </w:rPr>
        <w:t xml:space="preserve"> </w:t>
      </w:r>
      <w:r w:rsidRPr="00514EFA">
        <w:rPr>
          <w:rFonts w:eastAsia="Calibri" w:cs="Arial"/>
        </w:rPr>
        <w:t>return to below)</w:t>
      </w:r>
      <w:r w:rsidR="00C50B54">
        <w:rPr>
          <w:rFonts w:eastAsia="Calibri" w:cs="Arial"/>
        </w:rPr>
        <w:t>,</w:t>
      </w:r>
      <w:r w:rsidRPr="00514EFA">
        <w:rPr>
          <w:rFonts w:eastAsia="Calibri" w:cs="Arial"/>
        </w:rPr>
        <w:t xml:space="preserve"> </w:t>
      </w:r>
      <w:r w:rsidR="00307677">
        <w:rPr>
          <w:rFonts w:eastAsia="Calibri" w:cs="Arial"/>
        </w:rPr>
        <w:t xml:space="preserve">we have </w:t>
      </w:r>
      <w:r w:rsidRPr="00514EFA">
        <w:rPr>
          <w:rFonts w:eastAsia="Calibri" w:cs="Arial"/>
        </w:rPr>
        <w:t>identifie</w:t>
      </w:r>
      <w:r w:rsidR="00307677">
        <w:rPr>
          <w:rFonts w:eastAsia="Calibri" w:cs="Arial"/>
        </w:rPr>
        <w:t>d</w:t>
      </w:r>
      <w:r w:rsidRPr="00514EFA">
        <w:rPr>
          <w:rFonts w:eastAsia="Calibri" w:cs="Arial"/>
        </w:rPr>
        <w:t xml:space="preserve"> a number of statistically significant relationships which </w:t>
      </w:r>
      <w:r w:rsidR="00307677">
        <w:rPr>
          <w:rFonts w:eastAsia="Calibri" w:cs="Arial"/>
        </w:rPr>
        <w:t>highlight</w:t>
      </w:r>
      <w:r w:rsidRPr="00514EFA">
        <w:rPr>
          <w:rFonts w:eastAsia="Calibri" w:cs="Arial"/>
        </w:rPr>
        <w:t xml:space="preserve"> the importance of CS&amp;H assets </w:t>
      </w:r>
      <w:r w:rsidR="00AF57DE">
        <w:rPr>
          <w:rFonts w:eastAsia="Calibri" w:cs="Arial"/>
        </w:rPr>
        <w:t>to</w:t>
      </w:r>
      <w:r w:rsidR="00AF57DE" w:rsidRPr="00514EFA">
        <w:rPr>
          <w:rFonts w:eastAsia="Calibri" w:cs="Arial"/>
        </w:rPr>
        <w:t xml:space="preserve"> </w:t>
      </w:r>
      <w:r w:rsidRPr="00514EFA">
        <w:rPr>
          <w:rFonts w:eastAsia="Calibri" w:cs="Arial"/>
        </w:rPr>
        <w:t xml:space="preserve">economic performance in </w:t>
      </w:r>
      <w:r w:rsidR="00AF57DE" w:rsidRPr="00514EFA">
        <w:rPr>
          <w:rFonts w:eastAsia="Calibri" w:cs="Arial"/>
        </w:rPr>
        <w:t xml:space="preserve">local </w:t>
      </w:r>
      <w:r w:rsidRPr="00514EFA">
        <w:rPr>
          <w:rFonts w:eastAsia="Calibri" w:cs="Arial"/>
        </w:rPr>
        <w:t>places.</w:t>
      </w:r>
    </w:p>
    <w:p w14:paraId="7618B8D3" w14:textId="3D9DCC72" w:rsidR="00350218" w:rsidRPr="00514EFA" w:rsidRDefault="00350218" w:rsidP="006E084B">
      <w:pPr>
        <w:rPr>
          <w:rFonts w:eastAsia="Calibri" w:cs="Arial"/>
        </w:rPr>
      </w:pPr>
      <w:r w:rsidRPr="00514EFA">
        <w:rPr>
          <w:rFonts w:eastAsia="Calibri" w:cs="Arial"/>
        </w:rPr>
        <w:t xml:space="preserve">The analysis </w:t>
      </w:r>
      <w:r w:rsidR="00C50B54" w:rsidRPr="00514EFA">
        <w:rPr>
          <w:rFonts w:eastAsia="Calibri" w:cs="Arial"/>
        </w:rPr>
        <w:t>examine</w:t>
      </w:r>
      <w:r w:rsidR="00C50B54">
        <w:rPr>
          <w:rFonts w:eastAsia="Calibri" w:cs="Arial"/>
        </w:rPr>
        <w:t>s</w:t>
      </w:r>
      <w:r w:rsidR="00C50B54" w:rsidRPr="00514EFA">
        <w:rPr>
          <w:rFonts w:eastAsia="Calibri" w:cs="Arial"/>
        </w:rPr>
        <w:t xml:space="preserve"> </w:t>
      </w:r>
      <w:r w:rsidRPr="00514EFA">
        <w:rPr>
          <w:rFonts w:eastAsia="Calibri" w:cs="Arial"/>
        </w:rPr>
        <w:t>the relationship between CS&amp;H assets and investment and the performance of local economies as a whole.</w:t>
      </w:r>
      <w:r w:rsidR="00A033C6">
        <w:rPr>
          <w:rFonts w:eastAsia="Calibri" w:cs="Arial"/>
        </w:rPr>
        <w:t xml:space="preserve"> </w:t>
      </w:r>
      <w:r w:rsidRPr="00514EFA">
        <w:rPr>
          <w:rFonts w:eastAsia="Calibri" w:cs="Arial"/>
        </w:rPr>
        <w:t>This study represents the first of its kind in that it seeks to test these relationships on a national scale but at the local level.</w:t>
      </w:r>
    </w:p>
    <w:p w14:paraId="07EE0EB9" w14:textId="00F340ED" w:rsidR="00350218" w:rsidRPr="00514EFA" w:rsidRDefault="004F70EA" w:rsidP="006E084B">
      <w:pPr>
        <w:rPr>
          <w:rFonts w:eastAsia="Calibri" w:cs="Arial"/>
        </w:rPr>
      </w:pPr>
      <w:r w:rsidRPr="00514EFA">
        <w:rPr>
          <w:rFonts w:eastAsia="Calibri" w:cs="Arial"/>
        </w:rPr>
        <w:t xml:space="preserve">We </w:t>
      </w:r>
      <w:r w:rsidR="009640D5">
        <w:rPr>
          <w:rFonts w:eastAsia="Calibri" w:cs="Arial"/>
        </w:rPr>
        <w:t>f</w:t>
      </w:r>
      <w:r w:rsidR="0097236C">
        <w:rPr>
          <w:rFonts w:eastAsia="Calibri" w:cs="Arial"/>
        </w:rPr>
        <w:t>ou</w:t>
      </w:r>
      <w:r w:rsidR="009640D5">
        <w:rPr>
          <w:rFonts w:eastAsia="Calibri" w:cs="Arial"/>
        </w:rPr>
        <w:t>nd</w:t>
      </w:r>
      <w:r w:rsidRPr="00514EFA">
        <w:rPr>
          <w:rFonts w:eastAsia="Calibri" w:cs="Arial"/>
        </w:rPr>
        <w:t xml:space="preserve"> that the density of cultural and heritage assets was highly and positively related to the density of firms in a local economy, indicating that where there are high densities of theatres, museums, monuments and so on, we tend to find concentrations of economic activity.</w:t>
      </w:r>
      <w:r w:rsidR="00A033C6">
        <w:rPr>
          <w:rFonts w:eastAsia="Calibri" w:cs="Arial"/>
        </w:rPr>
        <w:t xml:space="preserve"> </w:t>
      </w:r>
      <w:r w:rsidRPr="00514EFA">
        <w:rPr>
          <w:rFonts w:eastAsia="Calibri" w:cs="Arial"/>
        </w:rPr>
        <w:t xml:space="preserve">Further, the density of cultural assets is found to be positively and strongly related to the </w:t>
      </w:r>
      <w:r w:rsidR="00921C84">
        <w:rPr>
          <w:rFonts w:eastAsia="Calibri" w:cs="Arial"/>
        </w:rPr>
        <w:t xml:space="preserve">net </w:t>
      </w:r>
      <w:r w:rsidRPr="00514EFA">
        <w:rPr>
          <w:rFonts w:eastAsia="Calibri" w:cs="Arial"/>
        </w:rPr>
        <w:t>in-migration of businesses, which suggests that such assets are important ‘pull’ factors which influence location decisions.</w:t>
      </w:r>
      <w:r w:rsidR="00A033C6">
        <w:rPr>
          <w:rFonts w:eastAsia="Calibri" w:cs="Arial"/>
        </w:rPr>
        <w:t xml:space="preserve"> </w:t>
      </w:r>
      <w:r w:rsidRPr="00514EFA">
        <w:rPr>
          <w:rFonts w:eastAsia="Calibri" w:cs="Arial"/>
        </w:rPr>
        <w:t xml:space="preserve">These findings hold regardless of the urban scale at which they are examined: cultural assets are equally important as attractors in non-major urban areas as in major urban areas and this suggests that the observed results are not simply a reflection of general urban agglomeration effects. </w:t>
      </w:r>
    </w:p>
    <w:p w14:paraId="3694F34C" w14:textId="7ED8D4EE" w:rsidR="004F70EA" w:rsidRPr="00514EFA" w:rsidRDefault="004F70EA" w:rsidP="004F70EA">
      <w:pPr>
        <w:rPr>
          <w:rFonts w:eastAsia="Calibri" w:cs="Arial"/>
        </w:rPr>
      </w:pPr>
      <w:r w:rsidRPr="00514EFA">
        <w:rPr>
          <w:rFonts w:eastAsia="Calibri" w:cs="Arial"/>
        </w:rPr>
        <w:t xml:space="preserve">We also </w:t>
      </w:r>
      <w:r w:rsidR="009640D5">
        <w:rPr>
          <w:rFonts w:eastAsia="Calibri" w:cs="Arial"/>
        </w:rPr>
        <w:t>f</w:t>
      </w:r>
      <w:r w:rsidR="0097236C">
        <w:rPr>
          <w:rFonts w:eastAsia="Calibri" w:cs="Arial"/>
        </w:rPr>
        <w:t>ou</w:t>
      </w:r>
      <w:r w:rsidR="009640D5">
        <w:rPr>
          <w:rFonts w:eastAsia="Calibri" w:cs="Arial"/>
        </w:rPr>
        <w:t>nd</w:t>
      </w:r>
      <w:r w:rsidRPr="00514EFA">
        <w:rPr>
          <w:rFonts w:eastAsia="Calibri" w:cs="Arial"/>
        </w:rPr>
        <w:t xml:space="preserve"> that net migration of firms is positively associated with </w:t>
      </w:r>
      <w:r w:rsidR="00921C84">
        <w:rPr>
          <w:rFonts w:eastAsia="Calibri" w:cs="Arial"/>
        </w:rPr>
        <w:t xml:space="preserve">the </w:t>
      </w:r>
      <w:r w:rsidRPr="00514EFA">
        <w:rPr>
          <w:rFonts w:eastAsia="Calibri" w:cs="Arial"/>
        </w:rPr>
        <w:t xml:space="preserve">employment rate, </w:t>
      </w:r>
      <w:r w:rsidR="00921C84">
        <w:rPr>
          <w:rFonts w:eastAsia="Calibri" w:cs="Arial"/>
        </w:rPr>
        <w:t xml:space="preserve">the availability of </w:t>
      </w:r>
      <w:r w:rsidRPr="00514EFA">
        <w:rPr>
          <w:rFonts w:eastAsia="Calibri" w:cs="Arial"/>
        </w:rPr>
        <w:t>skilled labour, life satisfaction and population</w:t>
      </w:r>
      <w:r w:rsidR="000B6D23">
        <w:rPr>
          <w:rFonts w:eastAsia="Calibri" w:cs="Arial"/>
        </w:rPr>
        <w:t xml:space="preserve"> size</w:t>
      </w:r>
      <w:r w:rsidRPr="00514EFA">
        <w:rPr>
          <w:rFonts w:eastAsia="Calibri" w:cs="Arial"/>
        </w:rPr>
        <w:t xml:space="preserve"> and these can</w:t>
      </w:r>
      <w:r w:rsidR="003211C9" w:rsidRPr="003211C9">
        <w:rPr>
          <w:rFonts w:eastAsia="Calibri" w:cs="Arial"/>
        </w:rPr>
        <w:t xml:space="preserve"> </w:t>
      </w:r>
      <w:r w:rsidR="003211C9" w:rsidRPr="00514EFA">
        <w:rPr>
          <w:rFonts w:eastAsia="Calibri" w:cs="Arial"/>
        </w:rPr>
        <w:t>therefore</w:t>
      </w:r>
      <w:r w:rsidRPr="00514EFA">
        <w:rPr>
          <w:rFonts w:eastAsia="Calibri" w:cs="Arial"/>
        </w:rPr>
        <w:t xml:space="preserve"> also be identified as key ‘pull’ factors.</w:t>
      </w:r>
      <w:r w:rsidR="00A033C6">
        <w:rPr>
          <w:rFonts w:eastAsia="Calibri" w:cs="Arial"/>
        </w:rPr>
        <w:t xml:space="preserve"> </w:t>
      </w:r>
    </w:p>
    <w:p w14:paraId="425DA033" w14:textId="5DB73BE0" w:rsidR="003C63DF" w:rsidRDefault="004F70EA" w:rsidP="004F70EA">
      <w:pPr>
        <w:rPr>
          <w:rFonts w:eastAsia="Calibri" w:cs="Arial"/>
        </w:rPr>
      </w:pPr>
      <w:r w:rsidRPr="00514EFA">
        <w:rPr>
          <w:rFonts w:eastAsia="Calibri" w:cs="Arial"/>
        </w:rPr>
        <w:t xml:space="preserve">When examining the impact of investment, we </w:t>
      </w:r>
      <w:r w:rsidR="009640D5">
        <w:rPr>
          <w:rFonts w:eastAsia="Calibri" w:cs="Arial"/>
        </w:rPr>
        <w:t>f</w:t>
      </w:r>
      <w:r w:rsidR="0097236C">
        <w:rPr>
          <w:rFonts w:eastAsia="Calibri" w:cs="Arial"/>
        </w:rPr>
        <w:t>ou</w:t>
      </w:r>
      <w:r w:rsidR="009640D5">
        <w:rPr>
          <w:rFonts w:eastAsia="Calibri" w:cs="Arial"/>
        </w:rPr>
        <w:t>nd</w:t>
      </w:r>
      <w:r w:rsidRPr="00514EFA">
        <w:rPr>
          <w:rFonts w:eastAsia="Calibri" w:cs="Arial"/>
        </w:rPr>
        <w:t xml:space="preserve"> that </w:t>
      </w:r>
      <w:r w:rsidR="003C63DF">
        <w:rPr>
          <w:rFonts w:eastAsia="Calibri" w:cs="Arial"/>
        </w:rPr>
        <w:t xml:space="preserve">per capita investment in CS&amp;H is, in general, negatively associated with the three indicators of local economic performance.  </w:t>
      </w:r>
      <w:r w:rsidR="003C63DF">
        <w:rPr>
          <w:rFonts w:eastAsia="Calibri"/>
        </w:rPr>
        <w:t xml:space="preserve">However, the results are only </w:t>
      </w:r>
      <w:r w:rsidR="003C63DF" w:rsidRPr="00514EFA">
        <w:rPr>
          <w:rFonts w:eastAsia="Calibri"/>
        </w:rPr>
        <w:t xml:space="preserve">significant for </w:t>
      </w:r>
      <w:r w:rsidR="003C63DF">
        <w:rPr>
          <w:rFonts w:eastAsia="Calibri"/>
        </w:rPr>
        <w:t xml:space="preserve">the relationship between </w:t>
      </w:r>
      <w:r w:rsidR="003C63DF" w:rsidRPr="00514EFA">
        <w:rPr>
          <w:rFonts w:eastAsia="Calibri"/>
        </w:rPr>
        <w:t>local authority investment and number of firms per capita.</w:t>
      </w:r>
      <w:r w:rsidR="003C63DF">
        <w:rPr>
          <w:rFonts w:eastAsia="Calibri"/>
        </w:rPr>
        <w:t xml:space="preserve">  </w:t>
      </w:r>
      <w:r w:rsidR="003C63DF" w:rsidRPr="00F53B92">
        <w:rPr>
          <w:rFonts w:eastAsia="Calibri"/>
        </w:rPr>
        <w:t xml:space="preserve">The evidence therefore suggests that investment does not immediately </w:t>
      </w:r>
      <w:r w:rsidR="003C63DF">
        <w:rPr>
          <w:rFonts w:eastAsia="Calibri"/>
        </w:rPr>
        <w:t>act as an attractor of firms or a stimulant of economic performance</w:t>
      </w:r>
      <w:r w:rsidR="003C63DF" w:rsidRPr="00F53B92">
        <w:rPr>
          <w:rFonts w:eastAsia="Calibri"/>
        </w:rPr>
        <w:t>.</w:t>
      </w:r>
      <w:r w:rsidR="003C63DF">
        <w:rPr>
          <w:rFonts w:eastAsia="Calibri" w:cs="Arial"/>
        </w:rPr>
        <w:t xml:space="preserve"> </w:t>
      </w:r>
    </w:p>
    <w:p w14:paraId="19F4AB7C" w14:textId="6D542B60" w:rsidR="004F70EA" w:rsidRPr="00514EFA" w:rsidRDefault="003C63DF" w:rsidP="004F70EA">
      <w:pPr>
        <w:rPr>
          <w:rFonts w:eastAsia="Calibri" w:cs="Arial"/>
        </w:rPr>
      </w:pPr>
      <w:r>
        <w:rPr>
          <w:rFonts w:eastAsia="Calibri" w:cs="Arial"/>
        </w:rPr>
        <w:t xml:space="preserve">However, we found that </w:t>
      </w:r>
      <w:r w:rsidR="004F70EA" w:rsidRPr="00514EFA">
        <w:rPr>
          <w:rFonts w:eastAsia="Calibri" w:cs="Arial"/>
        </w:rPr>
        <w:t>lagged investment is positively and significantly associated with firm density and net migration of firms.</w:t>
      </w:r>
      <w:r w:rsidR="009173DF">
        <w:rPr>
          <w:rFonts w:eastAsia="Calibri" w:cs="Arial"/>
        </w:rPr>
        <w:t xml:space="preserve">  </w:t>
      </w:r>
      <w:r w:rsidR="009173DF" w:rsidRPr="00EE2C40">
        <w:rPr>
          <w:rFonts w:eastAsia="Calibri" w:cs="Arial"/>
        </w:rPr>
        <w:t xml:space="preserve">This suggests that in the period </w:t>
      </w:r>
      <w:r>
        <w:rPr>
          <w:rFonts w:eastAsia="Calibri" w:cs="Arial"/>
        </w:rPr>
        <w:t xml:space="preserve">following </w:t>
      </w:r>
      <w:r w:rsidR="009173DF" w:rsidRPr="00EE2C40">
        <w:rPr>
          <w:rFonts w:eastAsia="Calibri" w:cs="Arial"/>
        </w:rPr>
        <w:t xml:space="preserve">investment, </w:t>
      </w:r>
      <w:r>
        <w:rPr>
          <w:rFonts w:eastAsia="Calibri" w:cs="Arial"/>
        </w:rPr>
        <w:t xml:space="preserve">such </w:t>
      </w:r>
      <w:r w:rsidR="009173DF" w:rsidRPr="00EE2C40">
        <w:rPr>
          <w:rFonts w:eastAsia="Calibri" w:cs="Arial"/>
        </w:rPr>
        <w:t>areas</w:t>
      </w:r>
      <w:r>
        <w:rPr>
          <w:rFonts w:eastAsia="Calibri" w:cs="Arial"/>
        </w:rPr>
        <w:t xml:space="preserve"> have higher concentrations of </w:t>
      </w:r>
      <w:r w:rsidR="009173DF" w:rsidRPr="00EE2C40">
        <w:rPr>
          <w:rFonts w:eastAsia="Calibri" w:cs="Arial"/>
        </w:rPr>
        <w:t xml:space="preserve">firms and </w:t>
      </w:r>
      <w:r>
        <w:rPr>
          <w:rFonts w:eastAsia="Calibri" w:cs="Arial"/>
        </w:rPr>
        <w:t xml:space="preserve">higher </w:t>
      </w:r>
      <w:r w:rsidR="009173DF" w:rsidRPr="00EE2C40">
        <w:rPr>
          <w:rFonts w:eastAsia="Calibri" w:cs="Arial"/>
        </w:rPr>
        <w:t>net migration of firms.</w:t>
      </w:r>
      <w:r>
        <w:rPr>
          <w:rFonts w:eastAsia="Calibri" w:cs="Arial"/>
        </w:rPr>
        <w:t xml:space="preserve">  This study therefore provides evidence that investment in CS&amp;H assets generates a delayed but positive impact on firm density and net migration arising in the areas receiving investment.</w:t>
      </w:r>
    </w:p>
    <w:p w14:paraId="53DC0914" w14:textId="01ABE6EA" w:rsidR="003C63DF" w:rsidRDefault="003211C9" w:rsidP="00E760C2">
      <w:pPr>
        <w:rPr>
          <w:rFonts w:eastAsia="Calibri" w:cs="Arial"/>
        </w:rPr>
      </w:pPr>
      <w:r>
        <w:rPr>
          <w:rFonts w:eastAsia="Calibri" w:cs="Arial"/>
        </w:rPr>
        <w:t>E</w:t>
      </w:r>
      <w:r w:rsidR="00E760C2" w:rsidRPr="00514EFA">
        <w:rPr>
          <w:rFonts w:eastAsia="Calibri" w:cs="Arial"/>
        </w:rPr>
        <w:t xml:space="preserve">xamining the relationship between CS&amp;H assets and investment and the creative industries, the analysis </w:t>
      </w:r>
      <w:r w:rsidR="009640D5">
        <w:rPr>
          <w:rFonts w:eastAsia="Calibri" w:cs="Arial"/>
        </w:rPr>
        <w:t>f</w:t>
      </w:r>
      <w:r w:rsidR="0097236C">
        <w:rPr>
          <w:rFonts w:eastAsia="Calibri" w:cs="Arial"/>
        </w:rPr>
        <w:t>ou</w:t>
      </w:r>
      <w:r w:rsidR="009640D5">
        <w:rPr>
          <w:rFonts w:eastAsia="Calibri" w:cs="Arial"/>
        </w:rPr>
        <w:t>nd</w:t>
      </w:r>
      <w:r w:rsidR="00E760C2" w:rsidRPr="00514EFA">
        <w:rPr>
          <w:rFonts w:eastAsia="Calibri" w:cs="Arial"/>
        </w:rPr>
        <w:t xml:space="preserve"> </w:t>
      </w:r>
      <w:r w:rsidR="003C63DF">
        <w:rPr>
          <w:rFonts w:eastAsia="Calibri"/>
        </w:rPr>
        <w:t>both</w:t>
      </w:r>
      <w:r w:rsidR="003C63DF" w:rsidRPr="00AC2448">
        <w:rPr>
          <w:rFonts w:eastAsia="Calibri"/>
        </w:rPr>
        <w:t xml:space="preserve"> creative firms’ location quotient </w:t>
      </w:r>
      <w:r w:rsidR="003C63DF">
        <w:rPr>
          <w:rFonts w:eastAsia="Calibri"/>
        </w:rPr>
        <w:t xml:space="preserve">(i.e. local economies that are more specialised towards creative industries) </w:t>
      </w:r>
      <w:r w:rsidR="003C63DF" w:rsidRPr="00AC2448">
        <w:rPr>
          <w:rFonts w:eastAsia="Calibri"/>
        </w:rPr>
        <w:t xml:space="preserve">and turnover </w:t>
      </w:r>
      <w:r w:rsidR="003C63DF">
        <w:rPr>
          <w:rFonts w:eastAsia="Calibri"/>
        </w:rPr>
        <w:t>are</w:t>
      </w:r>
      <w:r w:rsidR="003C63DF" w:rsidRPr="00AC2448">
        <w:rPr>
          <w:rFonts w:eastAsia="Calibri"/>
        </w:rPr>
        <w:t xml:space="preserve"> positively and significantly associated with the density of heritage assets and the number of cultural events listings per capita (i.e. cultural assets). </w:t>
      </w:r>
      <w:r w:rsidR="003C63DF">
        <w:rPr>
          <w:rFonts w:eastAsia="Calibri"/>
        </w:rPr>
        <w:t xml:space="preserve">  This means that the greater the density of cultural and heritage assets, the better </w:t>
      </w:r>
      <w:r w:rsidR="003C63DF">
        <w:rPr>
          <w:rFonts w:eastAsia="Calibri"/>
        </w:rPr>
        <w:lastRenderedPageBreak/>
        <w:t xml:space="preserve">the performance of the creative industries and the greater the level of specialisation towards the creative industries.  </w:t>
      </w:r>
    </w:p>
    <w:p w14:paraId="4A64394D" w14:textId="0DFE9EF2" w:rsidR="00E760C2" w:rsidRPr="00514EFA" w:rsidRDefault="00E760C2" w:rsidP="00E760C2">
      <w:pPr>
        <w:rPr>
          <w:rFonts w:eastAsia="Calibri" w:cs="Arial"/>
        </w:rPr>
      </w:pPr>
      <w:r w:rsidRPr="00514EFA">
        <w:rPr>
          <w:rFonts w:eastAsia="Calibri" w:cs="Arial"/>
        </w:rPr>
        <w:t xml:space="preserve">We also </w:t>
      </w:r>
      <w:r w:rsidR="009640D5">
        <w:rPr>
          <w:rFonts w:eastAsia="Calibri" w:cs="Arial"/>
        </w:rPr>
        <w:t>f</w:t>
      </w:r>
      <w:r w:rsidR="0097236C">
        <w:rPr>
          <w:rFonts w:eastAsia="Calibri" w:cs="Arial"/>
        </w:rPr>
        <w:t>ou</w:t>
      </w:r>
      <w:r w:rsidR="009640D5">
        <w:rPr>
          <w:rFonts w:eastAsia="Calibri" w:cs="Arial"/>
        </w:rPr>
        <w:t>nd</w:t>
      </w:r>
      <w:r w:rsidRPr="00514EFA">
        <w:rPr>
          <w:rFonts w:eastAsia="Calibri" w:cs="Arial"/>
        </w:rPr>
        <w:t xml:space="preserve"> that the density of creative firms and firms’ turnover are negatively associated with sporting assets.</w:t>
      </w:r>
      <w:r w:rsidR="00A033C6">
        <w:rPr>
          <w:rFonts w:eastAsia="Calibri" w:cs="Arial"/>
        </w:rPr>
        <w:t xml:space="preserve"> </w:t>
      </w:r>
      <w:r w:rsidRPr="00514EFA">
        <w:rPr>
          <w:rFonts w:eastAsia="Calibri" w:cs="Arial"/>
        </w:rPr>
        <w:t>In other words, the higher the density of sporting assets, the lower the density and turnover of the creative industries.</w:t>
      </w:r>
      <w:r w:rsidR="00A033C6">
        <w:rPr>
          <w:rFonts w:eastAsia="Calibri" w:cs="Arial"/>
        </w:rPr>
        <w:t xml:space="preserve"> </w:t>
      </w:r>
      <w:r w:rsidRPr="00514EFA">
        <w:rPr>
          <w:rFonts w:eastAsia="Calibri" w:cs="Arial"/>
        </w:rPr>
        <w:t>This makes intuitive sense.</w:t>
      </w:r>
      <w:r w:rsidR="00A033C6">
        <w:rPr>
          <w:rFonts w:eastAsia="Calibri" w:cs="Arial"/>
        </w:rPr>
        <w:t xml:space="preserve"> </w:t>
      </w:r>
      <w:r w:rsidRPr="00514EFA">
        <w:rPr>
          <w:rFonts w:eastAsia="Calibri" w:cs="Arial"/>
        </w:rPr>
        <w:t>Firstly, the existence of cultural and heritage assets create</w:t>
      </w:r>
      <w:r w:rsidR="00307677">
        <w:rPr>
          <w:rFonts w:eastAsia="Calibri" w:cs="Arial"/>
        </w:rPr>
        <w:t>s</w:t>
      </w:r>
      <w:r w:rsidRPr="00514EFA">
        <w:rPr>
          <w:rFonts w:eastAsia="Calibri" w:cs="Arial"/>
        </w:rPr>
        <w:t xml:space="preserve"> direct commercial opportunity for creative firms, but also add</w:t>
      </w:r>
      <w:r w:rsidR="00307677">
        <w:rPr>
          <w:rFonts w:eastAsia="Calibri" w:cs="Arial"/>
        </w:rPr>
        <w:t>s</w:t>
      </w:r>
      <w:r w:rsidRPr="00514EFA">
        <w:rPr>
          <w:rFonts w:eastAsia="Calibri" w:cs="Arial"/>
        </w:rPr>
        <w:t xml:space="preserve"> to the wider amenity value of a place.</w:t>
      </w:r>
      <w:r w:rsidR="00A033C6">
        <w:rPr>
          <w:rFonts w:eastAsia="Calibri" w:cs="Arial"/>
        </w:rPr>
        <w:t xml:space="preserve"> </w:t>
      </w:r>
      <w:r w:rsidRPr="00514EFA">
        <w:rPr>
          <w:rFonts w:eastAsia="Calibri" w:cs="Arial"/>
        </w:rPr>
        <w:t>On the other hand, sporting infrastructure can often be of large scale and located away from commercial/urban centres, which would reduce the likelihood of attracting the creative (or other) industries.</w:t>
      </w:r>
      <w:r w:rsidR="00A033C6">
        <w:rPr>
          <w:rFonts w:eastAsia="Calibri" w:cs="Arial"/>
        </w:rPr>
        <w:t xml:space="preserve"> </w:t>
      </w:r>
      <w:r w:rsidRPr="00514EFA">
        <w:rPr>
          <w:rFonts w:eastAsia="Calibri" w:cs="Arial"/>
        </w:rPr>
        <w:t xml:space="preserve">The physical infrastructure required to provide accommodation to </w:t>
      </w:r>
      <w:r w:rsidR="003211C9">
        <w:rPr>
          <w:rFonts w:eastAsia="Calibri" w:cs="Arial"/>
        </w:rPr>
        <w:t xml:space="preserve">creative </w:t>
      </w:r>
      <w:r w:rsidRPr="00514EFA">
        <w:rPr>
          <w:rFonts w:eastAsia="Calibri" w:cs="Arial"/>
        </w:rPr>
        <w:t>firms may be some distance from sporting</w:t>
      </w:r>
      <w:r w:rsidR="00B231E6">
        <w:rPr>
          <w:rFonts w:eastAsia="Calibri" w:cs="Arial"/>
        </w:rPr>
        <w:t xml:space="preserve"> and recreation</w:t>
      </w:r>
      <w:r w:rsidRPr="00514EFA">
        <w:rPr>
          <w:rFonts w:eastAsia="Calibri" w:cs="Arial"/>
        </w:rPr>
        <w:t xml:space="preserve"> assets.</w:t>
      </w:r>
    </w:p>
    <w:p w14:paraId="01F7155E" w14:textId="4B3580CC" w:rsidR="00E760C2" w:rsidRPr="00514EFA" w:rsidRDefault="00E760C2" w:rsidP="00E760C2">
      <w:pPr>
        <w:rPr>
          <w:rFonts w:eastAsia="Calibri" w:cs="Arial"/>
        </w:rPr>
      </w:pPr>
      <w:r w:rsidRPr="00514EFA">
        <w:rPr>
          <w:rFonts w:eastAsia="Calibri" w:cs="Arial"/>
        </w:rPr>
        <w:t xml:space="preserve">The analysis also </w:t>
      </w:r>
      <w:r w:rsidR="0097236C">
        <w:rPr>
          <w:rFonts w:eastAsia="Calibri" w:cs="Arial"/>
        </w:rPr>
        <w:t>found</w:t>
      </w:r>
      <w:r w:rsidRPr="00514EFA">
        <w:rPr>
          <w:rFonts w:eastAsia="Calibri" w:cs="Arial"/>
        </w:rPr>
        <w:t xml:space="preserve"> that the level of turnover generated by creative firms is positively associated with availability of skilled labour, network infrastructure and transport infrastructure.</w:t>
      </w:r>
      <w:r w:rsidR="00A033C6">
        <w:rPr>
          <w:rFonts w:eastAsia="Calibri" w:cs="Arial"/>
        </w:rPr>
        <w:t xml:space="preserve"> </w:t>
      </w:r>
      <w:r w:rsidRPr="00514EFA">
        <w:rPr>
          <w:rFonts w:eastAsia="Calibri" w:cs="Arial"/>
        </w:rPr>
        <w:t>This implies that places with these attributes are likely to be more successful in nurturing a successful creative sector than those without.</w:t>
      </w:r>
    </w:p>
    <w:p w14:paraId="7EFB7B2E" w14:textId="2F7DBE87" w:rsidR="00E760C2" w:rsidRPr="00514EFA" w:rsidRDefault="00E760C2" w:rsidP="00E760C2">
      <w:pPr>
        <w:rPr>
          <w:rFonts w:eastAsia="Calibri" w:cs="Arial"/>
        </w:rPr>
      </w:pPr>
      <w:r w:rsidRPr="00514EFA">
        <w:rPr>
          <w:rFonts w:eastAsia="Calibri" w:cs="Arial"/>
        </w:rPr>
        <w:t>There is also evidence that investment in CS&amp;H assets is strongly related to concentrations of creative firms, both within and outwith major urban centres. Similarly, lagged per capita investment in CS&amp;H is also positively and significantly related to creative firms’ turnover.</w:t>
      </w:r>
      <w:r w:rsidR="00A033C6">
        <w:rPr>
          <w:rFonts w:eastAsia="Calibri" w:cs="Arial"/>
        </w:rPr>
        <w:t xml:space="preserve"> </w:t>
      </w:r>
      <w:r w:rsidRPr="00514EFA">
        <w:rPr>
          <w:rFonts w:eastAsia="Calibri" w:cs="Arial"/>
        </w:rPr>
        <w:t>In other words, places where higher CS&amp;H investment has occurred are also places more likely to see a growth in the density of creative industries.</w:t>
      </w:r>
      <w:r w:rsidR="00A033C6">
        <w:rPr>
          <w:rFonts w:eastAsia="Calibri" w:cs="Arial"/>
        </w:rPr>
        <w:t xml:space="preserve"> </w:t>
      </w:r>
    </w:p>
    <w:p w14:paraId="30353289" w14:textId="6948DA6F" w:rsidR="004F70EA" w:rsidRPr="00514EFA" w:rsidRDefault="00BB4903" w:rsidP="006E084B">
      <w:pPr>
        <w:rPr>
          <w:rFonts w:eastAsia="Calibri" w:cs="Arial"/>
        </w:rPr>
      </w:pPr>
      <w:r w:rsidRPr="00514EFA">
        <w:rPr>
          <w:rFonts w:eastAsia="Calibri" w:cs="Arial"/>
        </w:rPr>
        <w:t xml:space="preserve">There are two </w:t>
      </w:r>
      <w:r w:rsidR="00340BC1">
        <w:rPr>
          <w:rFonts w:eastAsia="Calibri" w:cs="Arial"/>
        </w:rPr>
        <w:t>key</w:t>
      </w:r>
      <w:r w:rsidR="00340BC1" w:rsidRPr="00514EFA">
        <w:rPr>
          <w:rFonts w:eastAsia="Calibri" w:cs="Arial"/>
        </w:rPr>
        <w:t xml:space="preserve"> </w:t>
      </w:r>
      <w:r w:rsidRPr="00514EFA">
        <w:rPr>
          <w:rFonts w:eastAsia="Calibri" w:cs="Arial"/>
        </w:rPr>
        <w:t>messages to take from this research.</w:t>
      </w:r>
      <w:r w:rsidR="00A033C6">
        <w:rPr>
          <w:rFonts w:eastAsia="Calibri" w:cs="Arial"/>
        </w:rPr>
        <w:t xml:space="preserve"> </w:t>
      </w:r>
      <w:r w:rsidRPr="00514EFA">
        <w:rPr>
          <w:rFonts w:eastAsia="Calibri" w:cs="Arial"/>
        </w:rPr>
        <w:t>Firstly, the data and analysis undertaken has delivered evidence which demonstrates positive and strong relationships between CS&amp;H assets and investment and positive economic impacts for local places, especially when it comes to impacts associated with the creative industries.</w:t>
      </w:r>
      <w:r w:rsidR="00A033C6">
        <w:rPr>
          <w:rFonts w:eastAsia="Calibri" w:cs="Arial"/>
        </w:rPr>
        <w:t xml:space="preserve"> </w:t>
      </w:r>
      <w:r w:rsidR="004F70EA" w:rsidRPr="00514EFA">
        <w:rPr>
          <w:rFonts w:eastAsia="Calibri" w:cs="Arial"/>
        </w:rPr>
        <w:t xml:space="preserve">We therefore conclude that whilst there is more research to be done, the emerging evidence is that the </w:t>
      </w:r>
      <w:r w:rsidR="000F6B69">
        <w:rPr>
          <w:rFonts w:eastAsia="Calibri" w:cs="Arial"/>
        </w:rPr>
        <w:t>existence</w:t>
      </w:r>
      <w:r w:rsidR="000F6B69" w:rsidRPr="00514EFA">
        <w:rPr>
          <w:rFonts w:eastAsia="Calibri" w:cs="Arial"/>
        </w:rPr>
        <w:t xml:space="preserve"> </w:t>
      </w:r>
      <w:r w:rsidR="004F70EA" w:rsidRPr="00514EFA">
        <w:rPr>
          <w:rFonts w:eastAsia="Calibri" w:cs="Arial"/>
        </w:rPr>
        <w:t>of</w:t>
      </w:r>
      <w:r w:rsidR="003B3E52">
        <w:rPr>
          <w:rFonts w:eastAsia="Calibri" w:cs="Arial"/>
        </w:rPr>
        <w:t>,</w:t>
      </w:r>
      <w:r w:rsidR="004F70EA" w:rsidRPr="00514EFA">
        <w:rPr>
          <w:rFonts w:eastAsia="Calibri" w:cs="Arial"/>
        </w:rPr>
        <w:t xml:space="preserve"> an</w:t>
      </w:r>
      <w:r w:rsidR="00340BC1">
        <w:rPr>
          <w:rFonts w:eastAsia="Calibri" w:cs="Arial"/>
        </w:rPr>
        <w:t>d</w:t>
      </w:r>
      <w:r w:rsidR="004F70EA" w:rsidRPr="00514EFA">
        <w:rPr>
          <w:rFonts w:eastAsia="Calibri" w:cs="Arial"/>
        </w:rPr>
        <w:t xml:space="preserve"> investment in</w:t>
      </w:r>
      <w:r w:rsidR="003B3E52">
        <w:rPr>
          <w:rFonts w:eastAsia="Calibri" w:cs="Arial"/>
        </w:rPr>
        <w:t>,</w:t>
      </w:r>
      <w:r w:rsidR="004F70EA" w:rsidRPr="00514EFA">
        <w:rPr>
          <w:rFonts w:eastAsia="Calibri" w:cs="Arial"/>
        </w:rPr>
        <w:t xml:space="preserve"> CS&amp;H assets can be seen to be important influencers </w:t>
      </w:r>
      <w:r w:rsidR="00340BC1" w:rsidRPr="00514EFA">
        <w:rPr>
          <w:rFonts w:eastAsia="Calibri" w:cs="Arial"/>
        </w:rPr>
        <w:t>o</w:t>
      </w:r>
      <w:r w:rsidR="00340BC1">
        <w:rPr>
          <w:rFonts w:eastAsia="Calibri" w:cs="Arial"/>
        </w:rPr>
        <w:t>f</w:t>
      </w:r>
      <w:r w:rsidR="00340BC1" w:rsidRPr="00514EFA">
        <w:rPr>
          <w:rFonts w:eastAsia="Calibri" w:cs="Arial"/>
        </w:rPr>
        <w:t xml:space="preserve"> </w:t>
      </w:r>
      <w:r w:rsidR="004F70EA" w:rsidRPr="00514EFA">
        <w:rPr>
          <w:rFonts w:eastAsia="Calibri" w:cs="Arial"/>
        </w:rPr>
        <w:t>place-shaping.</w:t>
      </w:r>
      <w:r w:rsidR="00A033C6">
        <w:rPr>
          <w:rFonts w:eastAsia="Calibri" w:cs="Arial"/>
        </w:rPr>
        <w:t xml:space="preserve"> </w:t>
      </w:r>
      <w:r w:rsidR="004F70EA" w:rsidRPr="00514EFA">
        <w:rPr>
          <w:rFonts w:eastAsia="Calibri" w:cs="Arial"/>
        </w:rPr>
        <w:t>The precise mechanisms through which this influence is exerted (i.e. the nature of the impact ecosystem at an asset/investment and local level) require further investigation.</w:t>
      </w:r>
      <w:r w:rsidR="00A033C6">
        <w:rPr>
          <w:rFonts w:eastAsia="Calibri" w:cs="Arial"/>
        </w:rPr>
        <w:t xml:space="preserve"> </w:t>
      </w:r>
      <w:r w:rsidR="004F70EA" w:rsidRPr="00514EFA">
        <w:rPr>
          <w:rFonts w:eastAsia="Calibri" w:cs="Arial"/>
        </w:rPr>
        <w:t xml:space="preserve">However, we can clearly see that places that contain a greater density of </w:t>
      </w:r>
      <w:r w:rsidR="00340BC1">
        <w:rPr>
          <w:rFonts w:eastAsia="Calibri" w:cs="Arial"/>
        </w:rPr>
        <w:t xml:space="preserve">CS&amp;H </w:t>
      </w:r>
      <w:r w:rsidR="004F70EA" w:rsidRPr="00514EFA">
        <w:rPr>
          <w:rFonts w:eastAsia="Calibri" w:cs="Arial"/>
        </w:rPr>
        <w:t>assets and receive higher per capita</w:t>
      </w:r>
      <w:r w:rsidR="00340BC1">
        <w:rPr>
          <w:rFonts w:eastAsia="Calibri" w:cs="Arial"/>
        </w:rPr>
        <w:t xml:space="preserve"> CS&amp;H</w:t>
      </w:r>
      <w:r w:rsidR="004F70EA" w:rsidRPr="00514EFA">
        <w:rPr>
          <w:rFonts w:eastAsia="Calibri" w:cs="Arial"/>
        </w:rPr>
        <w:t xml:space="preserve"> investment are more likely to build a strong creative sector.</w:t>
      </w:r>
      <w:r w:rsidR="00A033C6">
        <w:rPr>
          <w:rFonts w:eastAsia="Calibri" w:cs="Arial"/>
        </w:rPr>
        <w:t xml:space="preserve"> </w:t>
      </w:r>
      <w:r w:rsidR="004F70EA" w:rsidRPr="00514EFA">
        <w:rPr>
          <w:rFonts w:eastAsia="Calibri" w:cs="Arial"/>
        </w:rPr>
        <w:t>They also are able to attract businesses to locate in local places more effectively than others</w:t>
      </w:r>
      <w:r w:rsidR="007270B3" w:rsidRPr="00514EFA">
        <w:rPr>
          <w:rFonts w:eastAsia="Calibri" w:cs="Arial"/>
        </w:rPr>
        <w:t xml:space="preserve"> and/or slow the rate at which businesses out-migrate to other locations.</w:t>
      </w:r>
      <w:r w:rsidR="00BD69F9">
        <w:rPr>
          <w:rFonts w:eastAsia="Calibri" w:cs="Arial"/>
        </w:rPr>
        <w:t xml:space="preserve"> This is consonant with Markusen’s findings on creative </w:t>
      </w:r>
      <w:r w:rsidR="00AD6B47">
        <w:rPr>
          <w:rFonts w:eastAsia="Calibri" w:cs="Arial"/>
        </w:rPr>
        <w:t>placemaking</w:t>
      </w:r>
      <w:r w:rsidR="00BD69F9">
        <w:rPr>
          <w:rFonts w:eastAsia="Calibri" w:cs="Arial"/>
        </w:rPr>
        <w:t xml:space="preserve"> in the USA where cultural consumption was also higher in these areas as a result of </w:t>
      </w:r>
      <w:r w:rsidR="00BD69F9" w:rsidRPr="000F6B69">
        <w:rPr>
          <w:rFonts w:eastAsia="Calibri" w:cs="Arial"/>
        </w:rPr>
        <w:t>this cluster</w:t>
      </w:r>
      <w:r w:rsidR="000F6B69" w:rsidRPr="000F6B69">
        <w:rPr>
          <w:rFonts w:eastAsia="Calibri" w:cs="Arial"/>
        </w:rPr>
        <w:t>ing</w:t>
      </w:r>
      <w:r w:rsidR="00BD69F9" w:rsidRPr="000F6B69">
        <w:rPr>
          <w:rFonts w:eastAsia="Calibri" w:cs="Arial"/>
        </w:rPr>
        <w:t xml:space="preserve"> and ecosystem</w:t>
      </w:r>
      <w:r w:rsidR="00BD69F9">
        <w:rPr>
          <w:rFonts w:eastAsia="Calibri" w:cs="Arial"/>
        </w:rPr>
        <w:t>.</w:t>
      </w:r>
    </w:p>
    <w:p w14:paraId="7ECC379E" w14:textId="6E642F96" w:rsidR="00BB4903" w:rsidRPr="00514EFA" w:rsidRDefault="00BB4903" w:rsidP="006E084B">
      <w:pPr>
        <w:rPr>
          <w:rFonts w:eastAsia="Calibri" w:cs="Arial"/>
        </w:rPr>
      </w:pPr>
      <w:r w:rsidRPr="00514EFA">
        <w:rPr>
          <w:rFonts w:eastAsia="Calibri" w:cs="Arial"/>
        </w:rPr>
        <w:t>Secondly, the absence of stronger evidence of relationships and associations should not necessarily be interpreted as an absence of impact.</w:t>
      </w:r>
      <w:r w:rsidR="00A033C6">
        <w:rPr>
          <w:rFonts w:eastAsia="Calibri" w:cs="Arial"/>
        </w:rPr>
        <w:t xml:space="preserve"> </w:t>
      </w:r>
      <w:r w:rsidRPr="00514EFA">
        <w:rPr>
          <w:rFonts w:eastAsia="Calibri" w:cs="Arial"/>
        </w:rPr>
        <w:t>The data and methodology limitations of the study mean that the relationships are yet to be fully explored.</w:t>
      </w:r>
      <w:r w:rsidR="0069713A">
        <w:rPr>
          <w:rFonts w:eastAsia="Calibri" w:cs="Arial"/>
        </w:rPr>
        <w:t xml:space="preserve"> Further research is needed to fully examine the relationships suggested by this study.</w:t>
      </w:r>
    </w:p>
    <w:p w14:paraId="1F51B3DA" w14:textId="34ACBF0C" w:rsidR="0096626C" w:rsidRPr="00514EFA" w:rsidRDefault="0096626C" w:rsidP="006E084B">
      <w:pPr>
        <w:rPr>
          <w:rFonts w:eastAsia="Calibri" w:cs="Arial"/>
        </w:rPr>
      </w:pPr>
      <w:r w:rsidRPr="00514EFA">
        <w:rPr>
          <w:rFonts w:eastAsia="Calibri" w:cs="Arial"/>
        </w:rPr>
        <w:t>Caution should be applied because of the limitations of the research.</w:t>
      </w:r>
      <w:r w:rsidR="00A033C6">
        <w:rPr>
          <w:rFonts w:eastAsia="Calibri" w:cs="Arial"/>
        </w:rPr>
        <w:t xml:space="preserve"> </w:t>
      </w:r>
      <w:r w:rsidR="00034F01">
        <w:rPr>
          <w:rFonts w:eastAsia="Calibri" w:cs="Arial"/>
        </w:rPr>
        <w:t xml:space="preserve">For example, the analysis is limited by data availability. </w:t>
      </w:r>
      <w:r w:rsidRPr="00514EFA">
        <w:rPr>
          <w:rFonts w:eastAsia="Calibri" w:cs="Arial"/>
        </w:rPr>
        <w:t>Reverse causality may be an issue in some of the results (</w:t>
      </w:r>
      <w:r w:rsidR="00C06FFE">
        <w:rPr>
          <w:rFonts w:eastAsia="Calibri" w:cs="Arial"/>
        </w:rPr>
        <w:t>for example, our model assumes that local authority investment is a driver of local economic performance, but</w:t>
      </w:r>
      <w:r w:rsidRPr="00514EFA">
        <w:rPr>
          <w:rFonts w:eastAsia="Calibri" w:cs="Arial"/>
        </w:rPr>
        <w:t xml:space="preserve"> high local investment may occur where there is a higher concentration of firms).</w:t>
      </w:r>
      <w:r w:rsidR="00A033C6">
        <w:rPr>
          <w:rFonts w:eastAsia="Calibri" w:cs="Arial"/>
        </w:rPr>
        <w:t xml:space="preserve"> </w:t>
      </w:r>
      <w:r w:rsidRPr="00514EFA">
        <w:rPr>
          <w:rFonts w:eastAsia="Calibri" w:cs="Arial"/>
        </w:rPr>
        <w:t>This could be addressed through further study focused on an instrumental variables approach.</w:t>
      </w:r>
    </w:p>
    <w:p w14:paraId="45CEE5F2" w14:textId="2DDBBD04" w:rsidR="00CE62B4" w:rsidRDefault="00BB4903" w:rsidP="006E084B">
      <w:pPr>
        <w:rPr>
          <w:rFonts w:eastAsia="Calibri" w:cs="Arial"/>
        </w:rPr>
      </w:pPr>
      <w:r w:rsidRPr="00514EFA">
        <w:rPr>
          <w:rFonts w:eastAsia="Calibri" w:cs="Arial"/>
        </w:rPr>
        <w:t xml:space="preserve">There is much </w:t>
      </w:r>
      <w:r w:rsidR="00C06FFE">
        <w:rPr>
          <w:rFonts w:eastAsia="Calibri" w:cs="Arial"/>
        </w:rPr>
        <w:t xml:space="preserve">further </w:t>
      </w:r>
      <w:r w:rsidRPr="00514EFA">
        <w:rPr>
          <w:rFonts w:eastAsia="Calibri" w:cs="Arial"/>
        </w:rPr>
        <w:t>scope for future research in this field.</w:t>
      </w:r>
      <w:r w:rsidR="00A033C6">
        <w:rPr>
          <w:rFonts w:eastAsia="Calibri" w:cs="Arial"/>
        </w:rPr>
        <w:t xml:space="preserve"> </w:t>
      </w:r>
      <w:r w:rsidRPr="00514EFA">
        <w:rPr>
          <w:rFonts w:eastAsia="Calibri" w:cs="Arial"/>
        </w:rPr>
        <w:t xml:space="preserve">Future econometric modelling approaches would be enhanced if a number of data limitations were </w:t>
      </w:r>
      <w:r w:rsidRPr="00514EFA">
        <w:rPr>
          <w:rFonts w:eastAsia="Calibri" w:cs="Arial"/>
        </w:rPr>
        <w:lastRenderedPageBreak/>
        <w:t>resolved.</w:t>
      </w:r>
      <w:r w:rsidR="00A033C6">
        <w:rPr>
          <w:rFonts w:eastAsia="Calibri" w:cs="Arial"/>
        </w:rPr>
        <w:t xml:space="preserve"> </w:t>
      </w:r>
      <w:r w:rsidR="0096626C" w:rsidRPr="00514EFA">
        <w:rPr>
          <w:rFonts w:eastAsia="Calibri" w:cs="Arial"/>
        </w:rPr>
        <w:t xml:space="preserve">Firstly, </w:t>
      </w:r>
      <w:r w:rsidR="00782CED">
        <w:rPr>
          <w:rFonts w:eastAsia="Calibri" w:cs="Arial"/>
        </w:rPr>
        <w:t xml:space="preserve">availability of a wider range of variables at local authority level – or, better, </w:t>
      </w:r>
      <w:r w:rsidR="0096626C" w:rsidRPr="00514EFA">
        <w:rPr>
          <w:rFonts w:eastAsia="Calibri" w:cs="Arial"/>
        </w:rPr>
        <w:t xml:space="preserve">availability of key variables at spatial areas </w:t>
      </w:r>
      <w:r w:rsidR="00C06FFE">
        <w:rPr>
          <w:rFonts w:eastAsia="Calibri" w:cs="Arial"/>
        </w:rPr>
        <w:t>smaller</w:t>
      </w:r>
      <w:r w:rsidR="00C06FFE" w:rsidRPr="00514EFA">
        <w:rPr>
          <w:rFonts w:eastAsia="Calibri" w:cs="Arial"/>
        </w:rPr>
        <w:t xml:space="preserve"> </w:t>
      </w:r>
      <w:r w:rsidR="0096626C" w:rsidRPr="00514EFA">
        <w:rPr>
          <w:rFonts w:eastAsia="Calibri" w:cs="Arial"/>
        </w:rPr>
        <w:t xml:space="preserve">than local </w:t>
      </w:r>
      <w:r w:rsidR="00511EC8" w:rsidRPr="00514EFA">
        <w:rPr>
          <w:rFonts w:eastAsia="Calibri" w:cs="Arial"/>
        </w:rPr>
        <w:t>authority</w:t>
      </w:r>
      <w:r w:rsidR="00511EC8">
        <w:rPr>
          <w:rFonts w:eastAsia="Calibri"/>
        </w:rPr>
        <w:t> </w:t>
      </w:r>
      <w:r w:rsidR="00782CED">
        <w:rPr>
          <w:rFonts w:eastAsia="Calibri" w:cs="Arial"/>
        </w:rPr>
        <w:t xml:space="preserve">– </w:t>
      </w:r>
      <w:r w:rsidR="0096626C" w:rsidRPr="00514EFA">
        <w:rPr>
          <w:rFonts w:eastAsia="Calibri" w:cs="Arial"/>
        </w:rPr>
        <w:t>would be very advantageous.</w:t>
      </w:r>
      <w:r w:rsidR="00A033C6">
        <w:rPr>
          <w:rFonts w:eastAsia="Calibri" w:cs="Arial"/>
        </w:rPr>
        <w:t xml:space="preserve"> </w:t>
      </w:r>
      <w:r w:rsidR="00883259">
        <w:rPr>
          <w:rFonts w:eastAsia="Calibri" w:cs="Arial"/>
        </w:rPr>
        <w:t xml:space="preserve">In particular, a wider range of control variables would benefit further research. </w:t>
      </w:r>
      <w:r w:rsidR="0096626C" w:rsidRPr="00514EFA">
        <w:rPr>
          <w:rFonts w:eastAsia="Calibri" w:cs="Arial"/>
        </w:rPr>
        <w:t xml:space="preserve">However, </w:t>
      </w:r>
      <w:r w:rsidR="0096626C" w:rsidRPr="00883259">
        <w:rPr>
          <w:rFonts w:eastAsia="Calibri" w:cs="Arial"/>
        </w:rPr>
        <w:t>given the source of much of the data is the public sector, this would require a significant investment in creating survey sample sizes which are robust at, for example, the middle super output area level.</w:t>
      </w:r>
      <w:r w:rsidR="00A033C6">
        <w:rPr>
          <w:rFonts w:eastAsia="Calibri" w:cs="Arial"/>
        </w:rPr>
        <w:t xml:space="preserve"> </w:t>
      </w:r>
      <w:r w:rsidR="0096626C" w:rsidRPr="00514EFA">
        <w:rPr>
          <w:rFonts w:eastAsia="Calibri" w:cs="Arial"/>
        </w:rPr>
        <w:t>It is unrealistic to believe that such an investment is viable or likely at present, but development of such a range of data would open up a range of new analytical options for this and other studies which examine local impact.</w:t>
      </w:r>
    </w:p>
    <w:p w14:paraId="32724F4D" w14:textId="2D585F2A" w:rsidR="00BB4903" w:rsidRPr="00514EFA" w:rsidRDefault="00BC549F" w:rsidP="006E084B">
      <w:pPr>
        <w:rPr>
          <w:rFonts w:eastAsia="Calibri" w:cs="Arial"/>
        </w:rPr>
      </w:pPr>
      <w:r>
        <w:rPr>
          <w:rFonts w:eastAsia="Calibri" w:cs="Arial"/>
        </w:rPr>
        <w:t xml:space="preserve">Meanwhile, it is perhaps worth </w:t>
      </w:r>
      <w:r w:rsidR="00974B11">
        <w:rPr>
          <w:rFonts w:eastAsia="Calibri" w:cs="Arial"/>
        </w:rPr>
        <w:t>investigating</w:t>
      </w:r>
      <w:r>
        <w:rPr>
          <w:rFonts w:eastAsia="Calibri" w:cs="Arial"/>
        </w:rPr>
        <w:t xml:space="preserve"> the availability of localised data – for example, detailed local authority investment data and/or venue data (ticket sales, participation data, etc.) may be available on a consistent basis for a number of areas sufficient to allow econometric analysis of the kind undertaken in this study. Control variables are a key concern, however, </w:t>
      </w:r>
      <w:r w:rsidR="00974B11">
        <w:rPr>
          <w:rFonts w:eastAsia="Calibri" w:cs="Arial"/>
        </w:rPr>
        <w:t>given issues relating to the reliability of sample surveys at localised levels; any investigation of localised data will need to take this into account.</w:t>
      </w:r>
    </w:p>
    <w:p w14:paraId="5A825222" w14:textId="2826B415" w:rsidR="00883259" w:rsidRDefault="0096626C" w:rsidP="006E084B">
      <w:pPr>
        <w:rPr>
          <w:rFonts w:eastAsia="Calibri" w:cs="Arial"/>
        </w:rPr>
      </w:pPr>
      <w:r w:rsidRPr="00514EFA">
        <w:rPr>
          <w:rFonts w:eastAsia="Calibri" w:cs="Arial"/>
        </w:rPr>
        <w:t xml:space="preserve">A </w:t>
      </w:r>
      <w:r w:rsidR="008705B4">
        <w:rPr>
          <w:rFonts w:eastAsia="Calibri" w:cs="Arial"/>
        </w:rPr>
        <w:t>third</w:t>
      </w:r>
      <w:r w:rsidRPr="00514EFA">
        <w:rPr>
          <w:rFonts w:eastAsia="Calibri" w:cs="Arial"/>
        </w:rPr>
        <w:t xml:space="preserve"> area where better data is needed is </w:t>
      </w:r>
      <w:r w:rsidR="00BD69F9">
        <w:rPr>
          <w:rFonts w:eastAsia="Calibri" w:cs="Arial"/>
        </w:rPr>
        <w:t xml:space="preserve">on </w:t>
      </w:r>
      <w:r w:rsidRPr="00514EFA">
        <w:rPr>
          <w:rFonts w:eastAsia="Calibri" w:cs="Arial"/>
        </w:rPr>
        <w:t xml:space="preserve">culture, sports and heritage assets over time. </w:t>
      </w:r>
      <w:r w:rsidR="003211C9">
        <w:rPr>
          <w:rFonts w:eastAsia="Calibri" w:cs="Arial"/>
        </w:rPr>
        <w:t>D</w:t>
      </w:r>
      <w:r w:rsidRPr="00514EFA">
        <w:rPr>
          <w:rFonts w:eastAsia="Calibri" w:cs="Arial"/>
        </w:rPr>
        <w:t>ata capture using digital techniques could be employed to enhance the longitudinal data on assets over time</w:t>
      </w:r>
      <w:r w:rsidR="00883259">
        <w:rPr>
          <w:rFonts w:eastAsia="Calibri" w:cs="Arial"/>
        </w:rPr>
        <w:t>, for example</w:t>
      </w:r>
      <w:r w:rsidR="00045F6B">
        <w:rPr>
          <w:rFonts w:eastAsia="Calibri" w:cs="Arial"/>
        </w:rPr>
        <w:t xml:space="preserve"> using regular web-scraping to collate time-series data on</w:t>
      </w:r>
      <w:r w:rsidRPr="00514EFA">
        <w:rPr>
          <w:rFonts w:eastAsia="Calibri" w:cs="Arial"/>
        </w:rPr>
        <w:t xml:space="preserve"> cultural events</w:t>
      </w:r>
      <w:r w:rsidR="00045F6B">
        <w:rPr>
          <w:rFonts w:eastAsia="Calibri" w:cs="Arial"/>
        </w:rPr>
        <w:t xml:space="preserve"> each year, to enhance one of the indicators used in our analysis</w:t>
      </w:r>
      <w:r w:rsidRPr="00514EFA">
        <w:rPr>
          <w:rFonts w:eastAsia="Calibri" w:cs="Arial"/>
        </w:rPr>
        <w:t>.</w:t>
      </w:r>
    </w:p>
    <w:p w14:paraId="028FC1E3" w14:textId="5E9AE787" w:rsidR="00BB4903" w:rsidRPr="00514EFA" w:rsidRDefault="00883259" w:rsidP="006E084B">
      <w:pPr>
        <w:rPr>
          <w:rFonts w:eastAsia="Calibri" w:cs="Arial"/>
        </w:rPr>
      </w:pPr>
      <w:r>
        <w:rPr>
          <w:rFonts w:eastAsia="Calibri" w:cs="Arial"/>
        </w:rPr>
        <w:t>Finally</w:t>
      </w:r>
      <w:r w:rsidR="0096626C" w:rsidRPr="00514EFA">
        <w:rPr>
          <w:rFonts w:eastAsia="Calibri" w:cs="Arial"/>
        </w:rPr>
        <w:t xml:space="preserve">, the question of whether impacts are temporary or </w:t>
      </w:r>
      <w:r w:rsidR="00BD69F9">
        <w:rPr>
          <w:rFonts w:eastAsia="Calibri" w:cs="Arial"/>
        </w:rPr>
        <w:t>sustained</w:t>
      </w:r>
      <w:r w:rsidR="00BD69F9" w:rsidRPr="00514EFA">
        <w:rPr>
          <w:rFonts w:eastAsia="Calibri" w:cs="Arial"/>
        </w:rPr>
        <w:t xml:space="preserve"> </w:t>
      </w:r>
      <w:r w:rsidR="0096626C" w:rsidRPr="00514EFA">
        <w:rPr>
          <w:rFonts w:eastAsia="Calibri" w:cs="Arial"/>
        </w:rPr>
        <w:t>is impossible to resolve with only ten years of data</w:t>
      </w:r>
      <w:r w:rsidR="009640D5">
        <w:rPr>
          <w:rFonts w:eastAsia="Calibri" w:cs="Arial"/>
        </w:rPr>
        <w:t xml:space="preserve"> – and the time-series was limited by the availability of data.  There is therefore a future opportunity to examine </w:t>
      </w:r>
      <w:r w:rsidR="009640D5" w:rsidRPr="00514EFA">
        <w:rPr>
          <w:rFonts w:eastAsia="Calibri" w:cs="Arial"/>
        </w:rPr>
        <w:t>the question of impact permanence</w:t>
      </w:r>
      <w:r w:rsidR="009640D5">
        <w:rPr>
          <w:rFonts w:eastAsia="Calibri" w:cs="Arial"/>
        </w:rPr>
        <w:t xml:space="preserve"> as more and more data points are added to these time-series in order.  </w:t>
      </w:r>
    </w:p>
    <w:p w14:paraId="0E6CA2CB" w14:textId="54D9CB15" w:rsidR="000F203F" w:rsidRPr="00D721C8" w:rsidRDefault="00CB59A0" w:rsidP="006751CE">
      <w:pPr>
        <w:pStyle w:val="Heading1Numbered"/>
      </w:pPr>
      <w:bookmarkStart w:id="70" w:name="_Ref460272388"/>
      <w:bookmarkStart w:id="71" w:name="_Ref460272433"/>
      <w:bookmarkStart w:id="72" w:name="_Ref460315845"/>
      <w:bookmarkStart w:id="73" w:name="_Ref460315850"/>
      <w:bookmarkStart w:id="74" w:name="_Toc467569609"/>
      <w:r w:rsidRPr="00D721C8">
        <w:rPr>
          <w:rFonts w:eastAsia="Calibri"/>
        </w:rPr>
        <w:lastRenderedPageBreak/>
        <w:t>Appendix I –</w:t>
      </w:r>
      <w:r w:rsidR="00D721C8" w:rsidRPr="00D721C8">
        <w:rPr>
          <w:rFonts w:eastAsia="Calibri"/>
        </w:rPr>
        <w:t xml:space="preserve"> </w:t>
      </w:r>
      <w:r w:rsidR="00E2185B">
        <w:t>L</w:t>
      </w:r>
      <w:r w:rsidR="000F203F" w:rsidRPr="00D721C8">
        <w:t xml:space="preserve">iterature </w:t>
      </w:r>
      <w:r w:rsidR="00D721C8">
        <w:t>r</w:t>
      </w:r>
      <w:r w:rsidR="000F203F" w:rsidRPr="00D721C8">
        <w:t>eview</w:t>
      </w:r>
      <w:bookmarkEnd w:id="70"/>
      <w:bookmarkEnd w:id="71"/>
      <w:bookmarkEnd w:id="72"/>
      <w:bookmarkEnd w:id="73"/>
      <w:bookmarkEnd w:id="74"/>
    </w:p>
    <w:p w14:paraId="3CFEEED4" w14:textId="77777777" w:rsidR="00410E03" w:rsidRPr="00520273" w:rsidRDefault="00410E03" w:rsidP="006751CE">
      <w:pPr>
        <w:pStyle w:val="Heading2Numbered"/>
      </w:pPr>
      <w:bookmarkStart w:id="75" w:name="_Toc467569610"/>
      <w:r w:rsidRPr="00520273">
        <w:t>Introduction</w:t>
      </w:r>
      <w:bookmarkEnd w:id="75"/>
    </w:p>
    <w:p w14:paraId="1B1D1A7A" w14:textId="42173ECE" w:rsidR="00410E03" w:rsidRPr="00E12945" w:rsidRDefault="00410E03" w:rsidP="00520273">
      <w:r w:rsidRPr="00E12945">
        <w:t xml:space="preserve">This review </w:t>
      </w:r>
      <w:r w:rsidR="00290C1B">
        <w:t>was</w:t>
      </w:r>
      <w:r w:rsidRPr="00E12945">
        <w:t xml:space="preserve"> undertaken </w:t>
      </w:r>
      <w:r w:rsidR="00290C1B">
        <w:t>during the early stages of the research. It</w:t>
      </w:r>
      <w:r w:rsidRPr="00E12945">
        <w:t xml:space="preserve"> is not a comprehensive ‘annotated’ literature review or meta-analysis of the </w:t>
      </w:r>
      <w:r w:rsidR="00290C1B">
        <w:t>role of culture in place-shaping</w:t>
      </w:r>
      <w:r w:rsidRPr="00E12945">
        <w:t>, although it is observed that a systematic meta-analysis is now required given the number of partial literature and evidence reviews that have been undertaken over the past 15 years. These have been limited by their sectoral and methodological focus, their coverage</w:t>
      </w:r>
      <w:r w:rsidRPr="00E12945">
        <w:rPr>
          <w:rStyle w:val="FootnoteReference"/>
          <w:rFonts w:ascii="Tahoma" w:hAnsi="Tahoma" w:cs="Tahoma"/>
          <w:sz w:val="20"/>
        </w:rPr>
        <w:footnoteReference w:id="2"/>
      </w:r>
      <w:r w:rsidRPr="00E12945">
        <w:t xml:space="preserve"> and geographic scope </w:t>
      </w:r>
      <w:r w:rsidR="00290C1B">
        <w:t>–</w:t>
      </w:r>
      <w:r w:rsidR="00290C1B" w:rsidRPr="00E12945">
        <w:t xml:space="preserve"> </w:t>
      </w:r>
      <w:r w:rsidRPr="00E12945">
        <w:t xml:space="preserve">making it difficult to compare art, sport, heritage and other sectors and the scales of impact. </w:t>
      </w:r>
    </w:p>
    <w:p w14:paraId="3D15A1A0" w14:textId="2D1DC76F" w:rsidR="00410E03" w:rsidRDefault="00410E03" w:rsidP="00520273">
      <w:pPr>
        <w:rPr>
          <w:rFonts w:eastAsiaTheme="minorHAnsi"/>
        </w:rPr>
      </w:pPr>
      <w:r w:rsidRPr="00E12945">
        <w:t xml:space="preserve">The </w:t>
      </w:r>
      <w:r w:rsidR="00290C1B">
        <w:t>literature review was</w:t>
      </w:r>
      <w:r w:rsidRPr="00E12945">
        <w:t xml:space="preserve"> undertaken as a ‘rapid review’ with the benefit of prior reviews, notably our </w:t>
      </w:r>
      <w:r w:rsidRPr="00E12945">
        <w:rPr>
          <w:i/>
        </w:rPr>
        <w:t>Art the Possible</w:t>
      </w:r>
      <w:r w:rsidRPr="00E12945">
        <w:t xml:space="preserve"> feasibility study undertaken for </w:t>
      </w:r>
      <w:r w:rsidR="00290C1B">
        <w:t xml:space="preserve">the </w:t>
      </w:r>
      <w:r w:rsidRPr="00E12945">
        <w:t>CASE</w:t>
      </w:r>
      <w:r w:rsidR="00290C1B">
        <w:t xml:space="preserve"> programme</w:t>
      </w:r>
      <w:r w:rsidRPr="00E12945">
        <w:t xml:space="preserve"> in 201</w:t>
      </w:r>
      <w:r w:rsidR="00E3244A">
        <w:t>1</w:t>
      </w:r>
      <w:r w:rsidR="005F0957">
        <w:t xml:space="preserve"> (TBR &amp; Cities Institute, 2011)</w:t>
      </w:r>
      <w:r w:rsidRPr="00E12945">
        <w:t xml:space="preserve"> which looked at literature on CS&amp;H impacts and underlying quantitative methods and data availability. More recent reviews include </w:t>
      </w:r>
      <w:r w:rsidRPr="00E12945">
        <w:rPr>
          <w:rFonts w:eastAsiaTheme="minorHAnsi"/>
          <w:i/>
        </w:rPr>
        <w:t>Evidence Review</w:t>
      </w:r>
      <w:r w:rsidRPr="00D01D0B">
        <w:rPr>
          <w:rFonts w:eastAsiaTheme="minorHAnsi"/>
          <w:i/>
        </w:rPr>
        <w:t xml:space="preserve">: Sport and Culture </w:t>
      </w:r>
      <w:r w:rsidRPr="00D01D0B">
        <w:rPr>
          <w:rFonts w:eastAsiaTheme="minorHAnsi"/>
        </w:rPr>
        <w:t>(WWCLEC, 2013);</w:t>
      </w:r>
      <w:r w:rsidRPr="00D01D0B">
        <w:rPr>
          <w:rFonts w:eastAsiaTheme="minorHAnsi"/>
          <w:i/>
        </w:rPr>
        <w:t xml:space="preserve"> Local economic impacts from cultural sector investment</w:t>
      </w:r>
      <w:r w:rsidRPr="00D01D0B">
        <w:rPr>
          <w:rFonts w:eastAsiaTheme="minorHAnsi"/>
        </w:rPr>
        <w:t xml:space="preserve"> (ECORYS, 2014); </w:t>
      </w:r>
      <w:r w:rsidRPr="00D01D0B">
        <w:rPr>
          <w:rFonts w:eastAsiaTheme="minorHAnsi"/>
          <w:i/>
        </w:rPr>
        <w:t>Understanding the value of arts &amp; culture</w:t>
      </w:r>
      <w:r w:rsidRPr="00D01D0B">
        <w:rPr>
          <w:rFonts w:eastAsiaTheme="minorHAnsi"/>
        </w:rPr>
        <w:t xml:space="preserve"> (AHRC, 2016); </w:t>
      </w:r>
      <w:r w:rsidRPr="00D01D0B">
        <w:rPr>
          <w:i/>
        </w:rPr>
        <w:t>The Warwick Commission on the Future of Cultural Value</w:t>
      </w:r>
      <w:r>
        <w:t xml:space="preserve"> (</w:t>
      </w:r>
      <w:r w:rsidRPr="00D01D0B">
        <w:t>Warwick University, 2015)</w:t>
      </w:r>
      <w:r>
        <w:t>;</w:t>
      </w:r>
      <w:r w:rsidRPr="00D01D0B">
        <w:rPr>
          <w:rFonts w:eastAsiaTheme="minorHAnsi"/>
          <w:i/>
        </w:rPr>
        <w:t xml:space="preserve"> Quantifying the Social Impacts of Culture and Sport</w:t>
      </w:r>
      <w:r w:rsidRPr="00D01D0B">
        <w:rPr>
          <w:rFonts w:eastAsiaTheme="minorHAnsi"/>
        </w:rPr>
        <w:t xml:space="preserve"> (DCMS, 2014) as well as earlier reviews of Social Impacts (CCS, 2005; Reeves, 2001) and </w:t>
      </w:r>
      <w:r w:rsidRPr="00D01D0B">
        <w:rPr>
          <w:rFonts w:eastAsiaTheme="minorHAnsi"/>
          <w:i/>
        </w:rPr>
        <w:t>Culture and Regeneration</w:t>
      </w:r>
      <w:r w:rsidRPr="00D01D0B">
        <w:rPr>
          <w:rFonts w:eastAsiaTheme="minorHAnsi"/>
        </w:rPr>
        <w:t xml:space="preserve"> (DCMS, 2004). The </w:t>
      </w:r>
      <w:r w:rsidR="002D625F">
        <w:rPr>
          <w:rFonts w:eastAsiaTheme="minorHAnsi"/>
        </w:rPr>
        <w:t>review</w:t>
      </w:r>
      <w:r w:rsidR="002D625F" w:rsidRPr="00D01D0B">
        <w:rPr>
          <w:rFonts w:eastAsiaTheme="minorHAnsi"/>
        </w:rPr>
        <w:t xml:space="preserve"> </w:t>
      </w:r>
      <w:r w:rsidRPr="00D01D0B">
        <w:rPr>
          <w:rFonts w:eastAsiaTheme="minorHAnsi"/>
        </w:rPr>
        <w:t xml:space="preserve">has drawn on these sources as well as published material in the form of journal articles, books/chapters and research reports, primarily (but not exclusively) from the UK and North America. As well as evidence in the specific field of public culture, sport and heritage, research in economic and related fields such as regional innovation/competitiveness (e.g. clusters), health </w:t>
      </w:r>
      <w:r w:rsidR="00E2185B">
        <w:rPr>
          <w:rFonts w:eastAsiaTheme="minorHAnsi"/>
        </w:rPr>
        <w:t>and</w:t>
      </w:r>
      <w:r w:rsidR="00E2185B" w:rsidRPr="00D01D0B">
        <w:rPr>
          <w:rFonts w:eastAsiaTheme="minorHAnsi"/>
        </w:rPr>
        <w:t xml:space="preserve"> </w:t>
      </w:r>
      <w:r w:rsidRPr="00D01D0B">
        <w:rPr>
          <w:rFonts w:eastAsiaTheme="minorHAnsi"/>
        </w:rPr>
        <w:t xml:space="preserve">wellbeing, and </w:t>
      </w:r>
      <w:r w:rsidR="00AD6B47">
        <w:rPr>
          <w:rFonts w:eastAsiaTheme="minorHAnsi"/>
        </w:rPr>
        <w:t>placemaking</w:t>
      </w:r>
      <w:r w:rsidRPr="00D01D0B">
        <w:rPr>
          <w:rFonts w:eastAsiaTheme="minorHAnsi"/>
        </w:rPr>
        <w:t xml:space="preserve"> </w:t>
      </w:r>
      <w:r w:rsidR="004D2D91">
        <w:rPr>
          <w:rFonts w:eastAsiaTheme="minorHAnsi"/>
        </w:rPr>
        <w:t>were</w:t>
      </w:r>
      <w:r w:rsidR="004D2D91" w:rsidRPr="00D01D0B">
        <w:rPr>
          <w:rFonts w:eastAsiaTheme="minorHAnsi"/>
        </w:rPr>
        <w:t xml:space="preserve"> </w:t>
      </w:r>
      <w:r w:rsidRPr="00D01D0B">
        <w:rPr>
          <w:rFonts w:eastAsiaTheme="minorHAnsi"/>
        </w:rPr>
        <w:t>also considered to the extent that they may contribute to a conceptual framework and potential modelling of CS&amp;H impacts on place-shaping.</w:t>
      </w:r>
    </w:p>
    <w:p w14:paraId="0B5058EC" w14:textId="22128140" w:rsidR="002D625F" w:rsidRDefault="002D625F" w:rsidP="00520273">
      <w:r w:rsidRPr="002D625F">
        <w:t>To complement the</w:t>
      </w:r>
      <w:r>
        <w:t xml:space="preserve"> initial</w:t>
      </w:r>
      <w:r w:rsidRPr="002D625F">
        <w:t xml:space="preserve"> literature review</w:t>
      </w:r>
      <w:r>
        <w:t xml:space="preserve">, a further review of </w:t>
      </w:r>
      <w:r w:rsidRPr="002D625F">
        <w:t xml:space="preserve">a number of specific studies which contribute empirical evidence to the debate around the impacts of CS&amp;H assets and/or investment </w:t>
      </w:r>
      <w:r>
        <w:t>was also undertaken</w:t>
      </w:r>
      <w:r w:rsidRPr="002D625F">
        <w:t xml:space="preserve">. </w:t>
      </w:r>
      <w:r>
        <w:t>The findings of both reviews are presented together here.</w:t>
      </w:r>
    </w:p>
    <w:p w14:paraId="599F9251" w14:textId="77777777" w:rsidR="00E3244A" w:rsidRDefault="00E3244A" w:rsidP="00520273"/>
    <w:p w14:paraId="59BD0CBC" w14:textId="77777777" w:rsidR="00E3244A" w:rsidRPr="00D01D0B" w:rsidRDefault="00E3244A" w:rsidP="00520273"/>
    <w:p w14:paraId="78758B2A" w14:textId="4F49E397" w:rsidR="00410E03" w:rsidRPr="00D01D0B" w:rsidRDefault="00410E03" w:rsidP="00520273">
      <w:pPr>
        <w:pStyle w:val="Heading2Numbered"/>
      </w:pPr>
      <w:bookmarkStart w:id="76" w:name="_Toc467569611"/>
      <w:r w:rsidRPr="00D01D0B">
        <w:lastRenderedPageBreak/>
        <w:t>Cultural Assets</w:t>
      </w:r>
      <w:bookmarkEnd w:id="76"/>
      <w:r w:rsidRPr="00D01D0B">
        <w:t xml:space="preserve"> </w:t>
      </w:r>
    </w:p>
    <w:p w14:paraId="5B776438" w14:textId="7E93A833" w:rsidR="00410E03" w:rsidRPr="00D01D0B" w:rsidRDefault="00410E03" w:rsidP="00410E03">
      <w:pPr>
        <w:rPr>
          <w:rFonts w:ascii="Tahoma" w:hAnsi="Tahoma" w:cs="Tahoma"/>
          <w:sz w:val="20"/>
        </w:rPr>
      </w:pPr>
      <w:r w:rsidRPr="00D01D0B">
        <w:t>Culture, Sport &amp; Heritage assets can be conceived and valued in four ways, as:</w:t>
      </w:r>
    </w:p>
    <w:p w14:paraId="0E4C99E7" w14:textId="77777777" w:rsidR="00410E03" w:rsidRPr="00520273" w:rsidRDefault="00410E03" w:rsidP="006751CE">
      <w:pPr>
        <w:pStyle w:val="Bullet"/>
      </w:pPr>
      <w:r w:rsidRPr="00520273">
        <w:t>Amenities</w:t>
      </w:r>
    </w:p>
    <w:p w14:paraId="2BB8F96D" w14:textId="77777777" w:rsidR="00410E03" w:rsidRPr="00520273" w:rsidRDefault="00410E03" w:rsidP="006751CE">
      <w:pPr>
        <w:pStyle w:val="Bullet"/>
      </w:pPr>
      <w:r w:rsidRPr="00520273">
        <w:t>Economic generators and attractors</w:t>
      </w:r>
    </w:p>
    <w:p w14:paraId="7245A183" w14:textId="77777777" w:rsidR="00410E03" w:rsidRPr="00520273" w:rsidRDefault="00410E03" w:rsidP="006751CE">
      <w:pPr>
        <w:pStyle w:val="Bullet"/>
      </w:pPr>
      <w:r w:rsidRPr="00520273">
        <w:t>Social and Cultural capital-builders</w:t>
      </w:r>
    </w:p>
    <w:p w14:paraId="74521366" w14:textId="77777777" w:rsidR="00410E03" w:rsidRPr="00520273" w:rsidRDefault="00410E03" w:rsidP="006751CE">
      <w:pPr>
        <w:pStyle w:val="Bullet"/>
      </w:pPr>
      <w:r w:rsidRPr="00520273">
        <w:t>Cultural value-givers</w:t>
      </w:r>
    </w:p>
    <w:p w14:paraId="41B399D3" w14:textId="74D54C3A" w:rsidR="00410E03" w:rsidRDefault="00410E03" w:rsidP="00131F29">
      <w:r w:rsidRPr="00D01D0B">
        <w:t xml:space="preserve">Generally speaking these assets are primarily </w:t>
      </w:r>
      <w:r w:rsidRPr="004D2D91">
        <w:rPr>
          <w:i/>
        </w:rPr>
        <w:t>amenities</w:t>
      </w:r>
      <w:r w:rsidRPr="00D01D0B">
        <w:t xml:space="preserve"> in that their main ‘cultural’ aim and objective is to provide arts, sporting and heritage activities</w:t>
      </w:r>
      <w:r w:rsidRPr="00E12945">
        <w:t>, experiences, ‘intrinsic cultural value’ and resources, whilst their economic and social impacts can be considered in most cases</w:t>
      </w:r>
      <w:r>
        <w:t xml:space="preserve"> to be external spin-offs to their core purpose. This is important in any consideration of the economic and social values attributable to CS&amp;H assets since these are not anticipated or normally required outputs. As amenities with or without significant quantifiable economic and social impacts, their role in place-shaping and contributing to the value of everyday life is however fundamental, if often under-valued, and this review seek</w:t>
      </w:r>
      <w:r w:rsidR="004D2D91">
        <w:t>s</w:t>
      </w:r>
      <w:r>
        <w:t xml:space="preserve"> to assess these values in tangible terms. The term </w:t>
      </w:r>
      <w:r w:rsidR="004D2D91">
        <w:t>‘</w:t>
      </w:r>
      <w:r>
        <w:t>assets</w:t>
      </w:r>
      <w:r w:rsidR="004D2D91">
        <w:t>’</w:t>
      </w:r>
      <w:r>
        <w:t xml:space="preserve"> is appropriate here, as both inclusive and positive, but also consonant with the Physical Cultural Asset Mapping approach developed for CASE (</w:t>
      </w:r>
      <w:r w:rsidR="00F40E03">
        <w:t xml:space="preserve">TBR and Cities Institute, </w:t>
      </w:r>
      <w:r>
        <w:t xml:space="preserve">2010) and in </w:t>
      </w:r>
      <w:r w:rsidRPr="00CD2A92">
        <w:rPr>
          <w:i/>
        </w:rPr>
        <w:t>Living Places</w:t>
      </w:r>
      <w:r>
        <w:t xml:space="preserve"> and cultural planning generally (Evans, 2008). This </w:t>
      </w:r>
      <w:r w:rsidR="004D2D91">
        <w:t>concept informs</w:t>
      </w:r>
      <w:r>
        <w:t xml:space="preserve"> the classification and identification of CS&amp;H assets </w:t>
      </w:r>
      <w:r w:rsidR="004D2D91">
        <w:t xml:space="preserve">in the study </w:t>
      </w:r>
      <w:r>
        <w:t>in terms of available and consistent data.</w:t>
      </w:r>
    </w:p>
    <w:p w14:paraId="6AB5F96F" w14:textId="1DB11D89" w:rsidR="00410E03" w:rsidRPr="00360F34" w:rsidRDefault="00410E03" w:rsidP="00520273">
      <w:pPr>
        <w:pStyle w:val="Heading3Numbered"/>
      </w:pPr>
      <w:bookmarkStart w:id="77" w:name="_Toc467569612"/>
      <w:r>
        <w:t>Public, Merit</w:t>
      </w:r>
      <w:r w:rsidRPr="00360F34">
        <w:t xml:space="preserve"> and Private Goods</w:t>
      </w:r>
      <w:bookmarkEnd w:id="77"/>
    </w:p>
    <w:p w14:paraId="622EF8BB" w14:textId="509B35D1" w:rsidR="00410E03" w:rsidRDefault="00410E03" w:rsidP="00520273">
      <w:r>
        <w:t xml:space="preserve">These three value systems are not of course exclusive (although treated as such in the literature and in planning), with CS&amp;H provision ranging from </w:t>
      </w:r>
      <w:r w:rsidRPr="005236C2">
        <w:rPr>
          <w:b/>
        </w:rPr>
        <w:t>public goods</w:t>
      </w:r>
      <w:r>
        <w:t xml:space="preserve"> (‘free’ to users e.g. public parks, libraries, museums); </w:t>
      </w:r>
      <w:r w:rsidRPr="005236C2">
        <w:rPr>
          <w:b/>
        </w:rPr>
        <w:t>merit goods</w:t>
      </w:r>
      <w:r>
        <w:t xml:space="preserve"> (low/subsidised price to users, e.g. most arts, cultural, heritage, sports) to </w:t>
      </w:r>
      <w:r w:rsidRPr="005236C2">
        <w:rPr>
          <w:b/>
        </w:rPr>
        <w:t>private goods</w:t>
      </w:r>
      <w:r>
        <w:t xml:space="preserve"> (full cost, commercial entertainment, e.g. cinemas). Providers of these CS&amp;H goods encompass public (local, national), voluntary/third sector (charities, trusts, associations) and private enterprises </w:t>
      </w:r>
      <w:r w:rsidR="004D2D91">
        <w:t>(</w:t>
      </w:r>
      <w:r>
        <w:t>large and small</w:t>
      </w:r>
      <w:r w:rsidR="004D2D91">
        <w:t>)</w:t>
      </w:r>
      <w:r>
        <w:t>. Organisational structures range from national networks and chains (</w:t>
      </w:r>
      <w:r w:rsidR="004D2D91">
        <w:t xml:space="preserve">e.g. </w:t>
      </w:r>
      <w:r>
        <w:t>National Trust, Odeon cinemas, David Lloyd Sports Centres, Virgin Gyms), to municipal and voluntary provision serving a local catchment. Some local provision may be the subject or product of standards (population or space-based) such as libraries, parks, sports facilities which have influenced their location, scale and catchment, but others effectively were not planned in this sense (most arts and heritage provision). One type of asset may serve a local user group whilst another may be focused on the visitor economy. For example, an elite national sport facility and a local community sports venue will have very different footprint</w:t>
      </w:r>
      <w:r w:rsidR="004D2D91">
        <w:t>s</w:t>
      </w:r>
      <w:r>
        <w:t xml:space="preserve"> and impact profile</w:t>
      </w:r>
      <w:r w:rsidR="004D2D91">
        <w:t>s</w:t>
      </w:r>
      <w:r>
        <w:t xml:space="preserve">. Many CS&amp;H facilities </w:t>
      </w:r>
      <w:r w:rsidR="004D2D91">
        <w:t xml:space="preserve">nevertheless </w:t>
      </w:r>
      <w:r>
        <w:t>will serve a mix of local (however defined) and non-local users and potentially, wider beneficiaries.</w:t>
      </w:r>
      <w:r w:rsidR="00A033C6">
        <w:t xml:space="preserve"> </w:t>
      </w:r>
    </w:p>
    <w:p w14:paraId="56D9AFCE" w14:textId="30BAE3F1" w:rsidR="00410E03" w:rsidRPr="00EF667C" w:rsidRDefault="00410E03" w:rsidP="00520273">
      <w:pPr>
        <w:pStyle w:val="Heading3Numbered"/>
      </w:pPr>
      <w:bookmarkStart w:id="78" w:name="_Toc467569613"/>
      <w:r w:rsidRPr="00EF667C">
        <w:t>Valorisation</w:t>
      </w:r>
      <w:bookmarkEnd w:id="78"/>
    </w:p>
    <w:p w14:paraId="783A65E6" w14:textId="5D57AFF6" w:rsidR="00410E03" w:rsidRDefault="00410E03" w:rsidP="00520273">
      <w:r>
        <w:t xml:space="preserve">Economic values are often ascribed to CS&amp;H assets, but rarely their </w:t>
      </w:r>
      <w:r w:rsidR="00F66F4E">
        <w:t xml:space="preserve">amenity </w:t>
      </w:r>
      <w:r>
        <w:t xml:space="preserve">value (see 1.4 below for </w:t>
      </w:r>
      <w:r w:rsidR="00F66F4E">
        <w:t>social impacts</w:t>
      </w:r>
      <w:r>
        <w:t xml:space="preserve">). Amenity valuations are very occasionally undertaken and the subject of cost-benefit analysis exercises using contingent valuation/willingness to pay (WTP) estimates (‘stated preferences’), for example the value placed by the public/users of parks </w:t>
      </w:r>
      <w:r w:rsidR="00F66F4E">
        <w:t xml:space="preserve">and </w:t>
      </w:r>
      <w:r>
        <w:t xml:space="preserve">open spaces, sports </w:t>
      </w:r>
      <w:r w:rsidR="00F66F4E">
        <w:t xml:space="preserve">and </w:t>
      </w:r>
      <w:r>
        <w:t xml:space="preserve">recreation facilities, museums, and access to nature (e.g. woodlands, water). </w:t>
      </w:r>
    </w:p>
    <w:p w14:paraId="60D07670" w14:textId="2149B08F" w:rsidR="00410E03" w:rsidRDefault="00410E03" w:rsidP="00520273">
      <w:r>
        <w:lastRenderedPageBreak/>
        <w:t>Specific impact studies into the effect on property prices from sports facilities and environmental amenities have applied ‘</w:t>
      </w:r>
      <w:r w:rsidRPr="00F27EC7">
        <w:t>hedonic pricing</w:t>
      </w:r>
      <w:r>
        <w:t>’ analysis of properties in close proximity to these assets</w:t>
      </w:r>
      <w:r w:rsidRPr="00F27EC7">
        <w:t>. Several st</w:t>
      </w:r>
      <w:r>
        <w:t xml:space="preserve">udies were investigated in our </w:t>
      </w:r>
      <w:r w:rsidRPr="007D7677">
        <w:rPr>
          <w:i/>
        </w:rPr>
        <w:t>Art of the Possible</w:t>
      </w:r>
      <w:r w:rsidRPr="00F27EC7">
        <w:t xml:space="preserve"> study (TBR</w:t>
      </w:r>
      <w:r w:rsidR="008F4884">
        <w:t xml:space="preserve"> and Cities Institute</w:t>
      </w:r>
      <w:r w:rsidRPr="00F27EC7">
        <w:t>, 2010) based on research into amenity valuation, e.g. parks and green space commissioned by CABE (2007)</w:t>
      </w:r>
      <w:r>
        <w:t xml:space="preserve"> and</w:t>
      </w:r>
      <w:r w:rsidRPr="00F27EC7">
        <w:t xml:space="preserve"> GLA </w:t>
      </w:r>
      <w:r>
        <w:t>(2003</w:t>
      </w:r>
      <w:r w:rsidR="00846DC1">
        <w:t xml:space="preserve"> and </w:t>
      </w:r>
      <w:r>
        <w:t xml:space="preserve">Varma, 2003). More recently the National Ecosystems Assessment (NEA, 2011) has developed measurements of Cultural Ecosystems Services (Plieninger et al, </w:t>
      </w:r>
      <w:r w:rsidRPr="00BC35D5">
        <w:t>2013</w:t>
      </w:r>
      <w:r>
        <w:t>), i.e. the value of “nature/natural heritage”</w:t>
      </w:r>
      <w:r w:rsidRPr="00F27EC7">
        <w:t xml:space="preserve"> </w:t>
      </w:r>
      <w:r>
        <w:t>(NEA, 2010) which will be analysed below. A number of</w:t>
      </w:r>
      <w:r w:rsidRPr="00F27EC7">
        <w:t xml:space="preserve"> studies have been published into the effect on property prices attributable to new/upgraded sports facilities in the USA and Germany</w:t>
      </w:r>
      <w:r>
        <w:rPr>
          <w:rFonts w:eastAsiaTheme="minorHAnsi"/>
          <w:color w:val="000000"/>
        </w:rPr>
        <w:t>. A</w:t>
      </w:r>
      <w:r w:rsidRPr="00F27EC7">
        <w:rPr>
          <w:rFonts w:eastAsiaTheme="minorHAnsi"/>
          <w:color w:val="000000"/>
        </w:rPr>
        <w:t xml:space="preserve"> qualitative study of the </w:t>
      </w:r>
      <w:r>
        <w:rPr>
          <w:rFonts w:eastAsiaTheme="minorHAnsi"/>
          <w:color w:val="000000"/>
        </w:rPr>
        <w:t>new Manchester C</w:t>
      </w:r>
      <w:r w:rsidRPr="00F27EC7">
        <w:rPr>
          <w:rFonts w:eastAsiaTheme="minorHAnsi"/>
          <w:color w:val="000000"/>
        </w:rPr>
        <w:t xml:space="preserve">ity </w:t>
      </w:r>
      <w:r>
        <w:rPr>
          <w:rFonts w:eastAsiaTheme="minorHAnsi"/>
          <w:color w:val="000000"/>
        </w:rPr>
        <w:t>and Cardiff Millennium stadia</w:t>
      </w:r>
      <w:r w:rsidRPr="00F27EC7">
        <w:rPr>
          <w:rFonts w:eastAsiaTheme="minorHAnsi"/>
          <w:color w:val="000000"/>
        </w:rPr>
        <w:t xml:space="preserve"> </w:t>
      </w:r>
      <w:r>
        <w:rPr>
          <w:rFonts w:eastAsiaTheme="minorHAnsi"/>
          <w:color w:val="000000"/>
        </w:rPr>
        <w:t>was also carried out using a small sample by Davies (</w:t>
      </w:r>
      <w:r w:rsidRPr="00F27EC7">
        <w:rPr>
          <w:rFonts w:eastAsiaTheme="minorHAnsi"/>
          <w:color w:val="000000"/>
        </w:rPr>
        <w:t>2005).</w:t>
      </w:r>
      <w:r w:rsidRPr="00F27EC7">
        <w:t xml:space="preserve"> Since 2010</w:t>
      </w:r>
      <w:r>
        <w:t>,</w:t>
      </w:r>
      <w:r w:rsidRPr="00F27EC7">
        <w:t xml:space="preserve"> one study using property prices has been published on the impact of the new Wembley and Arsenal stadia (</w:t>
      </w:r>
      <w:r>
        <w:rPr>
          <w:rFonts w:eastAsiaTheme="minorHAnsi"/>
          <w:color w:val="000000"/>
        </w:rPr>
        <w:t>Ahlfeldt, Gabriel &amp;</w:t>
      </w:r>
      <w:r w:rsidRPr="00F27EC7">
        <w:rPr>
          <w:rFonts w:eastAsiaTheme="minorHAnsi"/>
          <w:color w:val="000000"/>
        </w:rPr>
        <w:t xml:space="preserve"> Kavetsos, 2014). These </w:t>
      </w:r>
      <w:r>
        <w:rPr>
          <w:rFonts w:eastAsiaTheme="minorHAnsi"/>
          <w:color w:val="000000"/>
        </w:rPr>
        <w:t xml:space="preserve">studies </w:t>
      </w:r>
      <w:r w:rsidRPr="00F27EC7">
        <w:rPr>
          <w:rFonts w:eastAsiaTheme="minorHAnsi"/>
          <w:color w:val="000000"/>
        </w:rPr>
        <w:t>need further analysis</w:t>
      </w:r>
      <w:r>
        <w:rPr>
          <w:rFonts w:eastAsiaTheme="minorHAnsi"/>
          <w:color w:val="000000"/>
        </w:rPr>
        <w:t xml:space="preserve"> for our purposes</w:t>
      </w:r>
      <w:r w:rsidRPr="00F27EC7">
        <w:rPr>
          <w:rFonts w:eastAsiaTheme="minorHAnsi"/>
          <w:color w:val="000000"/>
        </w:rPr>
        <w:t xml:space="preserve">, but an observation is that the hedonic pricing model has not been verified with householders to attribute the location decision or value added to the new facility. </w:t>
      </w:r>
      <w:r>
        <w:rPr>
          <w:rFonts w:eastAsiaTheme="minorHAnsi"/>
          <w:color w:val="000000"/>
        </w:rPr>
        <w:t>Fo</w:t>
      </w:r>
      <w:r w:rsidRPr="00F27EC7">
        <w:rPr>
          <w:rFonts w:eastAsiaTheme="minorHAnsi"/>
          <w:color w:val="000000"/>
        </w:rPr>
        <w:t xml:space="preserve">r example, in the case of the Arsenal and </w:t>
      </w:r>
      <w:r>
        <w:rPr>
          <w:rFonts w:eastAsiaTheme="minorHAnsi"/>
          <w:color w:val="000000"/>
        </w:rPr>
        <w:t>new Wembley study, important</w:t>
      </w:r>
      <w:r w:rsidRPr="00F27EC7">
        <w:rPr>
          <w:rFonts w:eastAsiaTheme="minorHAnsi"/>
          <w:color w:val="000000"/>
        </w:rPr>
        <w:t xml:space="preserve"> factors have not been taken into account in relation to the local and sub-regional property market, </w:t>
      </w:r>
      <w:r>
        <w:rPr>
          <w:rFonts w:eastAsiaTheme="minorHAnsi"/>
          <w:color w:val="000000"/>
        </w:rPr>
        <w:t xml:space="preserve">regeneration effects, </w:t>
      </w:r>
      <w:r w:rsidRPr="00F27EC7">
        <w:rPr>
          <w:rFonts w:eastAsiaTheme="minorHAnsi"/>
          <w:color w:val="000000"/>
        </w:rPr>
        <w:t>morphological variations, density or displacement effects.</w:t>
      </w:r>
    </w:p>
    <w:p w14:paraId="506804F4" w14:textId="77B10294" w:rsidR="00410E03" w:rsidRDefault="00410E03" w:rsidP="00520273">
      <w:pPr>
        <w:rPr>
          <w:rFonts w:eastAsiaTheme="minorHAnsi"/>
          <w:color w:val="000000"/>
        </w:rPr>
      </w:pPr>
      <w:r>
        <w:t xml:space="preserve">The contingent valuation </w:t>
      </w:r>
      <w:r w:rsidRPr="00F27EC7">
        <w:t>approach has been in particular informed by environmental economics and in cultural economics</w:t>
      </w:r>
      <w:r>
        <w:t xml:space="preserve">, </w:t>
      </w:r>
      <w:r w:rsidRPr="00F27EC7">
        <w:t>mainly applied to museums</w:t>
      </w:r>
      <w:r>
        <w:t xml:space="preserve"> (</w:t>
      </w:r>
      <w:r w:rsidRPr="00F27EC7">
        <w:t>Noonan, 2003</w:t>
      </w:r>
      <w:r>
        <w:rPr>
          <w:rFonts w:eastAsiaTheme="minorHAnsi"/>
          <w:color w:val="000000"/>
        </w:rPr>
        <w:t xml:space="preserve">). Willingness to pay studies are used to assess the value of ‘free’ cultural and natural heritage facilities, for example English Heritage has carried out WTP studies of two heritage sites (Castle Priory and Walmer Castle/Gardens) on users/members and non-users (ECORYS, 2014) which can be </w:t>
      </w:r>
      <w:r w:rsidR="00F66F4E">
        <w:rPr>
          <w:rFonts w:eastAsiaTheme="minorHAnsi"/>
          <w:color w:val="000000"/>
        </w:rPr>
        <w:t>used</w:t>
      </w:r>
      <w:r>
        <w:rPr>
          <w:rFonts w:eastAsiaTheme="minorHAnsi"/>
          <w:color w:val="000000"/>
        </w:rPr>
        <w:t xml:space="preserve"> to estimate the financial value of annual visitors. This approach can also distinguish between residence (local, visitor) and socio-economic characteristics, </w:t>
      </w:r>
      <w:r w:rsidR="006F44D8">
        <w:rPr>
          <w:rFonts w:eastAsiaTheme="minorHAnsi"/>
          <w:color w:val="000000"/>
        </w:rPr>
        <w:t>estimating</w:t>
      </w:r>
      <w:r w:rsidR="00F66F4E">
        <w:rPr>
          <w:rFonts w:eastAsiaTheme="minorHAnsi"/>
          <w:color w:val="000000"/>
        </w:rPr>
        <w:t xml:space="preserve"> </w:t>
      </w:r>
      <w:r>
        <w:rPr>
          <w:rFonts w:eastAsiaTheme="minorHAnsi"/>
          <w:color w:val="000000"/>
        </w:rPr>
        <w:t xml:space="preserve">values </w:t>
      </w:r>
      <w:r w:rsidR="00F66F4E">
        <w:rPr>
          <w:rFonts w:eastAsiaTheme="minorHAnsi"/>
          <w:color w:val="000000"/>
        </w:rPr>
        <w:t xml:space="preserve">from </w:t>
      </w:r>
      <w:r>
        <w:rPr>
          <w:rFonts w:eastAsiaTheme="minorHAnsi"/>
          <w:color w:val="000000"/>
        </w:rPr>
        <w:t xml:space="preserve">local and non-local beneficiaries. </w:t>
      </w:r>
      <w:r w:rsidR="00F66F4E">
        <w:rPr>
          <w:rFonts w:eastAsiaTheme="minorHAnsi"/>
          <w:color w:val="000000"/>
        </w:rPr>
        <w:t xml:space="preserve">For example, </w:t>
      </w:r>
      <w:r>
        <w:rPr>
          <w:rFonts w:eastAsiaTheme="minorHAnsi"/>
          <w:color w:val="000000"/>
        </w:rPr>
        <w:t xml:space="preserve">Bolton Museum, Library &amp; Archives undertook a WTP survey of users/non-users. Museum users estimated the value of their visit at £2.77 per month and non-users </w:t>
      </w:r>
      <w:r w:rsidR="00F66F4E">
        <w:rPr>
          <w:rFonts w:eastAsiaTheme="minorHAnsi"/>
          <w:color w:val="000000"/>
        </w:rPr>
        <w:t xml:space="preserve">at </w:t>
      </w:r>
      <w:r>
        <w:rPr>
          <w:rFonts w:eastAsiaTheme="minorHAnsi"/>
          <w:color w:val="000000"/>
        </w:rPr>
        <w:t>£1.14 per month. The total value of the city’s MLA services was put at £10.4 million (£7m users, £3.4m non-users), 1.6 times higher than the amount of public funding received (Jura, 2005)</w:t>
      </w:r>
      <w:r w:rsidR="00F66F4E">
        <w:rPr>
          <w:rFonts w:eastAsiaTheme="minorHAnsi"/>
          <w:color w:val="000000"/>
        </w:rPr>
        <w:t>.</w:t>
      </w:r>
    </w:p>
    <w:p w14:paraId="3D8D0267" w14:textId="25A9D158" w:rsidR="00410E03" w:rsidRPr="006F0B56" w:rsidRDefault="00410E03" w:rsidP="00520273">
      <w:pPr>
        <w:rPr>
          <w:rFonts w:eastAsiaTheme="minorHAnsi"/>
          <w:color w:val="000000"/>
        </w:rPr>
      </w:pPr>
      <w:r>
        <w:t>Stated preferences are seldom actually tested through revealed preferences, i.e. what beneficiaries subsequently paid for a ‘public’ (or subsidised ‘merit’) good that was previously free or at a lower price. However, in an earlier willingness to pay study conducted for the Arts Council, a majority of existing arts attenders said that they would pay more for Dance, Opera, Drama with 21% willing to pay more for Ballet, 34% for Opera, 37% for Drama, and 44% for Drama in Rep. During this decade (1987</w:t>
      </w:r>
      <w:r w:rsidR="006F0B56">
        <w:t>–</w:t>
      </w:r>
      <w:r>
        <w:t xml:space="preserve">1998) increased ticket yields at major performing arts venues saw average prices paid increase by 27% (Ballet), 44% (Opera), 27% (Drama) and 22% (Reps). There appears to be a correlation therefore in this case between willingness to pay and actual payment of a higher price, although how this effects the distribution and behaviour of audiences is an issue, e.g. a possible narrowing of audience profiles – in this case, 35% of respondents said that they would go less frequently (ACE, 2001; Evans, 1999). </w:t>
      </w:r>
      <w:r w:rsidRPr="006751CE">
        <w:t>Capturing latent ‘willingness to pay’ for C&amp;HS facility usage will nonetheless be one measure of value placed on these assets. These impacts need to be extended to a wider range and type of CS&amp;H assets and reflect other environmental factors</w:t>
      </w:r>
      <w:r w:rsidRPr="006F0B56">
        <w:t>.</w:t>
      </w:r>
    </w:p>
    <w:p w14:paraId="141BC460" w14:textId="313E81D9" w:rsidR="00410E03" w:rsidRPr="00EF667C" w:rsidRDefault="00410E03" w:rsidP="00520273">
      <w:pPr>
        <w:pStyle w:val="Heading3Numbered"/>
      </w:pPr>
      <w:bookmarkStart w:id="79" w:name="_Toc467569614"/>
      <w:r w:rsidRPr="00EF667C">
        <w:lastRenderedPageBreak/>
        <w:t>Economic impact</w:t>
      </w:r>
      <w:bookmarkEnd w:id="79"/>
    </w:p>
    <w:p w14:paraId="08494EB3" w14:textId="7E5D2A9E" w:rsidR="00410E03" w:rsidRDefault="00410E03" w:rsidP="00520273">
      <w:r>
        <w:t xml:space="preserve">CS&amp;H assets also have a direct and indirect economic value irrespective of their status and the services provided, since </w:t>
      </w:r>
      <w:r w:rsidR="00B2621F">
        <w:t xml:space="preserve">– </w:t>
      </w:r>
      <w:r>
        <w:t xml:space="preserve">except in very few cases (i.e. entirely voluntary, free provision) </w:t>
      </w:r>
      <w:r w:rsidR="00B2621F">
        <w:t xml:space="preserve">– </w:t>
      </w:r>
      <w:r>
        <w:t xml:space="preserve">they employ staff, contractors, purchase goods </w:t>
      </w:r>
      <w:r w:rsidR="00B2621F">
        <w:t xml:space="preserve">and </w:t>
      </w:r>
      <w:r>
        <w:t>services, and many will charge for services. Even public goods also generate income</w:t>
      </w:r>
      <w:r w:rsidR="00B2621F">
        <w:t>,</w:t>
      </w:r>
      <w:r>
        <w:t xml:space="preserve"> e.g. via hire fees (e.g. pitches, room/facility hire, training), special exhibitions (museums </w:t>
      </w:r>
      <w:r w:rsidR="00B2621F">
        <w:t xml:space="preserve">and </w:t>
      </w:r>
      <w:r>
        <w:t>galleries) and events, and through trading activity, notably hospitality, shops, bookshops, sponsorship</w:t>
      </w:r>
      <w:r w:rsidR="00B2621F">
        <w:t>,</w:t>
      </w:r>
      <w:r>
        <w:t xml:space="preserve"> etc. </w:t>
      </w:r>
    </w:p>
    <w:p w14:paraId="2A5E5D33" w14:textId="5738DDC5" w:rsidR="00410E03" w:rsidRPr="006751CE" w:rsidRDefault="00410E03" w:rsidP="00520273">
      <w:r>
        <w:t xml:space="preserve">Most impact studies using Economic Impact Assessment (EIA) focus on these economic outputs arising firstly from </w:t>
      </w:r>
      <w:r w:rsidRPr="006751CE">
        <w:t>investment</w:t>
      </w:r>
      <w:r w:rsidRPr="007B39D4">
        <w:rPr>
          <w:b/>
        </w:rPr>
        <w:t xml:space="preserve"> </w:t>
      </w:r>
      <w:r>
        <w:t xml:space="preserve">in the capital phase (e.g. construction/supplies), and then from subsequent and ongoing operational income and expenditure flows. These </w:t>
      </w:r>
      <w:r w:rsidR="00B2621F">
        <w:t xml:space="preserve">studies </w:t>
      </w:r>
      <w:r>
        <w:t xml:space="preserve">are generally carried out by applying multipliers to direct income and jobs generated and money circulating in the economy through spending by users/visitors, and to direct expenditure generated by the organisation though salaries and purchase of supplies </w:t>
      </w:r>
      <w:r w:rsidR="00B2621F">
        <w:t xml:space="preserve">– </w:t>
      </w:r>
      <w:r>
        <w:t xml:space="preserve">and the subsequent (indirect and induced) spending in successive rounds as employees and suppliers re-spend part of these receipts in the economy. Practical challenges to these exercises start with basic data collection of direct income and expenditure, then how this is distributed in the (local) economy with significant leakage of these benefits out of the ‘area’ likely. This of course depends on the size of the area and the extent of goods &amp; services imported from outside of the area, including from abroad. </w:t>
      </w:r>
      <w:r w:rsidRPr="006751CE">
        <w:t xml:space="preserve">In more sustainable place-shaping cases, the strength and diversity of the local/regional economy will minimise leakage and may also better support endogenous growth and innovation through these and genuine cluster effects (e.g. knowledge spillovers, valued added, scale benefits). </w:t>
      </w:r>
    </w:p>
    <w:p w14:paraId="012A2B33" w14:textId="77777777" w:rsidR="00410E03" w:rsidRDefault="00410E03" w:rsidP="00520273"/>
    <w:tbl>
      <w:tblPr>
        <w:tblStyle w:val="TableGrid"/>
        <w:tblW w:w="0" w:type="auto"/>
        <w:tblInd w:w="108" w:type="dxa"/>
        <w:tblLook w:val="04A0" w:firstRow="1" w:lastRow="0" w:firstColumn="1" w:lastColumn="0" w:noHBand="0" w:noVBand="1"/>
      </w:tblPr>
      <w:tblGrid>
        <w:gridCol w:w="9178"/>
      </w:tblGrid>
      <w:tr w:rsidR="00410E03" w14:paraId="146D74CB" w14:textId="77777777" w:rsidTr="00121553">
        <w:tc>
          <w:tcPr>
            <w:tcW w:w="9178" w:type="dxa"/>
          </w:tcPr>
          <w:p w14:paraId="449E63EF" w14:textId="77777777" w:rsidR="00410E03" w:rsidRDefault="00410E03" w:rsidP="00520273">
            <w:r w:rsidRPr="0098768F">
              <w:t xml:space="preserve">An EIA study was carried out </w:t>
            </w:r>
            <w:r>
              <w:t>for the Anvil Arts organ</w:t>
            </w:r>
            <w:r w:rsidRPr="0098768F">
              <w:t>isation (concert and theatre venues) in Basingstoke, Hants</w:t>
            </w:r>
            <w:r>
              <w:t xml:space="preserve"> in 2010</w:t>
            </w:r>
            <w:r w:rsidRPr="0098768F">
              <w:t>.</w:t>
            </w:r>
            <w:r>
              <w:t xml:space="preserve"> This assessment used financial and management data and accounts to measure spending and its distribution, followed by an online survey of users (n=2,000) to estimate their spending in the local area in addition to ticket purchases. Estimates were made of spending by visiting performers based on their records and standard allowances. Together the value placed on the organisation produced a gross economic output of £6.2m. After factoring in additionality and multiplier effects using benchmarks (BIS) taken from the sub-regional level (not available for single LA level), the net economic impact was £5m (ACE, 2012).</w:t>
            </w:r>
          </w:p>
          <w:p w14:paraId="49C7E372" w14:textId="77777777" w:rsidR="00E3244A" w:rsidRDefault="00E3244A" w:rsidP="00520273"/>
        </w:tc>
      </w:tr>
    </w:tbl>
    <w:p w14:paraId="46264FA9" w14:textId="77777777" w:rsidR="00410E03" w:rsidRDefault="00410E03" w:rsidP="00131F29"/>
    <w:p w14:paraId="46CADDE9" w14:textId="3B7928C1" w:rsidR="00410E03" w:rsidRDefault="00410E03" w:rsidP="00520273">
      <w:r>
        <w:t xml:space="preserve">Sectoral or macro-economic ‘footprint’ studies have also been carried out on behalf of government and funding agencies, calculating the importance of a particular domain or ‘industry’ to the national economy (e.g. UK/GB, Scotland), such as the </w:t>
      </w:r>
      <w:r w:rsidR="00901785">
        <w:t xml:space="preserve">arts </w:t>
      </w:r>
      <w:r>
        <w:t xml:space="preserve">(Myerscough, 1988), </w:t>
      </w:r>
      <w:r w:rsidR="00901785">
        <w:t xml:space="preserve">sport </w:t>
      </w:r>
      <w:r>
        <w:t>(</w:t>
      </w:r>
      <w:r w:rsidR="0017656A">
        <w:t>e.g.</w:t>
      </w:r>
      <w:r>
        <w:t xml:space="preserve"> LIRC, 1997), </w:t>
      </w:r>
      <w:r w:rsidR="00901785">
        <w:t xml:space="preserve">heritage </w:t>
      </w:r>
      <w:r>
        <w:t>(</w:t>
      </w:r>
      <w:r w:rsidR="00901785">
        <w:t>English Heritage</w:t>
      </w:r>
      <w:r>
        <w:t xml:space="preserve">, 2010; 2014), </w:t>
      </w:r>
      <w:r w:rsidR="00901785">
        <w:t xml:space="preserve">libraries </w:t>
      </w:r>
      <w:r>
        <w:t>(ACE, 2014)</w:t>
      </w:r>
      <w:r w:rsidR="00A033C6">
        <w:t xml:space="preserve"> </w:t>
      </w:r>
      <w:r>
        <w:t xml:space="preserve">and sub-sectoral studies including theatre, cultural tourism, sports events, festivals, the BBC (ACE, 2012), and investment in funding programmes, e.g. Lottery (arts, heritage – </w:t>
      </w:r>
      <w:r w:rsidR="00901785">
        <w:t xml:space="preserve">e.g. </w:t>
      </w:r>
      <w:r>
        <w:t xml:space="preserve">Evans, 2007; GHK, 2009). These are replicated at regional level, whilst cities and local authorities periodically undertake ‘audits’ of specific sectors as part of policy and planning strategies. Attention here has shifted towards the creative economy/industries and this incorporates some arts, heritage and events activity. </w:t>
      </w:r>
    </w:p>
    <w:p w14:paraId="6FB0137A" w14:textId="4C34CD3A" w:rsidR="00410E03" w:rsidRPr="004F7B3C" w:rsidRDefault="00410E03" w:rsidP="00520273">
      <w:pPr>
        <w:rPr>
          <w:rFonts w:cs="Arial"/>
          <w:color w:val="000000"/>
        </w:rPr>
      </w:pPr>
      <w:r>
        <w:lastRenderedPageBreak/>
        <w:t>The extent to which CS&amp;H assets contribute to the wider creative economy and production chain through cluster effects and labour/skills markets therefore needs to be considered (below)</w:t>
      </w:r>
      <w:r w:rsidRPr="00F27EC7">
        <w:t>.</w:t>
      </w:r>
      <w:r>
        <w:t xml:space="preserve"> It should be noted that CS&amp;H activity and provision provide much of the “cultural content” on which the creative and digital media industries rely </w:t>
      </w:r>
      <w:r w:rsidR="00901785">
        <w:t xml:space="preserve">– </w:t>
      </w:r>
      <w:r>
        <w:t xml:space="preserve">from live arts, heritage to sports. In this sense football and other stadia serve as the “theatre” which is fundamental to the live sporting experience and its transmission via the media, with spectators the crowd “extras” </w:t>
      </w:r>
      <w:r w:rsidR="00901785">
        <w:t xml:space="preserve">– </w:t>
      </w:r>
      <w:r>
        <w:t>and therefore a key component in the monetisation seen in Premier League broadcast rights. A similar association can be made between historic houses and heritage sites which serve as backdrops to TV and film drama productions. This also materialises through film locating at these historic and other cultural sites, which generates income not only for the heritage and other venue organisations, but local authorities and local businesses and in future visitor activity associated with the film, e.g. Harry Potter and Alnwick Castle.</w:t>
      </w:r>
    </w:p>
    <w:p w14:paraId="50E8155F" w14:textId="38E020A0" w:rsidR="00410E03" w:rsidRDefault="00410E03" w:rsidP="00131F29">
      <w:r>
        <w:t>Macro-level sectoral studies tend to rely on these same multipliers of income and employment, e</w:t>
      </w:r>
      <w:r w:rsidRPr="005E3484">
        <w:t>xcept where sector/industry specific multipliers are available, e.g. trade/employment, GVA</w:t>
      </w:r>
      <w:r>
        <w:rPr>
          <w:b/>
        </w:rPr>
        <w:t xml:space="preserve"> </w:t>
      </w:r>
      <w:r>
        <w:t>(</w:t>
      </w:r>
      <w:r w:rsidRPr="002128BA">
        <w:t>e.g. ACE Lottery Employment</w:t>
      </w:r>
      <w:r>
        <w:t xml:space="preserve"> study </w:t>
      </w:r>
      <w:r w:rsidR="00901785">
        <w:t xml:space="preserve">– </w:t>
      </w:r>
      <w:r>
        <w:t>Evans, 1997)</w:t>
      </w:r>
      <w:r w:rsidRPr="002128BA">
        <w:t>,</w:t>
      </w:r>
      <w:r>
        <w:t xml:space="preserve"> or where survey data is generated as in the economic impact studies noted above. However, they are not generally place-based or attributable to specific supply. National studies also use Input-Output (I-O) tables, but at regional and local level these are not available or appropriate. National Income Accounting (NIA) is however used since it can derive sectoral data to produce localised GDP. This measures the flow of goods and services produced in an economy taking into account </w:t>
      </w:r>
      <w:r w:rsidR="00656AD6">
        <w:t>i</w:t>
      </w:r>
      <w:r>
        <w:t xml:space="preserve">ncome and </w:t>
      </w:r>
      <w:r w:rsidR="00656AD6">
        <w:t xml:space="preserve">expenditure </w:t>
      </w:r>
      <w:r>
        <w:t xml:space="preserve">from the production of goods and services; total </w:t>
      </w:r>
      <w:r w:rsidR="00656AD6">
        <w:t xml:space="preserve">expenditures </w:t>
      </w:r>
      <w:r>
        <w:t xml:space="preserve">on </w:t>
      </w:r>
      <w:r w:rsidR="00656AD6">
        <w:t>consumption</w:t>
      </w:r>
      <w:r>
        <w:t xml:space="preserve">; and </w:t>
      </w:r>
      <w:r w:rsidR="00656AD6">
        <w:t xml:space="preserve">added value </w:t>
      </w:r>
      <w:r>
        <w:t xml:space="preserve">(net output). </w:t>
      </w:r>
    </w:p>
    <w:p w14:paraId="443F8274" w14:textId="77777777" w:rsidR="00410E03" w:rsidRDefault="00410E03" w:rsidP="00224A2D"/>
    <w:tbl>
      <w:tblPr>
        <w:tblStyle w:val="TableGrid"/>
        <w:tblW w:w="0" w:type="auto"/>
        <w:tblInd w:w="108" w:type="dxa"/>
        <w:tblLook w:val="04A0" w:firstRow="1" w:lastRow="0" w:firstColumn="1" w:lastColumn="0" w:noHBand="0" w:noVBand="1"/>
      </w:tblPr>
      <w:tblGrid>
        <w:gridCol w:w="9178"/>
      </w:tblGrid>
      <w:tr w:rsidR="00410E03" w14:paraId="66E125B6" w14:textId="77777777" w:rsidTr="00121553">
        <w:tc>
          <w:tcPr>
            <w:tcW w:w="9178" w:type="dxa"/>
          </w:tcPr>
          <w:p w14:paraId="42A18591" w14:textId="47E0FCD8" w:rsidR="00410E03" w:rsidRDefault="00901785" w:rsidP="00901785">
            <w:r>
              <w:t>I</w:t>
            </w:r>
            <w:r w:rsidR="00410E03">
              <w:t xml:space="preserve">n </w:t>
            </w:r>
            <w:r>
              <w:t xml:space="preserve">a </w:t>
            </w:r>
            <w:r w:rsidR="00410E03">
              <w:t>study</w:t>
            </w:r>
            <w:r>
              <w:t xml:space="preserve"> of the e</w:t>
            </w:r>
            <w:r w:rsidRPr="00901785">
              <w:t>conomic significance of the sport sector in Sheffield</w:t>
            </w:r>
            <w:r w:rsidR="00410E03">
              <w:t xml:space="preserve">, NIA data was divided into Consumer, Voluntary, Commercial and Non-Commercial Sport, Local and Central Government sectors. Income and Expenditure profiles were </w:t>
            </w:r>
            <w:r w:rsidR="00410E03" w:rsidRPr="009D3DD0">
              <w:t xml:space="preserve">derived for each of these sectors, with value added estimated from wages/salaries plus factor costs and profit. A survey of consumers in the first three sectors </w:t>
            </w:r>
            <w:r w:rsidR="00410E03">
              <w:t xml:space="preserve">was undertaken by </w:t>
            </w:r>
            <w:r w:rsidR="00410E03" w:rsidRPr="009D3DD0">
              <w:rPr>
                <w:rFonts w:eastAsiaTheme="minorHAnsi"/>
              </w:rPr>
              <w:t>postal s</w:t>
            </w:r>
            <w:r w:rsidR="00410E03">
              <w:rPr>
                <w:rFonts w:eastAsiaTheme="minorHAnsi"/>
              </w:rPr>
              <w:t xml:space="preserve">urvey of </w:t>
            </w:r>
            <w:r w:rsidR="00410E03" w:rsidRPr="009D3DD0">
              <w:rPr>
                <w:rFonts w:eastAsiaTheme="minorHAnsi"/>
              </w:rPr>
              <w:t>Sheffield</w:t>
            </w:r>
            <w:r w:rsidR="00410E03">
              <w:rPr>
                <w:rFonts w:eastAsiaTheme="minorHAnsi"/>
              </w:rPr>
              <w:t xml:space="preserve"> residents randomly selected </w:t>
            </w:r>
            <w:r w:rsidR="00410E03" w:rsidRPr="009D3DD0">
              <w:rPr>
                <w:rFonts w:eastAsiaTheme="minorHAnsi"/>
              </w:rPr>
              <w:t>from the electoral register. The focus of this survey was sports behavi</w:t>
            </w:r>
            <w:r w:rsidR="00410E03">
              <w:rPr>
                <w:rFonts w:eastAsiaTheme="minorHAnsi"/>
              </w:rPr>
              <w:t xml:space="preserve">our with </w:t>
            </w:r>
            <w:r w:rsidR="00410E03" w:rsidRPr="009D3DD0">
              <w:rPr>
                <w:rFonts w:eastAsiaTheme="minorHAnsi"/>
              </w:rPr>
              <w:t xml:space="preserve">a </w:t>
            </w:r>
            <w:r w:rsidR="00410E03">
              <w:rPr>
                <w:rFonts w:eastAsiaTheme="minorHAnsi"/>
              </w:rPr>
              <w:t xml:space="preserve">follow-up questionnaire on </w:t>
            </w:r>
            <w:r w:rsidR="00410E03" w:rsidRPr="009D3DD0">
              <w:rPr>
                <w:rFonts w:eastAsiaTheme="minorHAnsi"/>
              </w:rPr>
              <w:t>part</w:t>
            </w:r>
            <w:r w:rsidR="00410E03">
              <w:rPr>
                <w:rFonts w:eastAsiaTheme="minorHAnsi"/>
              </w:rPr>
              <w:t>icipation</w:t>
            </w:r>
            <w:r w:rsidR="00410E03" w:rsidRPr="009D3DD0">
              <w:rPr>
                <w:rFonts w:eastAsiaTheme="minorHAnsi"/>
              </w:rPr>
              <w:t xml:space="preserve"> in sport over the last 12 </w:t>
            </w:r>
            <w:r w:rsidR="00410E03">
              <w:rPr>
                <w:rFonts w:eastAsiaTheme="minorHAnsi"/>
              </w:rPr>
              <w:t xml:space="preserve">months and </w:t>
            </w:r>
            <w:r w:rsidR="00410E03" w:rsidRPr="009D3DD0">
              <w:rPr>
                <w:rFonts w:eastAsiaTheme="minorHAnsi"/>
              </w:rPr>
              <w:t>consumer spending on sport</w:t>
            </w:r>
            <w:r w:rsidR="00410E03">
              <w:rPr>
                <w:rFonts w:eastAsiaTheme="minorHAnsi"/>
              </w:rPr>
              <w:t xml:space="preserve">. </w:t>
            </w:r>
            <w:r w:rsidR="00410E03">
              <w:t xml:space="preserve">The analysis found that </w:t>
            </w:r>
            <w:r w:rsidR="00410E03" w:rsidRPr="009D3DD0">
              <w:t>sports-related activities accounted for 4.11% of the city’s total GDP</w:t>
            </w:r>
            <w:r w:rsidR="00410E03">
              <w:t xml:space="preserve"> (</w:t>
            </w:r>
            <w:r w:rsidR="00656AD6">
              <w:t xml:space="preserve">three </w:t>
            </w:r>
            <w:r w:rsidR="00410E03">
              <w:t>times larger than the proportion of value</w:t>
            </w:r>
            <w:r w:rsidR="00656AD6">
              <w:t xml:space="preserve"> </w:t>
            </w:r>
            <w:r w:rsidR="00410E03">
              <w:t>added from this sector to the UK as a whole) with the value added of sport-related activity estimated at £165m (Davies, 2002).</w:t>
            </w:r>
          </w:p>
          <w:p w14:paraId="537C6951" w14:textId="4FF344C1" w:rsidR="00901785" w:rsidRPr="009D3DD0" w:rsidRDefault="00901785" w:rsidP="00901785">
            <w:pPr>
              <w:rPr>
                <w:rFonts w:eastAsiaTheme="minorHAnsi"/>
              </w:rPr>
            </w:pPr>
          </w:p>
        </w:tc>
      </w:tr>
    </w:tbl>
    <w:p w14:paraId="6670966D" w14:textId="77777777" w:rsidR="00410E03" w:rsidRDefault="00410E03" w:rsidP="00131F29"/>
    <w:p w14:paraId="0847AF3D" w14:textId="5726F521" w:rsidR="00410E03" w:rsidRPr="002128BA" w:rsidRDefault="00410E03" w:rsidP="00131F29">
      <w:pPr>
        <w:rPr>
          <w:b/>
        </w:rPr>
      </w:pPr>
      <w:r>
        <w:t xml:space="preserve">In all cases, taking into account displacement effects and counterfactual scenarios requires a comparative and ideally a ‘control’ to be used. Methodologically, finding suitable comparators and controls (‘with’ and ‘without’ CS&amp;H investment/infrastructure examples) can be limiting. In practice economic impact studies are undertaken at single facility level (including ‘events’) where income and expenditure originates and can be attributed. </w:t>
      </w:r>
      <w:r w:rsidRPr="001D6F98">
        <w:t xml:space="preserve">Scaling this up over larger areas and a number of separate CS&amp;H assets may therefore require </w:t>
      </w:r>
      <w:r w:rsidR="00613552">
        <w:t xml:space="preserve">econometric </w:t>
      </w:r>
      <w:r w:rsidRPr="001D6F98">
        <w:t>modelling.</w:t>
      </w:r>
    </w:p>
    <w:p w14:paraId="2E515730" w14:textId="210F4B6A" w:rsidR="00410E03" w:rsidRPr="000E6F74" w:rsidRDefault="00410E03" w:rsidP="00520273">
      <w:pPr>
        <w:pStyle w:val="Heading3Numbered"/>
      </w:pPr>
      <w:bookmarkStart w:id="80" w:name="_Toc467569615"/>
      <w:r w:rsidRPr="000E6F74">
        <w:lastRenderedPageBreak/>
        <w:t>Social Impacts</w:t>
      </w:r>
      <w:bookmarkEnd w:id="80"/>
    </w:p>
    <w:p w14:paraId="018AA3A8" w14:textId="1D50CC8D" w:rsidR="00410E03" w:rsidRPr="006B3C12" w:rsidRDefault="00410E03" w:rsidP="00520273">
      <w:r>
        <w:t>A third value set can be considered for CS&amp;H assets – these can be expressed as intangible and external effects arising from the presence or activities of a facility (or group of facilities), over and above their direct economic impacts (actual and imputed). These externalities might include a range of social benefits in education/skills, health/well-being, social capital and cohesion, reduction in crime/anti-social behaviour, environmental benefits etc. (see Evans, 2005 and Evans &amp; Shaw, 2004 for a range of social, economic and physical impacts arising from culture in regeneration). These too</w:t>
      </w:r>
      <w:r w:rsidR="006B3C12">
        <w:t>,</w:t>
      </w:r>
      <w:r>
        <w:t xml:space="preserve"> over time</w:t>
      </w:r>
      <w:r w:rsidR="006B3C12">
        <w:t>,</w:t>
      </w:r>
      <w:r>
        <w:t xml:space="preserve"> might influence location/retention and investment decisions. Capturing and attributing these effects and their distribution is problematic </w:t>
      </w:r>
      <w:r w:rsidR="006B3C12">
        <w:t xml:space="preserve">– </w:t>
      </w:r>
      <w:r>
        <w:t xml:space="preserve">most evidence in this field draws on qualitative, process-based evaluation studies of particular programmes and </w:t>
      </w:r>
      <w:r w:rsidRPr="007460E2">
        <w:t xml:space="preserve">interventions. </w:t>
      </w:r>
      <w:r>
        <w:t xml:space="preserve">Evidence on culture and sports projects targeting specific social issues, e.g. crime prevention/recidivism, suggest that behavioural change/impacts beyond the life of a time limited intervention are hard to sustain (Evans &amp; Shaw, 2001). </w:t>
      </w:r>
      <w:r w:rsidRPr="006751CE">
        <w:t>In CS&amp;H investment and infrastructure terms, place-shaping effects are therefore more likely to be evident where a sustained programme (rather than short term activity e.g. one-off events) is available, with positive effects embedded over time – social and economic. This may include reputational advantages associated with particular CS&amp;H assets and places.</w:t>
      </w:r>
    </w:p>
    <w:p w14:paraId="46CC0B73" w14:textId="6E063F72" w:rsidR="00410E03" w:rsidRDefault="00410E03" w:rsidP="00520273">
      <w:r w:rsidRPr="007460E2">
        <w:t>T</w:t>
      </w:r>
      <w:r>
        <w:t>he literature and case studies o</w:t>
      </w:r>
      <w:r w:rsidRPr="007460E2">
        <w:t>n social impacts has expanded since the 1990s with several reviews (</w:t>
      </w:r>
      <w:r>
        <w:t>Reeves, 2002; Jermyn, 2000, 2001; Evans &amp; Shaw, 2000; Comedia, 1999; Matarasso, 1997, 1999; DCMS, 1999; 2014; Daly, 2005</w:t>
      </w:r>
      <w:r w:rsidRPr="007460E2">
        <w:t xml:space="preserve">) and indicators developed for organisations to capture these effects. This focus has also been reinforced through national administrative datasets and indicators around </w:t>
      </w:r>
      <w:r w:rsidR="006B3C12" w:rsidRPr="007460E2">
        <w:t xml:space="preserve">quality of life and satisfaction/best value </w:t>
      </w:r>
      <w:r w:rsidRPr="007460E2">
        <w:t>studies carried out periodically by local authorities. These surveys assess resident satisfaction towards bundles of cultural assets</w:t>
      </w:r>
      <w:r>
        <w:t>, i.e.</w:t>
      </w:r>
      <w:r w:rsidRPr="007460E2">
        <w:t xml:space="preserve"> all the </w:t>
      </w:r>
      <w:r w:rsidRPr="00CD2A92">
        <w:t>theatres/conce</w:t>
      </w:r>
      <w:r>
        <w:t xml:space="preserve">rts halls/arts venues; museums </w:t>
      </w:r>
      <w:r w:rsidR="006B3C12">
        <w:t xml:space="preserve">and </w:t>
      </w:r>
      <w:r w:rsidRPr="00CD2A92">
        <w:t>galleries; parks; sports centres; and libraries</w:t>
      </w:r>
      <w:r w:rsidR="006B3C12">
        <w:t>,</w:t>
      </w:r>
      <w:r w:rsidRPr="00CD2A92">
        <w:t xml:space="preserve"> </w:t>
      </w:r>
      <w:r>
        <w:t xml:space="preserve">etc. </w:t>
      </w:r>
      <w:r w:rsidRPr="00CD2A92">
        <w:t xml:space="preserve">in the local authority area. </w:t>
      </w:r>
      <w:r>
        <w:t>Whilst</w:t>
      </w:r>
      <w:r w:rsidRPr="00CD2A92">
        <w:t xml:space="preserve"> </w:t>
      </w:r>
      <w:r>
        <w:t xml:space="preserve">resident satisfaction and general impacts are based on supply-led factors attributed to CS&amp;H facilities, culture and sport participation and user data is captured via various survey samples </w:t>
      </w:r>
      <w:r w:rsidR="006B3C12">
        <w:t xml:space="preserve">– </w:t>
      </w:r>
      <w:r>
        <w:t xml:space="preserve">for example </w:t>
      </w:r>
      <w:r w:rsidRPr="000F6B69">
        <w:t>Taking Part</w:t>
      </w:r>
      <w:r w:rsidRPr="008F5A81">
        <w:t xml:space="preserve">, </w:t>
      </w:r>
      <w:r w:rsidRPr="000F6B69">
        <w:t>Active People</w:t>
      </w:r>
      <w:r>
        <w:t xml:space="preserve"> and social surveys (ONS</w:t>
      </w:r>
      <w:r w:rsidR="006B3C12">
        <w:t>,</w:t>
      </w:r>
      <w:r>
        <w:t xml:space="preserve"> e.g. </w:t>
      </w:r>
      <w:r w:rsidR="0072196C" w:rsidRPr="000F6B69">
        <w:t xml:space="preserve">UK </w:t>
      </w:r>
      <w:r w:rsidRPr="000F6B69">
        <w:t>Time Use</w:t>
      </w:r>
      <w:r w:rsidR="0072196C" w:rsidRPr="000F6B69">
        <w:t xml:space="preserve"> Survey</w:t>
      </w:r>
      <w:r>
        <w:t xml:space="preserve">). However, these surveys are non-place specific, i.e. there is no link made to where or what audiences/participants actually inter-acted with (in </w:t>
      </w:r>
      <w:r w:rsidRPr="000F6B69">
        <w:t>Taking Part</w:t>
      </w:r>
      <w:r>
        <w:t xml:space="preserve"> this could well have been abroad on holiday, as in the UK)</w:t>
      </w:r>
      <w:r w:rsidR="006B3C12">
        <w:t>; t</w:t>
      </w:r>
      <w:r>
        <w:t xml:space="preserve">his means that there is no direct way of linking supply and demand relationships from these data sources (Evans, 2015). </w:t>
      </w:r>
    </w:p>
    <w:p w14:paraId="1CE0075B" w14:textId="04DF2903" w:rsidR="00410E03" w:rsidRDefault="00410E03" w:rsidP="00520273">
      <w:pPr>
        <w:rPr>
          <w:color w:val="000000"/>
        </w:rPr>
      </w:pPr>
      <w:r>
        <w:t xml:space="preserve">Individual funded venues and organisations do provide user information and performance indicators as part of funding reporting, although this is not likely to include the spatial reach, impacts or externalities generated by each project. Access to this data may be required in order link these to place-shaping effects, and in order to aggregate or scale up (e.g. Arts Council, Local Authority ‘clients’). Such data is not likely to be made available in any event for unfunded and commercial organisations. This </w:t>
      </w:r>
      <w:r w:rsidR="001E0E34">
        <w:t xml:space="preserve">point </w:t>
      </w:r>
      <w:r>
        <w:t xml:space="preserve">is relevant to this study in terms of measuring usage and ‘flows’ to </w:t>
      </w:r>
      <w:r>
        <w:rPr>
          <w:color w:val="000000"/>
        </w:rPr>
        <w:t xml:space="preserve">specific places and the intensity of access and usage across different areas (districts, towns, cities, regions). </w:t>
      </w:r>
    </w:p>
    <w:p w14:paraId="1954F259" w14:textId="77777777" w:rsidR="00A033C6" w:rsidRDefault="00A033C6">
      <w:pPr>
        <w:spacing w:before="0"/>
        <w:ind w:left="0"/>
        <w:rPr>
          <w:i/>
        </w:rPr>
      </w:pPr>
      <w:r>
        <w:rPr>
          <w:i/>
        </w:rPr>
        <w:br w:type="page"/>
      </w:r>
    </w:p>
    <w:p w14:paraId="2A302C48" w14:textId="5C1E8158" w:rsidR="00410E03" w:rsidRPr="00520273" w:rsidRDefault="00410E03" w:rsidP="00131F29">
      <w:pPr>
        <w:rPr>
          <w:i/>
        </w:rPr>
      </w:pPr>
      <w:r w:rsidRPr="00520273">
        <w:rPr>
          <w:i/>
        </w:rPr>
        <w:lastRenderedPageBreak/>
        <w:t>Mapping place-participation and provision</w:t>
      </w:r>
    </w:p>
    <w:p w14:paraId="151F9ECD" w14:textId="5EC7C369" w:rsidR="00410E03" w:rsidRDefault="00410E03" w:rsidP="00224A2D">
      <w:pPr>
        <w:rPr>
          <w:bCs/>
        </w:rPr>
      </w:pPr>
      <w:r>
        <w:t xml:space="preserve">There have been some novel advances in investigating the spatial relationships between the </w:t>
      </w:r>
      <w:r w:rsidRPr="00A83F33">
        <w:t xml:space="preserve">supply, location and usage of cultural venues as part the </w:t>
      </w:r>
      <w:r w:rsidRPr="00A83F33">
        <w:rPr>
          <w:i/>
        </w:rPr>
        <w:t>CultureMap</w:t>
      </w:r>
      <w:r w:rsidR="00646F88">
        <w:rPr>
          <w:i/>
        </w:rPr>
        <w:t xml:space="preserve"> London</w:t>
      </w:r>
      <w:r w:rsidRPr="00A83F33">
        <w:rPr>
          <w:i/>
        </w:rPr>
        <w:t xml:space="preserve"> </w:t>
      </w:r>
      <w:r w:rsidRPr="00A83F33">
        <w:t>initiative and AudienceDevelopment agencies (Boyle, Flowerdew and Broo</w:t>
      </w:r>
      <w:r>
        <w:t>k, 2008)</w:t>
      </w:r>
      <w:r w:rsidRPr="00A83F33">
        <w:t xml:space="preserve">. In a negative sense, the barriers to access and participation are well established if perennial </w:t>
      </w:r>
      <w:r w:rsidR="00FA5AA2">
        <w:t>–</w:t>
      </w:r>
      <w:r w:rsidR="00FA5AA2" w:rsidRPr="00A83F33">
        <w:t xml:space="preserve"> </w:t>
      </w:r>
      <w:r w:rsidRPr="00A83F33">
        <w:t>social/demographic, ‘class’</w:t>
      </w:r>
      <w:r>
        <w:t>, education</w:t>
      </w:r>
      <w:r w:rsidRPr="00A83F33">
        <w:t xml:space="preserve"> and access divides (Warwick Commission Study, 2015). </w:t>
      </w:r>
      <w:r>
        <w:t>T</w:t>
      </w:r>
      <w:r w:rsidRPr="00A83F33">
        <w:t xml:space="preserve">he </w:t>
      </w:r>
      <w:r w:rsidRPr="00A83F33">
        <w:rPr>
          <w:i/>
          <w:iCs/>
        </w:rPr>
        <w:t>CultureMap</w:t>
      </w:r>
      <w:r>
        <w:t xml:space="preserve"> web-based resource </w:t>
      </w:r>
      <w:r w:rsidR="002E5787">
        <w:t>produced</w:t>
      </w:r>
      <w:r w:rsidR="002E5787" w:rsidRPr="00A83F33">
        <w:t xml:space="preserve"> </w:t>
      </w:r>
      <w:r w:rsidRPr="00A83F33">
        <w:t xml:space="preserve">online maps of cultural facilities, population profiles and audience penetration from participating arts venues in London. </w:t>
      </w:r>
      <w:r w:rsidRPr="00A83F33">
        <w:rPr>
          <w:iCs/>
        </w:rPr>
        <w:t xml:space="preserve">This </w:t>
      </w:r>
      <w:r w:rsidRPr="00A83F33">
        <w:t>specialist planning tool</w:t>
      </w:r>
      <w:r>
        <w:t xml:space="preserve"> </w:t>
      </w:r>
      <w:r w:rsidR="002E5787" w:rsidRPr="00A83F33">
        <w:t>respond</w:t>
      </w:r>
      <w:r w:rsidR="002E5787">
        <w:t>ed</w:t>
      </w:r>
      <w:r w:rsidR="002E5787" w:rsidRPr="00A83F33">
        <w:t xml:space="preserve"> </w:t>
      </w:r>
      <w:r w:rsidRPr="00A83F33">
        <w:t xml:space="preserve">to the need to map both cultural provision and link this to actual usage and population typologies and catchments. </w:t>
      </w:r>
      <w:r w:rsidRPr="00A83F33">
        <w:rPr>
          <w:i/>
        </w:rPr>
        <w:t>Culture</w:t>
      </w:r>
      <w:r w:rsidR="002E5787">
        <w:rPr>
          <w:i/>
        </w:rPr>
        <w:t>M</w:t>
      </w:r>
      <w:r w:rsidRPr="00A83F33">
        <w:rPr>
          <w:i/>
        </w:rPr>
        <w:t>ap</w:t>
      </w:r>
      <w:r>
        <w:t xml:space="preserve"> </w:t>
      </w:r>
      <w:r w:rsidR="002E5787">
        <w:t>created</w:t>
      </w:r>
      <w:r w:rsidR="002E5787" w:rsidRPr="00A83F33">
        <w:t xml:space="preserve"> </w:t>
      </w:r>
      <w:r w:rsidRPr="00A83F33">
        <w:t>a series of web-accessible maps of arts and community cultural provision and audiences for a range of parti</w:t>
      </w:r>
      <w:r>
        <w:t xml:space="preserve">cipating cultural facilities </w:t>
      </w:r>
      <w:r w:rsidRPr="00D01D0B">
        <w:t xml:space="preserve">city-wide down to ward levels, alongside demographic and other population data. Valuable primary data </w:t>
      </w:r>
      <w:r w:rsidR="00646F88">
        <w:t>wa</w:t>
      </w:r>
      <w:r w:rsidRPr="00D01D0B">
        <w:t>s also generated by</w:t>
      </w:r>
      <w:r>
        <w:t xml:space="preserve"> </w:t>
      </w:r>
      <w:r w:rsidRPr="00D01D0B">
        <w:t xml:space="preserve">collaborating arts venues capturing audience profiles in a common format. This online tool </w:t>
      </w:r>
      <w:r w:rsidR="00646F88">
        <w:t>could</w:t>
      </w:r>
      <w:r w:rsidR="00646F88" w:rsidRPr="00D01D0B">
        <w:t xml:space="preserve"> </w:t>
      </w:r>
      <w:r w:rsidRPr="00D01D0B">
        <w:t xml:space="preserve">also reveal gaps in provision and participation, drawing on secondary and primary surveys revealing interesting correlation between audience and venues types and locations. </w:t>
      </w:r>
      <w:r>
        <w:rPr>
          <w:bCs/>
        </w:rPr>
        <w:t>T</w:t>
      </w:r>
      <w:r w:rsidRPr="00F86D2B">
        <w:rPr>
          <w:bCs/>
        </w:rPr>
        <w:t xml:space="preserve">his spatial variation within a region is illustrated visually (Fig.1) in </w:t>
      </w:r>
      <w:r w:rsidRPr="000F6B69">
        <w:rPr>
          <w:bCs/>
        </w:rPr>
        <w:t>The</w:t>
      </w:r>
      <w:r w:rsidRPr="00646F88">
        <w:rPr>
          <w:bCs/>
        </w:rPr>
        <w:t xml:space="preserve"> </w:t>
      </w:r>
      <w:r w:rsidRPr="000F6B69">
        <w:rPr>
          <w:bCs/>
        </w:rPr>
        <w:t>Audience Agency’s</w:t>
      </w:r>
      <w:r w:rsidRPr="00F86D2B">
        <w:rPr>
          <w:bCs/>
        </w:rPr>
        <w:t xml:space="preserve"> analysis of the concentration of audience penetration </w:t>
      </w:r>
      <w:r w:rsidRPr="00D01D0B">
        <w:rPr>
          <w:bCs/>
        </w:rPr>
        <w:t xml:space="preserve">in Greater London </w:t>
      </w:r>
      <w:r w:rsidRPr="00F86D2B">
        <w:rPr>
          <w:bCs/>
        </w:rPr>
        <w:t>based on ticket ‘bookers’ to events and user address information from 35 participating venues</w:t>
      </w:r>
      <w:r w:rsidR="00646F88">
        <w:rPr>
          <w:bCs/>
        </w:rPr>
        <w:t xml:space="preserve"> (</w:t>
      </w:r>
      <w:r w:rsidR="005410B7" w:rsidRPr="005410B7">
        <w:rPr>
          <w:bCs/>
        </w:rPr>
        <w:t>Audience Agency, 2015</w:t>
      </w:r>
      <w:r w:rsidR="00646F88">
        <w:rPr>
          <w:bCs/>
        </w:rPr>
        <w:t>)</w:t>
      </w:r>
      <w:r w:rsidRPr="00F86D2B">
        <w:rPr>
          <w:bCs/>
        </w:rPr>
        <w:t>. Central/inner west London dominates both in the supply of cultural venues, but also in generating demand, with outer east and west areas showing lower attendance – a combination of poorer access including public transport and much lower levels of provision. However some ‘outlying’ cultural venues also demonstrate high audience participation from their local area, particularly where offering a range of accessible cultural programming/art forms.</w:t>
      </w:r>
    </w:p>
    <w:p w14:paraId="2FD30C0B" w14:textId="77777777" w:rsidR="00AB17E4" w:rsidRPr="00F86D2B" w:rsidRDefault="00AB17E4" w:rsidP="00520273"/>
    <w:p w14:paraId="1332906A" w14:textId="30A06F4F" w:rsidR="00410E03" w:rsidRPr="00520273" w:rsidRDefault="00AB17E4" w:rsidP="00520273">
      <w:pPr>
        <w:pStyle w:val="Caption"/>
        <w:rPr>
          <w:bCs w:val="0"/>
          <w:szCs w:val="22"/>
        </w:rPr>
      </w:pPr>
      <w:bookmarkStart w:id="81" w:name="_Toc467569669"/>
      <w:r w:rsidRPr="00131F29">
        <w:rPr>
          <w:szCs w:val="22"/>
        </w:rPr>
        <w:t xml:space="preserve">Figure </w:t>
      </w:r>
      <w:r w:rsidRPr="00520273">
        <w:rPr>
          <w:szCs w:val="22"/>
        </w:rPr>
        <w:fldChar w:fldCharType="begin"/>
      </w:r>
      <w:r w:rsidRPr="00520273">
        <w:rPr>
          <w:szCs w:val="22"/>
        </w:rPr>
        <w:instrText xml:space="preserve"> SEQ Figure \* ARABIC </w:instrText>
      </w:r>
      <w:r w:rsidRPr="00520273">
        <w:rPr>
          <w:szCs w:val="22"/>
        </w:rPr>
        <w:fldChar w:fldCharType="separate"/>
      </w:r>
      <w:r w:rsidR="00F0636B">
        <w:rPr>
          <w:noProof/>
          <w:szCs w:val="22"/>
        </w:rPr>
        <w:t>2</w:t>
      </w:r>
      <w:r w:rsidRPr="00520273">
        <w:rPr>
          <w:szCs w:val="22"/>
        </w:rPr>
        <w:fldChar w:fldCharType="end"/>
      </w:r>
      <w:r w:rsidRPr="00520273">
        <w:rPr>
          <w:szCs w:val="22"/>
        </w:rPr>
        <w:t xml:space="preserve">: </w:t>
      </w:r>
      <w:r w:rsidR="00410E03" w:rsidRPr="00520273">
        <w:rPr>
          <w:bCs w:val="0"/>
          <w:szCs w:val="22"/>
        </w:rPr>
        <w:t>London wide map showing performing arts venue distribution and audience penetration</w:t>
      </w:r>
      <w:bookmarkEnd w:id="81"/>
    </w:p>
    <w:p w14:paraId="0B569378" w14:textId="77777777" w:rsidR="00410E03" w:rsidRDefault="00410E03" w:rsidP="00410E03">
      <w:pPr>
        <w:spacing w:before="240"/>
        <w:rPr>
          <w:rFonts w:ascii="Tahoma" w:hAnsi="Tahoma" w:cs="Tahoma"/>
          <w:sz w:val="20"/>
        </w:rPr>
      </w:pPr>
      <w:r w:rsidRPr="00D01D0B">
        <w:rPr>
          <w:rFonts w:ascii="Tahoma" w:hAnsi="Tahoma" w:cs="Tahoma"/>
          <w:noProof/>
          <w:sz w:val="20"/>
          <w:lang w:eastAsia="en-GB"/>
        </w:rPr>
        <w:drawing>
          <wp:inline distT="0" distB="0" distL="0" distR="0" wp14:anchorId="29723838" wp14:editId="3FF10327">
            <wp:extent cx="4630368" cy="327546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 Figur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34865" cy="3278643"/>
                    </a:xfrm>
                    <a:prstGeom prst="rect">
                      <a:avLst/>
                    </a:prstGeom>
                  </pic:spPr>
                </pic:pic>
              </a:graphicData>
            </a:graphic>
          </wp:inline>
        </w:drawing>
      </w:r>
    </w:p>
    <w:p w14:paraId="136425E2" w14:textId="468B6C5E" w:rsidR="00410E03" w:rsidRPr="000F6B69" w:rsidRDefault="00090727" w:rsidP="005410B7">
      <w:pPr>
        <w:rPr>
          <w:rFonts w:eastAsia="Calibri" w:cs="Arial"/>
          <w:sz w:val="18"/>
        </w:rPr>
      </w:pPr>
      <w:r>
        <w:rPr>
          <w:rFonts w:eastAsia="Calibri" w:cs="Arial"/>
          <w:sz w:val="18"/>
        </w:rPr>
        <w:t xml:space="preserve">Source: </w:t>
      </w:r>
      <w:r w:rsidR="005410B7" w:rsidRPr="000F6B69">
        <w:rPr>
          <w:rFonts w:eastAsia="Calibri" w:cs="Arial"/>
          <w:sz w:val="18"/>
        </w:rPr>
        <w:t>Audience Agency, 2015</w:t>
      </w:r>
    </w:p>
    <w:p w14:paraId="7B8938D8" w14:textId="77777777" w:rsidR="00646F88" w:rsidRPr="00D01D0B" w:rsidRDefault="00646F88" w:rsidP="00520273"/>
    <w:p w14:paraId="040E06ED" w14:textId="1A79B1A5" w:rsidR="00410E03" w:rsidRDefault="00410E03" w:rsidP="00131F29">
      <w:r w:rsidRPr="00D01D0B">
        <w:t xml:space="preserve">To date, </w:t>
      </w:r>
      <w:r w:rsidR="00646F88">
        <w:t xml:space="preserve">the </w:t>
      </w:r>
      <w:r w:rsidR="00646F88">
        <w:rPr>
          <w:i/>
        </w:rPr>
        <w:t>CultureMap</w:t>
      </w:r>
      <w:r w:rsidR="00646F88" w:rsidRPr="00D01D0B">
        <w:t xml:space="preserve"> </w:t>
      </w:r>
      <w:r w:rsidRPr="00D01D0B">
        <w:t xml:space="preserve">project </w:t>
      </w:r>
      <w:r w:rsidR="00646F88">
        <w:t>has</w:t>
      </w:r>
      <w:r w:rsidR="00646F88" w:rsidRPr="00D01D0B">
        <w:t xml:space="preserve"> develop</w:t>
      </w:r>
      <w:r w:rsidR="00646F88">
        <w:t>ed</w:t>
      </w:r>
      <w:r w:rsidR="00646F88" w:rsidRPr="00D01D0B">
        <w:t xml:space="preserve"> </w:t>
      </w:r>
      <w:r w:rsidRPr="00D01D0B">
        <w:t xml:space="preserve">the most valuable evidence and information on the relationship between certain arts </w:t>
      </w:r>
      <w:r w:rsidRPr="001A435E">
        <w:t xml:space="preserve">provision and attendance in a demographic and spatial context. This includes facilities such as libraries revealing their important role in attracting a local and socially cross-sectional user group, whilst key local venues serve a high frequency local catchment, </w:t>
      </w:r>
      <w:r w:rsidR="00646F88">
        <w:t>and</w:t>
      </w:r>
      <w:r w:rsidR="00646F88" w:rsidRPr="001A435E">
        <w:t xml:space="preserve"> </w:t>
      </w:r>
      <w:r w:rsidRPr="001A435E">
        <w:t xml:space="preserve">other venues draw users from a wider area, particularly </w:t>
      </w:r>
      <w:r w:rsidR="00646F88">
        <w:t>areas</w:t>
      </w:r>
      <w:r w:rsidR="00646F88" w:rsidRPr="001A435E">
        <w:t xml:space="preserve"> </w:t>
      </w:r>
      <w:r w:rsidRPr="001A435E">
        <w:t xml:space="preserve">with few cultural facilities and </w:t>
      </w:r>
      <w:r w:rsidR="00646F88">
        <w:t>venues</w:t>
      </w:r>
      <w:r w:rsidR="00646F88" w:rsidRPr="001A435E">
        <w:t xml:space="preserve"> </w:t>
      </w:r>
      <w:r w:rsidRPr="001A435E">
        <w:t xml:space="preserve">offering specialist programmes (e.g. Asian arts). </w:t>
      </w:r>
    </w:p>
    <w:p w14:paraId="291BD4BD" w14:textId="1135CBC1" w:rsidR="00410E03" w:rsidRDefault="00410E03" w:rsidP="00224A2D">
      <w:r w:rsidRPr="00F86D2B">
        <w:rPr>
          <w:bCs/>
        </w:rPr>
        <w:t xml:space="preserve">Libraries also offer a good litmus test of participation of a local population through the library/swipe card with user address details. Whilst the full range of services actually used is not distinguishable (and is therefore understated) without further survey data, this does provide a clear indication of the geographic catchment in terms of households, and therefore socio-demographic analysis. </w:t>
      </w:r>
      <w:r w:rsidRPr="00F86D2B">
        <w:t>An example of utilizing local data to profile library catchments is Hampshire County Council’s Public Library User System</w:t>
      </w:r>
      <w:r w:rsidR="00336C29" w:rsidRPr="00F86D2B">
        <w:t xml:space="preserve"> (PLUS)</w:t>
      </w:r>
      <w:r w:rsidRPr="00F86D2B">
        <w:t>. This creates user profiles for each library, combining data on users/ visitor activity, behaviour and attitudes</w:t>
      </w:r>
      <w:r w:rsidR="005410B7">
        <w:t xml:space="preserve"> –</w:t>
      </w:r>
      <w:r w:rsidR="005410B7" w:rsidRPr="00F86D2B">
        <w:t xml:space="preserve"> </w:t>
      </w:r>
      <w:r w:rsidRPr="00F86D2B">
        <w:t xml:space="preserve">profiled by postcode </w:t>
      </w:r>
      <w:r w:rsidR="005410B7">
        <w:t>–</w:t>
      </w:r>
      <w:r w:rsidR="005410B7" w:rsidRPr="00F86D2B">
        <w:t xml:space="preserve"> </w:t>
      </w:r>
      <w:r w:rsidRPr="00F86D2B">
        <w:t>with census, deprivation and lifestyle data (e.g. ACORN, MOSAIC). This creates user profiles, defining the demographic for each library catchment and highlighting the difference between users and the actual community through a ‘community variance index’ (Dorward, 2006). An example of catchment and population usage is illustrated through an analysis of library provision in Gateshead</w:t>
      </w:r>
      <w:r w:rsidRPr="00D01D0B">
        <w:t xml:space="preserve"> (Fig.</w:t>
      </w:r>
      <w:r>
        <w:t>2</w:t>
      </w:r>
      <w:r w:rsidRPr="00F86D2B">
        <w:t>). This reveals which areas of the borough attracts comparatively higher and lower library usage in proximity to library facilities. Local provision is clearly important to actual usage, but variations are apparent between areas where library facilities are similar.</w:t>
      </w:r>
      <w:r w:rsidR="00A033C6">
        <w:t xml:space="preserve"> </w:t>
      </w:r>
      <w:r w:rsidRPr="00F86D2B">
        <w:t>This information in turn can be analysed by household and demographic profiles, and can suggest where there may be gaps in provision and where accessibility and quality issues may be constraining or encouraging usage</w:t>
      </w:r>
      <w:r>
        <w:t>, and where place making</w:t>
      </w:r>
      <w:r w:rsidR="008F5A81">
        <w:t xml:space="preserve"> (all else being equal)</w:t>
      </w:r>
      <w:r>
        <w:t xml:space="preserve"> may be more successful</w:t>
      </w:r>
      <w:r w:rsidRPr="00F86D2B">
        <w:t>.</w:t>
      </w:r>
    </w:p>
    <w:p w14:paraId="2BBD1441" w14:textId="77777777" w:rsidR="00410E03" w:rsidRPr="00D01D0B" w:rsidRDefault="00410E03" w:rsidP="00224A2D"/>
    <w:p w14:paraId="0FBEC0EE" w14:textId="57D65EBD" w:rsidR="00410E03" w:rsidRPr="00520273" w:rsidRDefault="00AB17E4" w:rsidP="00520273">
      <w:pPr>
        <w:pStyle w:val="Caption"/>
        <w:rPr>
          <w:szCs w:val="22"/>
        </w:rPr>
      </w:pPr>
      <w:bookmarkStart w:id="82" w:name="_Toc467569670"/>
      <w:r w:rsidRPr="00131F29">
        <w:rPr>
          <w:szCs w:val="22"/>
        </w:rPr>
        <w:t xml:space="preserve">Figure </w:t>
      </w:r>
      <w:r w:rsidRPr="00520273">
        <w:rPr>
          <w:szCs w:val="22"/>
        </w:rPr>
        <w:fldChar w:fldCharType="begin"/>
      </w:r>
      <w:r w:rsidRPr="00520273">
        <w:rPr>
          <w:szCs w:val="22"/>
        </w:rPr>
        <w:instrText xml:space="preserve"> SEQ Figure \* ARABIC </w:instrText>
      </w:r>
      <w:r w:rsidRPr="00520273">
        <w:rPr>
          <w:szCs w:val="22"/>
        </w:rPr>
        <w:fldChar w:fldCharType="separate"/>
      </w:r>
      <w:r w:rsidR="00F0636B">
        <w:rPr>
          <w:noProof/>
          <w:szCs w:val="22"/>
        </w:rPr>
        <w:t>3</w:t>
      </w:r>
      <w:r w:rsidRPr="00520273">
        <w:rPr>
          <w:szCs w:val="22"/>
        </w:rPr>
        <w:fldChar w:fldCharType="end"/>
      </w:r>
      <w:r w:rsidRPr="00520273">
        <w:rPr>
          <w:szCs w:val="22"/>
        </w:rPr>
        <w:t xml:space="preserve">: </w:t>
      </w:r>
      <w:r w:rsidR="00410E03" w:rsidRPr="00520273">
        <w:rPr>
          <w:szCs w:val="22"/>
        </w:rPr>
        <w:t>Gateshead Library Usage</w:t>
      </w:r>
      <w:bookmarkEnd w:id="82"/>
    </w:p>
    <w:p w14:paraId="238753C7" w14:textId="77777777" w:rsidR="00410E03" w:rsidRDefault="00410E03" w:rsidP="00410E03">
      <w:pPr>
        <w:rPr>
          <w:rFonts w:ascii="Tahoma" w:hAnsi="Tahoma" w:cs="Tahoma"/>
          <w:color w:val="000000"/>
          <w:sz w:val="20"/>
        </w:rPr>
      </w:pPr>
      <w:r>
        <w:rPr>
          <w:rFonts w:ascii="Tahoma" w:hAnsi="Tahoma" w:cs="Tahoma"/>
          <w:color w:val="000000"/>
          <w:sz w:val="20"/>
        </w:rPr>
        <w:t xml:space="preserve">. </w:t>
      </w:r>
      <w:r w:rsidRPr="00803033">
        <w:rPr>
          <w:rFonts w:ascii="Century Gothic" w:hAnsi="Century Gothic"/>
          <w:noProof/>
          <w:sz w:val="20"/>
          <w:lang w:eastAsia="en-GB"/>
        </w:rPr>
        <w:drawing>
          <wp:inline distT="0" distB="0" distL="0" distR="0" wp14:anchorId="3AC10BE4" wp14:editId="1AF1FC54">
            <wp:extent cx="4614672" cy="2332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shead libraries.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14672" cy="2332388"/>
                    </a:xfrm>
                    <a:prstGeom prst="rect">
                      <a:avLst/>
                    </a:prstGeom>
                  </pic:spPr>
                </pic:pic>
              </a:graphicData>
            </a:graphic>
          </wp:inline>
        </w:drawing>
      </w:r>
    </w:p>
    <w:p w14:paraId="6090490B" w14:textId="29845D16" w:rsidR="00EC7DD4" w:rsidRPr="000F6B69" w:rsidRDefault="00751D8F" w:rsidP="00410E03">
      <w:pPr>
        <w:rPr>
          <w:rFonts w:eastAsia="Calibri" w:cs="Arial"/>
          <w:sz w:val="18"/>
        </w:rPr>
      </w:pPr>
      <w:r w:rsidRPr="00751D8F">
        <w:rPr>
          <w:rFonts w:eastAsia="Calibri" w:cs="Arial"/>
          <w:sz w:val="18"/>
        </w:rPr>
        <w:t>Source: analysis by Orian Brook for the ‘Understanding Everyday Participation’ project using data supplied by Gateshead District Council.</w:t>
      </w:r>
      <w:r>
        <w:rPr>
          <w:rFonts w:eastAsia="Calibri" w:cs="Arial"/>
          <w:sz w:val="18"/>
        </w:rPr>
        <w:t xml:space="preserve"> Acknowledgement: </w:t>
      </w:r>
      <w:r w:rsidRPr="00751D8F">
        <w:rPr>
          <w:rFonts w:eastAsia="Calibri" w:cs="Arial"/>
          <w:sz w:val="18"/>
        </w:rPr>
        <w:t xml:space="preserve">map supplied by </w:t>
      </w:r>
      <w:r w:rsidRPr="000F6B69">
        <w:rPr>
          <w:rFonts w:eastAsia="Calibri" w:cs="Arial"/>
          <w:i/>
          <w:sz w:val="18"/>
        </w:rPr>
        <w:t>Understanding Everyday Participation – Articulating Cultural Values</w:t>
      </w:r>
      <w:r w:rsidRPr="00751D8F">
        <w:rPr>
          <w:rFonts w:eastAsia="Calibri" w:cs="Arial"/>
          <w:sz w:val="18"/>
        </w:rPr>
        <w:t>. Funder: AHRC. Project ref: AH/J005401/1. PI: Dr. Andrew Miles.</w:t>
      </w:r>
    </w:p>
    <w:p w14:paraId="1A4F22CF" w14:textId="77777777" w:rsidR="00EC7DD4" w:rsidRDefault="00EC7DD4" w:rsidP="00410E03">
      <w:pPr>
        <w:rPr>
          <w:rFonts w:ascii="Tahoma" w:hAnsi="Tahoma" w:cs="Tahoma"/>
          <w:color w:val="000000"/>
          <w:sz w:val="20"/>
        </w:rPr>
      </w:pPr>
    </w:p>
    <w:p w14:paraId="08570B67" w14:textId="73302036" w:rsidR="00410E03" w:rsidRPr="006751CE" w:rsidRDefault="00410E03" w:rsidP="00131F29">
      <w:r w:rsidRPr="001A435E">
        <w:lastRenderedPageBreak/>
        <w:t xml:space="preserve">Places that are better at overcoming some of the barriers </w:t>
      </w:r>
      <w:r>
        <w:t xml:space="preserve">to participation </w:t>
      </w:r>
      <w:r w:rsidR="00751D8F">
        <w:t xml:space="preserve">– </w:t>
      </w:r>
      <w:r>
        <w:t xml:space="preserve">social, spatial, economic, cultural, physical </w:t>
      </w:r>
      <w:r w:rsidR="00751D8F">
        <w:t xml:space="preserve">– </w:t>
      </w:r>
      <w:r>
        <w:t>may therefore be worth identifying and analysing in detail (e.g. ‘good cultural places’) since they are more likely to contribute to place-shaping. This will include cultural assets that are highly valued locally and maintain a high frequency of usage from a local catchment notably sports facilities and arts centres (see below).</w:t>
      </w:r>
      <w:r w:rsidRPr="00751D8F">
        <w:t xml:space="preserve"> </w:t>
      </w:r>
      <w:r w:rsidRPr="006751CE">
        <w:t xml:space="preserve">A key question is the extent to which cultural activity through attendance, participation and consumption is supply-led, and therefore, where there is quantifiably more or less provision, activity levels can be attributed and distinguished between places over time. </w:t>
      </w:r>
    </w:p>
    <w:p w14:paraId="2453622A" w14:textId="02A2019E" w:rsidR="00410E03" w:rsidRDefault="00410E03" w:rsidP="00520273">
      <w:pPr>
        <w:pStyle w:val="Heading3Numbered"/>
      </w:pPr>
      <w:bookmarkStart w:id="83" w:name="_Toc467569616"/>
      <w:r>
        <w:t>Cultural Value</w:t>
      </w:r>
      <w:bookmarkEnd w:id="83"/>
    </w:p>
    <w:p w14:paraId="2DE9B326" w14:textId="75661E27" w:rsidR="00410E03" w:rsidRDefault="00410E03" w:rsidP="00520273">
      <w:r w:rsidRPr="00F86D2B">
        <w:t>The int</w:t>
      </w:r>
      <w:r w:rsidRPr="006F6558">
        <w:t xml:space="preserve">rinsic values that can be observed through our experience of the arts in various forms has </w:t>
      </w:r>
      <w:r w:rsidRPr="00F86D2B">
        <w:t>received renewed attention, in some respects in response to the sustained trend since the 1980s</w:t>
      </w:r>
      <w:r w:rsidR="00A033C6">
        <w:t xml:space="preserve"> </w:t>
      </w:r>
      <w:r w:rsidRPr="00F86D2B">
        <w:t xml:space="preserve">towards a more instrumental approach to measuring and valuing the impact of the arts </w:t>
      </w:r>
      <w:r w:rsidR="00295A8B">
        <w:t>and</w:t>
      </w:r>
      <w:r w:rsidR="00295A8B" w:rsidRPr="00F86D2B">
        <w:t xml:space="preserve"> </w:t>
      </w:r>
      <w:r w:rsidRPr="00F86D2B">
        <w:t>culture though the ‘externalities’ noted above (Holden, 2</w:t>
      </w:r>
      <w:r>
        <w:t>004</w:t>
      </w:r>
      <w:r w:rsidRPr="00F86D2B">
        <w:t>). As also noted, cultural assets are primarily amenities with amenity value which is not necessarily quantified or quantifiable, although social and economic impacts and benefits obviously derive from their provision, including opportunities to experience culture and derive personal cultural value as a result. In the words of the Arts Council: ‘</w:t>
      </w:r>
      <w:r w:rsidRPr="00F86D2B">
        <w:rPr>
          <w:lang w:val="en"/>
        </w:rPr>
        <w:t xml:space="preserve">When we talk about the value of arts and culture to society, we always start with its intrinsic value: how arts and culture can illuminate our inner lives and enrich our emotional world. </w:t>
      </w:r>
      <w:r w:rsidRPr="00F86D2B">
        <w:t xml:space="preserve">The concept and importance of </w:t>
      </w:r>
      <w:r w:rsidR="00295A8B" w:rsidRPr="00F86D2B">
        <w:t xml:space="preserve">cultural value </w:t>
      </w:r>
      <w:r w:rsidRPr="00F86D2B">
        <w:t>has featured in important studies of arts in education (Robinson/NACCCE, 1999; DEMOS</w:t>
      </w:r>
      <w:r w:rsidR="00295A8B">
        <w:t>,</w:t>
      </w:r>
      <w:r w:rsidRPr="00F86D2B">
        <w:rPr>
          <w:rFonts w:eastAsiaTheme="minorHAnsi"/>
        </w:rPr>
        <w:t xml:space="preserve"> 2003; </w:t>
      </w:r>
      <w:r w:rsidRPr="00F86D2B">
        <w:t>the Warwick Commission Report (2015); AHRC</w:t>
      </w:r>
      <w:r w:rsidR="00295A8B">
        <w:t xml:space="preserve">, </w:t>
      </w:r>
      <w:r w:rsidRPr="00F86D2B">
        <w:t xml:space="preserve">2016) and in some respects it is hard to separate social impacts from cultural impacts at the level of the individual. These are also likely to lead to behavioural changes and decisions which in turn can effect cultural consumption and participation and in some situations, location decisions </w:t>
      </w:r>
      <w:r w:rsidR="0005774D">
        <w:t>–</w:t>
      </w:r>
      <w:r w:rsidR="0005774D" w:rsidRPr="00F86D2B">
        <w:t xml:space="preserve"> </w:t>
      </w:r>
      <w:r w:rsidRPr="00F86D2B">
        <w:t xml:space="preserve">with direct economic effects arising. Cultural value is recognised in the AHRC review for instance in terms of the ability of arts </w:t>
      </w:r>
      <w:r w:rsidR="0005774D">
        <w:t>and</w:t>
      </w:r>
      <w:r w:rsidR="0005774D" w:rsidRPr="00F86D2B">
        <w:t xml:space="preserve"> </w:t>
      </w:r>
      <w:r w:rsidRPr="00F86D2B">
        <w:t>cultural engagement to help shape reflective individuals thereby facilitating greater understanding of themselves and empathy for others and diversity, as well as producing more engaged citizens, thus promoting civic behaviour and expression.</w:t>
      </w:r>
      <w:r w:rsidR="00A033C6">
        <w:t xml:space="preserve"> </w:t>
      </w:r>
      <w:r w:rsidRPr="00F86D2B">
        <w:t>Culture in this respect can be viewed as the fourth</w:t>
      </w:r>
      <w:r w:rsidRPr="00D01D0B">
        <w:t xml:space="preserve"> ‘impact’ domain (economic, environmental/phy</w:t>
      </w:r>
      <w:r w:rsidRPr="00CE15A7">
        <w:t>sical</w:t>
      </w:r>
      <w:r>
        <w:t>,</w:t>
      </w:r>
      <w:r w:rsidRPr="00CE15A7">
        <w:t xml:space="preserve"> social</w:t>
      </w:r>
      <w:r w:rsidR="0005774D">
        <w:t xml:space="preserve">, </w:t>
      </w:r>
      <w:r w:rsidR="0005774D" w:rsidRPr="0005774D">
        <w:rPr>
          <w:i/>
        </w:rPr>
        <w:t>culture</w:t>
      </w:r>
      <w:r w:rsidRPr="00CE15A7">
        <w:t xml:space="preserve">) and one that has been taken for granted or at best is </w:t>
      </w:r>
      <w:r w:rsidR="0005774D">
        <w:t>‘</w:t>
      </w:r>
      <w:r w:rsidRPr="00CE15A7">
        <w:t xml:space="preserve">implicit’ in evaluation and impact studies, including in the field of </w:t>
      </w:r>
      <w:r w:rsidR="00AD6B47">
        <w:t>placemaking</w:t>
      </w:r>
      <w:r w:rsidRPr="00CE15A7">
        <w:t xml:space="preserve">/shaping. This is consonant with </w:t>
      </w:r>
      <w:r>
        <w:t xml:space="preserve">the </w:t>
      </w:r>
      <w:r w:rsidRPr="00D01D0B">
        <w:t xml:space="preserve">sustainable development </w:t>
      </w:r>
      <w:r>
        <w:t xml:space="preserve">agenda </w:t>
      </w:r>
      <w:r w:rsidRPr="00D01D0B">
        <w:t>where culture is now accepted as</w:t>
      </w:r>
      <w:r>
        <w:t xml:space="preserve"> </w:t>
      </w:r>
      <w:r w:rsidRPr="00D01D0B">
        <w:t xml:space="preserve">the ‘fourth pillar’ (Hawkes, 2001). </w:t>
      </w:r>
      <w:r>
        <w:t>I</w:t>
      </w:r>
      <w:r w:rsidRPr="00F86D2B">
        <w:t>nitiatives such as Agenda 21 for Culture (UCLG</w:t>
      </w:r>
      <w:r>
        <w:t xml:space="preserve">, </w:t>
      </w:r>
      <w:r w:rsidRPr="00F86D2B">
        <w:t xml:space="preserve">2008) have </w:t>
      </w:r>
      <w:r>
        <w:t xml:space="preserve">thus </w:t>
      </w:r>
      <w:r w:rsidRPr="00F86D2B">
        <w:t xml:space="preserve">promoted the centrality of culture to sustainable development: </w:t>
      </w:r>
    </w:p>
    <w:p w14:paraId="798A7861" w14:textId="77777777" w:rsidR="00410E03" w:rsidRPr="00F86D2B" w:rsidRDefault="00410E03" w:rsidP="00520273"/>
    <w:p w14:paraId="503912F1" w14:textId="699FA63E" w:rsidR="00410E03" w:rsidRPr="00F86D2B" w:rsidRDefault="00410E03" w:rsidP="006751CE">
      <w:pPr>
        <w:ind w:left="1701"/>
      </w:pPr>
      <w:r w:rsidRPr="00F86D2B">
        <w:t>… “Culture in sustainable development” is not only about “using artists to raise concern on climate change” or about “building cultural venues that are efficient in the use of energy and natural resources”. It is not only about the income that cultural industries can bring to the economy. It is not about “asking more” to the cultural circles. These are very important questions that need to be addressed, but they do not articulate the core question. The role of culture in sustainable development is mainly about including a cultural perspective in all public policies. It is about guaranteeing that any sustainable d</w:t>
      </w:r>
      <w:r w:rsidRPr="00D01D0B">
        <w:t>evelopment process has a soul (UNESCO 2009</w:t>
      </w:r>
      <w:r>
        <w:t>,</w:t>
      </w:r>
      <w:r w:rsidRPr="00F86D2B">
        <w:t xml:space="preserve"> 6)</w:t>
      </w:r>
      <w:r>
        <w:t>.</w:t>
      </w:r>
    </w:p>
    <w:p w14:paraId="389886C9" w14:textId="77777777" w:rsidR="00410E03" w:rsidRDefault="00410E03" w:rsidP="00520273">
      <w:pPr>
        <w:rPr>
          <w:rFonts w:eastAsiaTheme="minorHAnsi"/>
        </w:rPr>
      </w:pPr>
    </w:p>
    <w:p w14:paraId="4E77A1B0" w14:textId="631FD78A" w:rsidR="00410E03" w:rsidRPr="00F86D2B" w:rsidRDefault="00410E03" w:rsidP="00520273">
      <w:pPr>
        <w:rPr>
          <w:rFonts w:eastAsiaTheme="minorHAnsi"/>
        </w:rPr>
      </w:pPr>
      <w:r>
        <w:rPr>
          <w:rFonts w:eastAsiaTheme="minorHAnsi"/>
        </w:rPr>
        <w:lastRenderedPageBreak/>
        <w:t xml:space="preserve">The AHRC </w:t>
      </w:r>
      <w:r w:rsidRPr="00F86D2B">
        <w:rPr>
          <w:rFonts w:eastAsiaTheme="minorHAnsi"/>
          <w:i/>
        </w:rPr>
        <w:t>Understanding Cultural Value Project</w:t>
      </w:r>
      <w:r>
        <w:rPr>
          <w:rFonts w:eastAsiaTheme="minorHAnsi"/>
        </w:rPr>
        <w:t xml:space="preserve"> report is based on the findings from research studies funded under this programme</w:t>
      </w:r>
      <w:r w:rsidR="00380D3A">
        <w:rPr>
          <w:rFonts w:eastAsiaTheme="minorHAnsi"/>
        </w:rPr>
        <w:t>,</w:t>
      </w:r>
      <w:r>
        <w:rPr>
          <w:rFonts w:eastAsiaTheme="minorHAnsi"/>
        </w:rPr>
        <w:t xml:space="preserve"> which included 46 primary research projects and over 25 critical reviews and workshops, supported by selected literature.</w:t>
      </w:r>
      <w:r w:rsidR="00A033C6">
        <w:rPr>
          <w:rFonts w:eastAsiaTheme="minorHAnsi"/>
        </w:rPr>
        <w:t xml:space="preserve"> </w:t>
      </w:r>
      <w:r>
        <w:rPr>
          <w:rFonts w:eastAsiaTheme="minorHAnsi"/>
        </w:rPr>
        <w:t xml:space="preserve">Although neither a systematic review nor an in depth programme evaluation (and not itself ‘peer reviewed’ but undertaken by the funding body itself), the review has raised key issues about the nature of evaluation and measurement undertaken of the role and effects that arts and culture has through engagement, and where questions still remain largely unanswered. The issue of ‘place’ is not central to </w:t>
      </w:r>
      <w:r w:rsidR="00380D3A">
        <w:rPr>
          <w:rFonts w:eastAsiaTheme="minorHAnsi"/>
        </w:rPr>
        <w:t xml:space="preserve">the </w:t>
      </w:r>
      <w:r>
        <w:rPr>
          <w:rFonts w:eastAsiaTheme="minorHAnsi"/>
        </w:rPr>
        <w:t xml:space="preserve">review, although the ‘home’ is highlighted as an important and under-researched area. </w:t>
      </w:r>
      <w:r w:rsidRPr="006751CE">
        <w:rPr>
          <w:rFonts w:eastAsiaTheme="minorHAnsi"/>
        </w:rPr>
        <w:t xml:space="preserve">The intrinsic value to be gained from engagement with arts </w:t>
      </w:r>
      <w:r w:rsidR="00380D3A">
        <w:rPr>
          <w:rFonts w:eastAsiaTheme="minorHAnsi"/>
        </w:rPr>
        <w:t>and</w:t>
      </w:r>
      <w:r w:rsidR="00380D3A" w:rsidRPr="006751CE">
        <w:rPr>
          <w:rFonts w:eastAsiaTheme="minorHAnsi"/>
        </w:rPr>
        <w:t xml:space="preserve"> </w:t>
      </w:r>
      <w:r w:rsidRPr="006751CE">
        <w:rPr>
          <w:rFonts w:eastAsiaTheme="minorHAnsi"/>
        </w:rPr>
        <w:t>culture is a common theme however, and this can both generate new ‘demand’ and release latent demand, in contrast to the more supply-led focus of culture-led regeneration</w:t>
      </w:r>
      <w:r w:rsidRPr="00380D3A">
        <w:rPr>
          <w:rFonts w:eastAsiaTheme="minorHAnsi"/>
        </w:rPr>
        <w:t xml:space="preserve">. The report also concludes that </w:t>
      </w:r>
      <w:r w:rsidRPr="006751CE">
        <w:rPr>
          <w:rFonts w:eastAsiaTheme="minorHAnsi"/>
        </w:rPr>
        <w:t>the divide between the type of ‘supply’ (public/funded, private/commercial, voluntary/amateur</w:t>
      </w:r>
      <w:r w:rsidR="00380D3A">
        <w:rPr>
          <w:rFonts w:eastAsiaTheme="minorHAnsi"/>
        </w:rPr>
        <w:t>,</w:t>
      </w:r>
      <w:r w:rsidRPr="006751CE">
        <w:rPr>
          <w:rFonts w:eastAsiaTheme="minorHAnsi"/>
        </w:rPr>
        <w:t xml:space="preserve"> etc</w:t>
      </w:r>
      <w:r w:rsidR="00380D3A">
        <w:rPr>
          <w:rFonts w:eastAsiaTheme="minorHAnsi"/>
        </w:rPr>
        <w:t>.</w:t>
      </w:r>
      <w:r w:rsidRPr="006751CE">
        <w:rPr>
          <w:rFonts w:eastAsiaTheme="minorHAnsi"/>
        </w:rPr>
        <w:t>) is less useful in determining how and what values are derived from cultural engagement and this is important in considering the difference that cultural assets can make to place-shaping, i.e. all assets in a place can potentially shape and contribute to a ‘creative place’.</w:t>
      </w:r>
      <w:r w:rsidR="00A033C6" w:rsidRPr="00380D3A">
        <w:rPr>
          <w:rFonts w:eastAsiaTheme="minorHAnsi"/>
        </w:rPr>
        <w:t xml:space="preserve"> </w:t>
      </w:r>
      <w:r>
        <w:rPr>
          <w:rFonts w:eastAsiaTheme="minorHAnsi"/>
        </w:rPr>
        <w:t xml:space="preserve">Access to cultural experiences and opportunities for cultural expression are, as this review confirms, uneven (including in the home) and both the generation of ‘demand’ and the cultural ecosystems that can flourish at varying levels require different modes and places of engagement in proximity to where people actually can access cultural activity. </w:t>
      </w:r>
    </w:p>
    <w:p w14:paraId="59207127" w14:textId="5D6BA2D9" w:rsidR="00410E03" w:rsidRPr="00C702DC" w:rsidRDefault="00410E03" w:rsidP="00520273">
      <w:pPr>
        <w:pStyle w:val="Heading2Numbered"/>
      </w:pPr>
      <w:bookmarkStart w:id="84" w:name="_Ref464199231"/>
      <w:bookmarkStart w:id="85" w:name="_Toc467569617"/>
      <w:r w:rsidRPr="00C702DC">
        <w:t>Scale</w:t>
      </w:r>
      <w:bookmarkEnd w:id="84"/>
      <w:bookmarkEnd w:id="85"/>
      <w:r w:rsidRPr="00C702DC">
        <w:t xml:space="preserve"> </w:t>
      </w:r>
    </w:p>
    <w:p w14:paraId="4CA1BFE8" w14:textId="6F9FA672" w:rsidR="00410E03" w:rsidRDefault="00410E03" w:rsidP="00520273">
      <w:r w:rsidRPr="00CD2A92">
        <w:t xml:space="preserve">This </w:t>
      </w:r>
      <w:r>
        <w:t xml:space="preserve">all begs the question of </w:t>
      </w:r>
      <w:r w:rsidRPr="000F6B69">
        <w:t>scale</w:t>
      </w:r>
      <w:r>
        <w:t xml:space="preserve">. Amenity, </w:t>
      </w:r>
      <w:r w:rsidR="00A04FD9">
        <w:t>e</w:t>
      </w:r>
      <w:r w:rsidRPr="00CD2A92">
        <w:t>conomic</w:t>
      </w:r>
      <w:r>
        <w:t xml:space="preserve">, </w:t>
      </w:r>
      <w:r w:rsidR="00A04FD9">
        <w:t>s</w:t>
      </w:r>
      <w:r w:rsidRPr="00CD2A92">
        <w:t xml:space="preserve">ocial </w:t>
      </w:r>
      <w:r>
        <w:t xml:space="preserve">and </w:t>
      </w:r>
      <w:r w:rsidR="00A04FD9">
        <w:t>c</w:t>
      </w:r>
      <w:r>
        <w:t xml:space="preserve">ultural </w:t>
      </w:r>
      <w:r w:rsidRPr="00CD2A92">
        <w:t>value and impacts may be attributed to individual</w:t>
      </w:r>
      <w:r>
        <w:t xml:space="preserve"> CS&amp;H assets based on bottom-up data and evidence, and to clusters of CS&amp;H assets. These may be within the same sphere, e.g. clusters of arts and entertainment venues; heritage venues/sites; sports &amp; recreation facilities, or combine one or more of these. Some facilities of course provide dual or mixed use activities, e.g. arts/entertainment and sports, arts and heritage, heritage and sports, or all three of these. Within these cultural fields there may be a case for distinguishing between types of activity and assets, e.g. art form, sport, heritage type</w:t>
      </w:r>
      <w:r w:rsidR="00A04FD9">
        <w:t>,</w:t>
      </w:r>
      <w:r>
        <w:t xml:space="preserve"> etc. as well as size and scale (area, catchment).</w:t>
      </w:r>
    </w:p>
    <w:p w14:paraId="3D692FA9" w14:textId="7CA95798" w:rsidR="00AB17E4" w:rsidRDefault="00410E03" w:rsidP="00520273">
      <w:pPr>
        <w:pStyle w:val="Heading3Numbered"/>
      </w:pPr>
      <w:bookmarkStart w:id="86" w:name="_Toc467569618"/>
      <w:r w:rsidRPr="00C25F2E">
        <w:t>Local area</w:t>
      </w:r>
      <w:bookmarkEnd w:id="86"/>
    </w:p>
    <w:p w14:paraId="22A2F622" w14:textId="00D9468C" w:rsidR="00410E03" w:rsidRDefault="00410E03" w:rsidP="00520273">
      <w:r>
        <w:t xml:space="preserve">Clusters of CS&amp;H facilities can firstly be considered at a </w:t>
      </w:r>
      <w:r w:rsidRPr="00C25F2E">
        <w:t>local area</w:t>
      </w:r>
      <w:r>
        <w:t xml:space="preserve"> scale identified with particular districts such as cultural quarters</w:t>
      </w:r>
      <w:r w:rsidR="00C969AD">
        <w:t xml:space="preserve"> (</w:t>
      </w:r>
      <w:r>
        <w:t>e.g. museum quarters, heritage quarters</w:t>
      </w:r>
      <w:r w:rsidR="00C969AD">
        <w:t>)</w:t>
      </w:r>
      <w:r>
        <w:t xml:space="preserve"> which may also congruent with planning designation such as conservation areas, heritage sites (e.g. World Heritage </w:t>
      </w:r>
      <w:r w:rsidR="00076E90">
        <w:t xml:space="preserve">Site </w:t>
      </w:r>
      <w:r>
        <w:t>delineation). Large sports venues may form part of a complex of facilities (e.g. Wembley) and support a range of other services and outlets in close proximity and CS&amp;H facilities can also be co-located in</w:t>
      </w:r>
      <w:r w:rsidR="00076E90">
        <w:t xml:space="preserve"> or </w:t>
      </w:r>
      <w:r>
        <w:t>adjoining parks. A concentration of facilities representing a ‘critical mass’ is familiar in retail</w:t>
      </w:r>
      <w:r w:rsidR="00076E90">
        <w:t xml:space="preserve"> (e.g. </w:t>
      </w:r>
      <w:r>
        <w:t>high streets/markets/malls</w:t>
      </w:r>
      <w:r w:rsidR="00076E90">
        <w:t>)</w:t>
      </w:r>
      <w:r>
        <w:t>, university districts, business &amp; science parks and in other land zoning (industrial, housing, recreation, town centres</w:t>
      </w:r>
      <w:r w:rsidR="00EC07C9">
        <w:t>,</w:t>
      </w:r>
      <w:r>
        <w:t xml:space="preserve"> etc</w:t>
      </w:r>
      <w:r w:rsidR="00EC07C9">
        <w:t>.</w:t>
      </w:r>
      <w:r>
        <w:t xml:space="preserve">). In planning and infrastructure provision these zoning and land uses influence (or try to influence) location decisions and investment, e.g. transport and to a lesser extent, recreation and some </w:t>
      </w:r>
      <w:r w:rsidR="00EC07C9">
        <w:t xml:space="preserve">larger </w:t>
      </w:r>
      <w:r>
        <w:t xml:space="preserve">cultural facilities. These clusters of co-location can be both consumption and production based and there are increasing examples of a convergence between the two, for example in the Digital Shoreditch area (and putative Tech City </w:t>
      </w:r>
      <w:r>
        <w:lastRenderedPageBreak/>
        <w:t>swathe) of east London which hosts a large number of established arts and digital media enterprises, alongside a vibrant independent retail, club and event scene, and co-located financial and advertising services district. There are similar examples in cities such as Brighton and Manchester, as well as in cities such as Amsterdam, Barcelona and Berlin, all with strong place-shaping effect, and extending existing city place brands (Evans, 2015; Foord, 2012; Kloosterman, 2013).</w:t>
      </w:r>
    </w:p>
    <w:p w14:paraId="21550116" w14:textId="3466835A" w:rsidR="00AB17E4" w:rsidRDefault="00410E03" w:rsidP="00520273">
      <w:pPr>
        <w:pStyle w:val="Heading3Numbered"/>
      </w:pPr>
      <w:bookmarkStart w:id="87" w:name="_Toc467569619"/>
      <w:r w:rsidRPr="00C25F2E">
        <w:t>Local authority</w:t>
      </w:r>
      <w:bookmarkEnd w:id="87"/>
    </w:p>
    <w:p w14:paraId="250805A2" w14:textId="5DFAAB04" w:rsidR="00410E03" w:rsidRDefault="00410E03" w:rsidP="00520273">
      <w:r>
        <w:t xml:space="preserve">At the next spatial scale: </w:t>
      </w:r>
      <w:r w:rsidRPr="00C25F2E">
        <w:t>local authority or district administrative unit</w:t>
      </w:r>
      <w:r>
        <w:t>,</w:t>
      </w:r>
      <w:r w:rsidRPr="00C25F2E">
        <w:t xml:space="preserve"> a council area will contain a number of CS&amp;H assets, with larger</w:t>
      </w:r>
      <w:r>
        <w:t xml:space="preserve"> venues normally concentrated in town or equivalent centres, and which might be seen as a feature of the ‘place’ and related place marketing and resident satisfaction (i.e. “</w:t>
      </w:r>
      <w:r w:rsidRPr="000F6B69">
        <w:t>town/borough</w:t>
      </w:r>
      <w:r>
        <w:t xml:space="preserve"> </w:t>
      </w:r>
      <w:r w:rsidR="000F6B69" w:rsidRPr="000F6B69">
        <w:rPr>
          <w:i/>
        </w:rPr>
        <w:t>x</w:t>
      </w:r>
      <w:r w:rsidR="000F6B69">
        <w:t xml:space="preserve"> </w:t>
      </w:r>
      <w:r>
        <w:t xml:space="preserve">has a good quality and range of CS&amp;H amenities/facilities”). However, this does not represent a cluster in the economic ‘market’ sense (where the economic ‘sum of the parts is greater than the whole’), but with data available and </w:t>
      </w:r>
      <w:r w:rsidRPr="00E4648F">
        <w:t xml:space="preserve">generated at borough, ward and lower super output area (LSOA) level, this might serve as a viable unit for comparison, given the use of benchmarking applied at this scale (e.g. </w:t>
      </w:r>
      <w:r w:rsidR="00D71D03">
        <w:t xml:space="preserve">by </w:t>
      </w:r>
      <w:r w:rsidRPr="00E4648F">
        <w:t>CIPFA),</w:t>
      </w:r>
      <w:r w:rsidR="00D71D03">
        <w:t xml:space="preserve"> </w:t>
      </w:r>
      <w:r w:rsidRPr="00E4648F">
        <w:t xml:space="preserve">including data from Census, lifestyle (e.g. MOSAIC, ACORN) and participation surveys, e.g. </w:t>
      </w:r>
      <w:r w:rsidRPr="000F6B69">
        <w:t>Active People</w:t>
      </w:r>
      <w:r w:rsidRPr="00E4648F">
        <w:t>. Th</w:t>
      </w:r>
      <w:r w:rsidR="00D71D03">
        <w:t xml:space="preserve">e </w:t>
      </w:r>
      <w:r w:rsidR="00D71D03" w:rsidRPr="000F6B69">
        <w:t>Active People S</w:t>
      </w:r>
      <w:r w:rsidRPr="000F6B69">
        <w:t>urvey</w:t>
      </w:r>
      <w:r w:rsidRPr="00E4648F">
        <w:t xml:space="preserve"> provides a range of participation data at local authority level </w:t>
      </w:r>
      <w:r>
        <w:t xml:space="preserve">with </w:t>
      </w:r>
      <w:r w:rsidRPr="00E4648F">
        <w:rPr>
          <w:bCs/>
        </w:rPr>
        <w:t>a simple arts participation question</w:t>
      </w:r>
      <w:r>
        <w:rPr>
          <w:bCs/>
        </w:rPr>
        <w:t xml:space="preserve"> </w:t>
      </w:r>
      <w:r w:rsidRPr="00E4648F">
        <w:rPr>
          <w:bCs/>
        </w:rPr>
        <w:t>added between 2010 and 2012</w:t>
      </w:r>
      <w:r w:rsidRPr="00E4648F">
        <w:rPr>
          <w:rStyle w:val="FootnoteReference"/>
          <w:rFonts w:ascii="Tahoma" w:hAnsi="Tahoma" w:cs="Tahoma"/>
          <w:bCs/>
          <w:sz w:val="20"/>
        </w:rPr>
        <w:footnoteReference w:id="3"/>
      </w:r>
      <w:r>
        <w:rPr>
          <w:bCs/>
        </w:rPr>
        <w:t xml:space="preserve"> providing an opportunity to combine/compare arts and sports participation data by local authority during this period.</w:t>
      </w:r>
    </w:p>
    <w:p w14:paraId="0FFF1017" w14:textId="0A7059C8" w:rsidR="00AB17E4" w:rsidRDefault="00410E03" w:rsidP="00520273">
      <w:pPr>
        <w:pStyle w:val="Heading3Numbered"/>
      </w:pPr>
      <w:bookmarkStart w:id="88" w:name="_Toc467569620"/>
      <w:r w:rsidRPr="00144981">
        <w:t>Sub-regions</w:t>
      </w:r>
      <w:bookmarkEnd w:id="88"/>
      <w:r>
        <w:t xml:space="preserve"> </w:t>
      </w:r>
    </w:p>
    <w:p w14:paraId="2F1FA180" w14:textId="3CEDDC8E" w:rsidR="00410E03" w:rsidRPr="006D1C7F" w:rsidRDefault="00AB17E4" w:rsidP="00520273">
      <w:r>
        <w:t xml:space="preserve">Sub-regions </w:t>
      </w:r>
      <w:r w:rsidR="00410E03">
        <w:t>have also been identified particularly in economic development and regeneration programmes to better represent clusters of activity, employment and communities which cross</w:t>
      </w:r>
      <w:r w:rsidR="00AB58FA">
        <w:t xml:space="preserve"> </w:t>
      </w:r>
      <w:r w:rsidR="00410E03">
        <w:t xml:space="preserve">borough boundaries (i.e. </w:t>
      </w:r>
      <w:r w:rsidR="00AB58FA">
        <w:t xml:space="preserve">are </w:t>
      </w:r>
      <w:r w:rsidR="00410E03">
        <w:t>made up of selected wards across two or more boroughs). An example is the City Fringe in east London (three boroughs)</w:t>
      </w:r>
      <w:r w:rsidR="00AB58FA">
        <w:t>,</w:t>
      </w:r>
      <w:r w:rsidR="00410E03">
        <w:t xml:space="preserve"> one of the government’s City Growth Strategy</w:t>
      </w:r>
      <w:r w:rsidR="00BB7156">
        <w:t xml:space="preserve"> </w:t>
      </w:r>
      <w:r w:rsidR="00C047EF">
        <w:t>(CGS)</w:t>
      </w:r>
      <w:r w:rsidR="00410E03">
        <w:t xml:space="preserve"> areas, which </w:t>
      </w:r>
      <w:r w:rsidR="00410E03" w:rsidRPr="00300E8A">
        <w:t xml:space="preserve">prioritised cultural and creative sectors and hubs. Another sub-regional example includes housing growth areas such as Milton Keynes South Midlands (MKSM) and Partners for Urban South Hampshire (PUSH) both of which developed extensive culture and sport strategies on a spatial basis linked to new housing investment, e.g. North Northants/Corby. Again data at this level may be available linking investment with place shaping outcomes and change. Another spatial concept is that of </w:t>
      </w:r>
      <w:r w:rsidR="00C047EF">
        <w:t>‘</w:t>
      </w:r>
      <w:r w:rsidR="00410E03" w:rsidRPr="006751CE">
        <w:t>polycentric regions</w:t>
      </w:r>
      <w:r w:rsidR="00C047EF">
        <w:t>’</w:t>
      </w:r>
      <w:r w:rsidR="00410E03" w:rsidRPr="00300E8A">
        <w:t xml:space="preserve">, more familiar in countries such as </w:t>
      </w:r>
      <w:r w:rsidR="00C047EF">
        <w:t>t</w:t>
      </w:r>
      <w:r w:rsidR="00C047EF" w:rsidRPr="00300E8A">
        <w:t xml:space="preserve">he </w:t>
      </w:r>
      <w:r w:rsidR="00410E03" w:rsidRPr="00300E8A">
        <w:t>Netherlands (Meijers, 2008) and Germany (and to a lesser extent France</w:t>
      </w:r>
      <w:r w:rsidR="00410E03">
        <w:t xml:space="preserve"> </w:t>
      </w:r>
      <w:r w:rsidR="00C047EF">
        <w:t>–</w:t>
      </w:r>
      <w:r w:rsidR="00C047EF" w:rsidRPr="00300E8A">
        <w:t xml:space="preserve"> </w:t>
      </w:r>
      <w:r w:rsidR="00410E03" w:rsidRPr="00300E8A">
        <w:rPr>
          <w:color w:val="000000"/>
        </w:rPr>
        <w:t>Puissant &amp; Lacour, 2011)</w:t>
      </w:r>
      <w:r w:rsidR="00410E03" w:rsidRPr="00300E8A">
        <w:t xml:space="preserve">. This model has a more even distribution of services and facilities rather than </w:t>
      </w:r>
      <w:r w:rsidR="00C047EF" w:rsidRPr="00300E8A">
        <w:t>concentrat</w:t>
      </w:r>
      <w:r w:rsidR="00C047EF">
        <w:t>ing</w:t>
      </w:r>
      <w:r w:rsidR="00C047EF" w:rsidRPr="00300E8A">
        <w:t xml:space="preserve"> </w:t>
      </w:r>
      <w:r w:rsidR="00410E03" w:rsidRPr="00300E8A">
        <w:t xml:space="preserve">these in monocentric towns/cities. In </w:t>
      </w:r>
      <w:r w:rsidR="00410E03">
        <w:t xml:space="preserve">CS&amp;H asset </w:t>
      </w:r>
      <w:r w:rsidR="00410E03" w:rsidRPr="00300E8A">
        <w:t>terms this would mean that some towns would have some types of facilities and others would have complementary ones (rather than duplicating). One could perhaps look at some English regions with several cities and large towns as partially pol</w:t>
      </w:r>
      <w:r w:rsidR="00410E03">
        <w:t>ycentric where there is some C</w:t>
      </w:r>
      <w:r w:rsidR="00410E03" w:rsidRPr="00300E8A">
        <w:t>S</w:t>
      </w:r>
      <w:r w:rsidR="00410E03">
        <w:t>&amp;H</w:t>
      </w:r>
      <w:r w:rsidR="00410E03" w:rsidRPr="00300E8A">
        <w:t xml:space="preserve"> specialisation within these, e.g. Leeds-Sheffield-Bradford; Manchester-Liverpool and Glasgow-Edinburgh-Dundee</w:t>
      </w:r>
      <w:r w:rsidR="00410E03" w:rsidRPr="006D1C7F">
        <w:t xml:space="preserve">. The Scottish national policy </w:t>
      </w:r>
      <w:r w:rsidR="00410E03">
        <w:t xml:space="preserve">in fact </w:t>
      </w:r>
      <w:r w:rsidR="00410E03" w:rsidRPr="006D1C7F">
        <w:t xml:space="preserve">focuses on six </w:t>
      </w:r>
      <w:r w:rsidR="00C047EF">
        <w:t>“</w:t>
      </w:r>
      <w:r w:rsidR="00410E03">
        <w:t xml:space="preserve">Vibrant Cultural Cities </w:t>
      </w:r>
      <w:r w:rsidR="00410E03">
        <w:lastRenderedPageBreak/>
        <w:t xml:space="preserve">characterised as: </w:t>
      </w:r>
      <w:r w:rsidR="00410E03" w:rsidRPr="006D1C7F">
        <w:rPr>
          <w:rFonts w:eastAsiaTheme="minorHAnsi"/>
          <w:bCs/>
          <w:i/>
          <w:iCs/>
        </w:rPr>
        <w:t>first and foremost a liveable city</w:t>
      </w:r>
      <w:r w:rsidR="00410E03">
        <w:rPr>
          <w:rFonts w:eastAsiaTheme="minorHAnsi"/>
          <w:bCs/>
          <w:i/>
          <w:iCs/>
        </w:rPr>
        <w:t xml:space="preserve"> – a place where highly skilled </w:t>
      </w:r>
      <w:r w:rsidR="00410E03" w:rsidRPr="006D1C7F">
        <w:rPr>
          <w:rFonts w:eastAsiaTheme="minorHAnsi"/>
          <w:bCs/>
          <w:i/>
          <w:iCs/>
        </w:rPr>
        <w:t>and highly mobile people choose to live. A vibr</w:t>
      </w:r>
      <w:r w:rsidR="00410E03">
        <w:rPr>
          <w:rFonts w:eastAsiaTheme="minorHAnsi"/>
          <w:bCs/>
          <w:i/>
          <w:iCs/>
        </w:rPr>
        <w:t xml:space="preserve">ant cultural city also attracts </w:t>
      </w:r>
      <w:r w:rsidR="00410E03" w:rsidRPr="006D1C7F">
        <w:rPr>
          <w:rFonts w:eastAsiaTheme="minorHAnsi"/>
          <w:bCs/>
          <w:i/>
          <w:iCs/>
        </w:rPr>
        <w:t>new investment and is a place that people choose to visit because of its</w:t>
      </w:r>
      <w:r w:rsidR="00410E03">
        <w:t xml:space="preserve"> </w:t>
      </w:r>
      <w:r w:rsidR="00410E03" w:rsidRPr="006D1C7F">
        <w:rPr>
          <w:rFonts w:eastAsiaTheme="minorHAnsi"/>
          <w:bCs/>
          <w:i/>
          <w:iCs/>
        </w:rPr>
        <w:t>cultural, social and retail diversity and the d</w:t>
      </w:r>
      <w:r w:rsidR="00410E03">
        <w:rPr>
          <w:rFonts w:eastAsiaTheme="minorHAnsi"/>
          <w:bCs/>
          <w:i/>
          <w:iCs/>
        </w:rPr>
        <w:t xml:space="preserve">iversity of its people. It is a </w:t>
      </w:r>
      <w:r w:rsidR="00410E03" w:rsidRPr="006D1C7F">
        <w:rPr>
          <w:rFonts w:eastAsiaTheme="minorHAnsi"/>
          <w:bCs/>
          <w:i/>
          <w:iCs/>
        </w:rPr>
        <w:t>place where a nation’s heritage is display</w:t>
      </w:r>
      <w:r w:rsidR="00410E03">
        <w:rPr>
          <w:rFonts w:eastAsiaTheme="minorHAnsi"/>
          <w:bCs/>
          <w:i/>
          <w:iCs/>
        </w:rPr>
        <w:t xml:space="preserve">ed and will evolve. The world’s </w:t>
      </w:r>
      <w:r w:rsidR="00410E03" w:rsidRPr="006D1C7F">
        <w:rPr>
          <w:rFonts w:eastAsiaTheme="minorHAnsi"/>
          <w:bCs/>
          <w:i/>
          <w:iCs/>
        </w:rPr>
        <w:t>most successful cities have an identity th</w:t>
      </w:r>
      <w:r w:rsidR="00410E03">
        <w:rPr>
          <w:rFonts w:eastAsiaTheme="minorHAnsi"/>
          <w:bCs/>
          <w:i/>
          <w:iCs/>
        </w:rPr>
        <w:t xml:space="preserve">at reaches out across different </w:t>
      </w:r>
      <w:r w:rsidR="00410E03" w:rsidRPr="006D1C7F">
        <w:rPr>
          <w:rFonts w:eastAsiaTheme="minorHAnsi"/>
          <w:bCs/>
          <w:i/>
          <w:iCs/>
        </w:rPr>
        <w:t>markets and customers and that tells a uni</w:t>
      </w:r>
      <w:r w:rsidR="00410E03">
        <w:rPr>
          <w:rFonts w:eastAsiaTheme="minorHAnsi"/>
          <w:bCs/>
          <w:i/>
          <w:iCs/>
        </w:rPr>
        <w:t xml:space="preserve">fying story about the value the </w:t>
      </w:r>
      <w:r w:rsidR="00410E03" w:rsidRPr="006D1C7F">
        <w:rPr>
          <w:rFonts w:eastAsiaTheme="minorHAnsi"/>
          <w:bCs/>
          <w:i/>
          <w:iCs/>
        </w:rPr>
        <w:t>city can add to the activity that is looking for a home</w:t>
      </w:r>
      <w:r w:rsidR="00C047EF">
        <w:rPr>
          <w:rFonts w:eastAsiaTheme="minorHAnsi"/>
          <w:bCs/>
          <w:i/>
          <w:iCs/>
        </w:rPr>
        <w:t>”</w:t>
      </w:r>
      <w:r w:rsidR="00410E03">
        <w:rPr>
          <w:rFonts w:eastAsiaTheme="minorHAnsi"/>
          <w:bCs/>
          <w:iCs/>
        </w:rPr>
        <w:t xml:space="preserve"> </w:t>
      </w:r>
      <w:r w:rsidR="00410E03" w:rsidRPr="006D1C7F">
        <w:rPr>
          <w:rFonts w:eastAsiaTheme="minorHAnsi"/>
          <w:bCs/>
          <w:iCs/>
        </w:rPr>
        <w:t>(Scotland’s Cities, 2011)</w:t>
      </w:r>
      <w:r w:rsidR="00410E03">
        <w:rPr>
          <w:rFonts w:eastAsiaTheme="minorHAnsi"/>
          <w:bCs/>
          <w:iCs/>
        </w:rPr>
        <w:t>.</w:t>
      </w:r>
    </w:p>
    <w:p w14:paraId="5A9C282E" w14:textId="20571A6D" w:rsidR="00AB17E4" w:rsidRDefault="00410E03" w:rsidP="00520273">
      <w:pPr>
        <w:pStyle w:val="Heading3Numbered"/>
      </w:pPr>
      <w:bookmarkStart w:id="89" w:name="_Toc467569621"/>
      <w:r w:rsidRPr="00C25F2E">
        <w:t>Region</w:t>
      </w:r>
      <w:bookmarkEnd w:id="89"/>
    </w:p>
    <w:p w14:paraId="2B609D2A" w14:textId="1F780FBC" w:rsidR="00410E03" w:rsidRDefault="00AB17E4" w:rsidP="00520273">
      <w:r>
        <w:t>T</w:t>
      </w:r>
      <w:r w:rsidR="00410E03">
        <w:t xml:space="preserve">his leaves us with the </w:t>
      </w:r>
      <w:r w:rsidR="00410E03" w:rsidRPr="006751CE">
        <w:t>regional scale</w:t>
      </w:r>
      <w:r w:rsidR="00410E03">
        <w:t xml:space="preserve"> (not ignoring sub-units such as counties which may have associated ‘character’, tourism brands and CS&amp;H features) at which macro-economic indicators are available, e.g. GVA, industry clusters, tourism, and where spatial data analysis may be feasible</w:t>
      </w:r>
      <w:r w:rsidR="000850A7">
        <w:t>,</w:t>
      </w:r>
      <w:r w:rsidR="00410E03">
        <w:t xml:space="preserve"> e.g. </w:t>
      </w:r>
      <w:r w:rsidR="00C3483E">
        <w:t xml:space="preserve">Travel </w:t>
      </w:r>
      <w:r w:rsidR="00410E03">
        <w:t xml:space="preserve">to </w:t>
      </w:r>
      <w:r w:rsidR="00C3483E">
        <w:t xml:space="preserve">Work Areas </w:t>
      </w:r>
      <w:r w:rsidR="00410E03">
        <w:t>(TTWA</w:t>
      </w:r>
      <w:r w:rsidR="00C3483E">
        <w:t>s</w:t>
      </w:r>
      <w:r w:rsidR="00410E03">
        <w:t xml:space="preserve"> </w:t>
      </w:r>
      <w:r w:rsidR="000850A7">
        <w:t xml:space="preserve">– </w:t>
      </w:r>
      <w:r w:rsidR="00410E03">
        <w:t>although these can also be applied at lower scales, e.g. borough). The region is the common ‘unit’ for general studies of growth, innovation and cluster analysis which is extensive (Regional Studies, Economic Geography, Urban Studies etc</w:t>
      </w:r>
      <w:r w:rsidR="000850A7">
        <w:t>.). Culture, sport and heritage</w:t>
      </w:r>
      <w:r w:rsidR="00410E03">
        <w:t xml:space="preserve"> tend to feature in this literature only in as far as they represent ‘amenities’ (as a location and attractor, as noted above) unless the industry sector concerns specific cultural and creative industry sectors and creative clusters (see</w:t>
      </w:r>
      <w:r w:rsidR="000F6B69">
        <w:t xml:space="preserve"> section</w:t>
      </w:r>
      <w:r w:rsidR="00410E03">
        <w:t xml:space="preserve"> </w:t>
      </w:r>
      <w:r w:rsidR="00C80488">
        <w:rPr>
          <w:highlight w:val="yellow"/>
        </w:rPr>
        <w:fldChar w:fldCharType="begin"/>
      </w:r>
      <w:r w:rsidR="00C80488">
        <w:instrText xml:space="preserve"> REF _Ref464198587 \r \h </w:instrText>
      </w:r>
      <w:r w:rsidR="00C80488">
        <w:rPr>
          <w:highlight w:val="yellow"/>
        </w:rPr>
      </w:r>
      <w:r w:rsidR="00C80488">
        <w:rPr>
          <w:highlight w:val="yellow"/>
        </w:rPr>
        <w:fldChar w:fldCharType="separate"/>
      </w:r>
      <w:r w:rsidR="00F0636B">
        <w:t>6.5</w:t>
      </w:r>
      <w:r w:rsidR="00C80488">
        <w:rPr>
          <w:highlight w:val="yellow"/>
        </w:rPr>
        <w:fldChar w:fldCharType="end"/>
      </w:r>
      <w:r w:rsidR="00410E03">
        <w:t xml:space="preserve"> below). Regional-level data is also a feature in </w:t>
      </w:r>
      <w:r w:rsidR="00410E03" w:rsidRPr="000F6B69">
        <w:t>Taking Part</w:t>
      </w:r>
      <w:r w:rsidR="00410E03">
        <w:t xml:space="preserve"> surveys and investment data (including ERDF) </w:t>
      </w:r>
      <w:r w:rsidR="000850A7">
        <w:t xml:space="preserve"> and </w:t>
      </w:r>
      <w:r w:rsidR="00410E03">
        <w:t xml:space="preserve">also via regional agencies (and the former RDAs). There is the risk however that CS&amp;H assets will get ‘lost’ at this scale and be too large for meaningful comparison and controls. </w:t>
      </w:r>
    </w:p>
    <w:p w14:paraId="4BF161A7" w14:textId="69388164" w:rsidR="00410E03" w:rsidRPr="00BE013E" w:rsidRDefault="00410E03" w:rsidP="00520273">
      <w:r>
        <w:t xml:space="preserve">The </w:t>
      </w:r>
      <w:r w:rsidRPr="006751CE">
        <w:t>city region</w:t>
      </w:r>
      <w:r w:rsidRPr="000850A7">
        <w:t xml:space="preserve"> or </w:t>
      </w:r>
      <w:r w:rsidRPr="006751CE">
        <w:t>metropolitan region</w:t>
      </w:r>
      <w:r>
        <w:t xml:space="preserve"> may therefore</w:t>
      </w:r>
      <w:r w:rsidR="000850A7">
        <w:t xml:space="preserve"> be</w:t>
      </w:r>
      <w:r>
        <w:t xml:space="preserve"> a more focused scale for our purposes, </w:t>
      </w:r>
      <w:r w:rsidRPr="00BE013E">
        <w:t xml:space="preserve">particularly where this can be associated with CS&amp;H investment and infrastructure and place-shaping strategies. These include culture and sport-led regeneration, including associated events </w:t>
      </w:r>
      <w:r w:rsidR="000850A7">
        <w:t>and</w:t>
      </w:r>
      <w:r w:rsidR="000850A7" w:rsidRPr="00BE013E">
        <w:t xml:space="preserve"> </w:t>
      </w:r>
      <w:r w:rsidRPr="00BE013E">
        <w:t xml:space="preserve">festivals, tourism development and wider economic and cluster development. This might also better incorporate the local area cluster, zone, district and sub-regional clusters, as noted above. For example, Florida’s ‘Creative Class’ analysis and index in the USA took Metropolitan Statistical Areas (MSA) </w:t>
      </w:r>
      <w:r>
        <w:t xml:space="preserve">as the unit of comparison </w:t>
      </w:r>
      <w:r w:rsidR="000850A7">
        <w:t>–</w:t>
      </w:r>
      <w:r w:rsidR="000850A7" w:rsidRPr="00BE013E">
        <w:t xml:space="preserve"> </w:t>
      </w:r>
      <w:r w:rsidRPr="00BE013E">
        <w:t xml:space="preserve">and as Lorenzen &amp; Andersen (2007) confirm, the highest shares of creative class workers are </w:t>
      </w:r>
      <w:r>
        <w:t>locate</w:t>
      </w:r>
      <w:r w:rsidRPr="00BE013E">
        <w:t>d in the highest rank</w:t>
      </w:r>
      <w:r>
        <w:t>ed (size) cities</w:t>
      </w:r>
      <w:r w:rsidRPr="00BE013E">
        <w:t>.</w:t>
      </w:r>
      <w:r>
        <w:t xml:space="preserve"> Different regional configurations are used</w:t>
      </w:r>
      <w:r w:rsidR="000850A7">
        <w:t>,</w:t>
      </w:r>
      <w:r>
        <w:t xml:space="preserve"> e.g. </w:t>
      </w:r>
      <w:r w:rsidR="000850A7" w:rsidRPr="000850A7">
        <w:t xml:space="preserve">Nomenclature of Territorial Units for Statistics </w:t>
      </w:r>
      <w:r w:rsidR="000850A7">
        <w:t>(</w:t>
      </w:r>
      <w:r>
        <w:t>NUTS</w:t>
      </w:r>
      <w:r w:rsidR="000850A7">
        <w:t>),</w:t>
      </w:r>
      <w:r>
        <w:t xml:space="preserve"> however these do not necessarily correspond with regions identified for cultural planning in the UK. </w:t>
      </w:r>
    </w:p>
    <w:p w14:paraId="4D2D7FEA" w14:textId="562004D3" w:rsidR="00410E03" w:rsidRPr="00C702DC" w:rsidRDefault="00410E03" w:rsidP="00520273">
      <w:pPr>
        <w:pStyle w:val="Heading2Numbered"/>
      </w:pPr>
      <w:bookmarkStart w:id="90" w:name="_Toc467569622"/>
      <w:r w:rsidRPr="00C702DC">
        <w:t>Location advantages</w:t>
      </w:r>
      <w:bookmarkEnd w:id="90"/>
    </w:p>
    <w:p w14:paraId="6591035B" w14:textId="6F8A8FCE" w:rsidR="00410E03" w:rsidRDefault="00410E03" w:rsidP="00511EC8">
      <w:r w:rsidRPr="00300E8A">
        <w:t xml:space="preserve">One </w:t>
      </w:r>
      <w:r>
        <w:t xml:space="preserve">of the measures of place-shaping through investment in CS&amp;H assets and a critical mass of facilities is the locational advantages to which they might contribute, i.e. to what extent do CS&amp;H assets serve as attractors to and retainers of people and firms. One of the first studies to measure the economic impact of the </w:t>
      </w:r>
      <w:r w:rsidR="008E736B">
        <w:t xml:space="preserve">arts </w:t>
      </w:r>
      <w:r>
        <w:t xml:space="preserve">in </w:t>
      </w:r>
      <w:r w:rsidR="008E736B">
        <w:t xml:space="preserve">Great Britain </w:t>
      </w:r>
      <w:r>
        <w:t>was Myerscough’s study published in 1988. As well as calculating impacts through spending and employment in three city-regional cases (Ipswich, Glasgow, Merseyside) using multipliers, the study surveyed middle managers in these areas, asking firstly which factors they saw as important in a location decision, and then how far these factors were enjoyed once living in an area.</w:t>
      </w:r>
    </w:p>
    <w:p w14:paraId="7502E028" w14:textId="77777777" w:rsidR="00511EC8" w:rsidRDefault="00511EC8" w:rsidP="00520273"/>
    <w:p w14:paraId="2E159256" w14:textId="21973B33" w:rsidR="00AB17E4" w:rsidRDefault="008E736B" w:rsidP="00C80488">
      <w:pPr>
        <w:pStyle w:val="Caption"/>
      </w:pPr>
      <w:bookmarkStart w:id="91" w:name="_Toc467569664"/>
      <w:r>
        <w:lastRenderedPageBreak/>
        <w:t xml:space="preserve">Table </w:t>
      </w:r>
      <w:r w:rsidR="003D0350">
        <w:fldChar w:fldCharType="begin"/>
      </w:r>
      <w:r w:rsidR="003D0350">
        <w:instrText xml:space="preserve"> SEQ Table \* ARABIC </w:instrText>
      </w:r>
      <w:r w:rsidR="003D0350">
        <w:fldChar w:fldCharType="separate"/>
      </w:r>
      <w:r w:rsidR="00F0636B">
        <w:rPr>
          <w:noProof/>
        </w:rPr>
        <w:t>9</w:t>
      </w:r>
      <w:r w:rsidR="003D0350">
        <w:rPr>
          <w:noProof/>
        </w:rPr>
        <w:fldChar w:fldCharType="end"/>
      </w:r>
      <w:r>
        <w:t xml:space="preserve">: </w:t>
      </w:r>
      <w:r w:rsidR="00F0636B">
        <w:t>Location decision factors and post-relocation value</w:t>
      </w:r>
      <w:bookmarkEnd w:id="91"/>
      <w:r w:rsidR="00F0636B">
        <w:t xml:space="preserve"> </w:t>
      </w:r>
    </w:p>
    <w:tbl>
      <w:tblPr>
        <w:tblStyle w:val="TableGrid"/>
        <w:tblW w:w="8080" w:type="dxa"/>
        <w:tblInd w:w="1526" w:type="dxa"/>
        <w:tblLayout w:type="fixed"/>
        <w:tblLook w:val="04A0" w:firstRow="1" w:lastRow="0" w:firstColumn="1" w:lastColumn="0" w:noHBand="0" w:noVBand="1"/>
      </w:tblPr>
      <w:tblGrid>
        <w:gridCol w:w="2693"/>
        <w:gridCol w:w="2693"/>
        <w:gridCol w:w="2694"/>
      </w:tblGrid>
      <w:tr w:rsidR="00410E03" w:rsidRPr="00520273" w14:paraId="55628C12" w14:textId="77777777" w:rsidTr="00520273">
        <w:trPr>
          <w:trHeight w:val="208"/>
        </w:trPr>
        <w:tc>
          <w:tcPr>
            <w:tcW w:w="2693" w:type="dxa"/>
          </w:tcPr>
          <w:p w14:paraId="6F56B88F" w14:textId="77777777" w:rsidR="00410E03" w:rsidRPr="00520273" w:rsidRDefault="00410E03" w:rsidP="00C80488">
            <w:pPr>
              <w:spacing w:before="40" w:after="40"/>
              <w:ind w:left="0"/>
              <w:rPr>
                <w:rFonts w:cs="Arial"/>
                <w:b/>
                <w:sz w:val="20"/>
              </w:rPr>
            </w:pPr>
            <w:r w:rsidRPr="00520273">
              <w:rPr>
                <w:rFonts w:cs="Arial"/>
                <w:b/>
                <w:sz w:val="20"/>
              </w:rPr>
              <w:t>Factor</w:t>
            </w:r>
          </w:p>
        </w:tc>
        <w:tc>
          <w:tcPr>
            <w:tcW w:w="2693" w:type="dxa"/>
          </w:tcPr>
          <w:p w14:paraId="6CF32C73" w14:textId="77777777" w:rsidR="00410E03" w:rsidRPr="00520273" w:rsidRDefault="00410E03" w:rsidP="00C80488">
            <w:pPr>
              <w:spacing w:before="40" w:after="40"/>
              <w:ind w:left="0"/>
              <w:rPr>
                <w:rFonts w:cs="Arial"/>
                <w:b/>
                <w:sz w:val="20"/>
              </w:rPr>
            </w:pPr>
            <w:r w:rsidRPr="00520273">
              <w:rPr>
                <w:rFonts w:cs="Arial"/>
                <w:b/>
                <w:sz w:val="20"/>
              </w:rPr>
              <w:t>Location decision</w:t>
            </w:r>
          </w:p>
        </w:tc>
        <w:tc>
          <w:tcPr>
            <w:tcW w:w="2694" w:type="dxa"/>
          </w:tcPr>
          <w:p w14:paraId="47FD2433" w14:textId="77777777" w:rsidR="00410E03" w:rsidRPr="00520273" w:rsidRDefault="00410E03" w:rsidP="00C80488">
            <w:pPr>
              <w:spacing w:before="40" w:after="40"/>
              <w:ind w:left="0"/>
              <w:rPr>
                <w:rFonts w:cs="Arial"/>
                <w:b/>
                <w:sz w:val="20"/>
              </w:rPr>
            </w:pPr>
            <w:r w:rsidRPr="00520273">
              <w:rPr>
                <w:rFonts w:cs="Arial"/>
                <w:b/>
                <w:sz w:val="20"/>
              </w:rPr>
              <w:t>Enjoyed when resident</w:t>
            </w:r>
          </w:p>
        </w:tc>
      </w:tr>
      <w:tr w:rsidR="00410E03" w:rsidRPr="00520273" w14:paraId="65709559" w14:textId="77777777" w:rsidTr="00520273">
        <w:tc>
          <w:tcPr>
            <w:tcW w:w="2693" w:type="dxa"/>
          </w:tcPr>
          <w:p w14:paraId="40A47CAF" w14:textId="58E05569" w:rsidR="00410E03" w:rsidRPr="00520273" w:rsidRDefault="00410E03" w:rsidP="00F0636B">
            <w:pPr>
              <w:spacing w:before="40" w:after="40"/>
              <w:ind w:left="0"/>
              <w:rPr>
                <w:rFonts w:cs="Arial"/>
                <w:sz w:val="20"/>
              </w:rPr>
            </w:pPr>
            <w:r w:rsidRPr="00520273">
              <w:rPr>
                <w:rFonts w:cs="Arial"/>
                <w:sz w:val="20"/>
              </w:rPr>
              <w:t xml:space="preserve">Pleasant </w:t>
            </w:r>
            <w:r w:rsidR="008E736B">
              <w:rPr>
                <w:rFonts w:cs="Arial"/>
                <w:sz w:val="20"/>
              </w:rPr>
              <w:t>e</w:t>
            </w:r>
            <w:r w:rsidRPr="00520273">
              <w:rPr>
                <w:rFonts w:cs="Arial"/>
                <w:sz w:val="20"/>
              </w:rPr>
              <w:t xml:space="preserve">nvironment </w:t>
            </w:r>
            <w:r w:rsidR="008E736B">
              <w:rPr>
                <w:rFonts w:cs="Arial"/>
                <w:sz w:val="20"/>
              </w:rPr>
              <w:t>and</w:t>
            </w:r>
            <w:r w:rsidR="008E736B" w:rsidRPr="00520273">
              <w:rPr>
                <w:rFonts w:cs="Arial"/>
                <w:sz w:val="20"/>
              </w:rPr>
              <w:t xml:space="preserve"> </w:t>
            </w:r>
            <w:r w:rsidR="00F0636B">
              <w:rPr>
                <w:rFonts w:cs="Arial"/>
                <w:sz w:val="20"/>
              </w:rPr>
              <w:t>a</w:t>
            </w:r>
            <w:r w:rsidRPr="00520273">
              <w:rPr>
                <w:rFonts w:cs="Arial"/>
                <w:sz w:val="20"/>
              </w:rPr>
              <w:t xml:space="preserve">rchitecture; </w:t>
            </w:r>
            <w:r w:rsidR="008E736B">
              <w:rPr>
                <w:rFonts w:cs="Arial"/>
                <w:sz w:val="20"/>
              </w:rPr>
              <w:t>a</w:t>
            </w:r>
            <w:r w:rsidRPr="00520273">
              <w:rPr>
                <w:rFonts w:cs="Arial"/>
                <w:sz w:val="20"/>
              </w:rPr>
              <w:t>ccess to pleasant countryside</w:t>
            </w:r>
          </w:p>
        </w:tc>
        <w:tc>
          <w:tcPr>
            <w:tcW w:w="2693" w:type="dxa"/>
          </w:tcPr>
          <w:p w14:paraId="01501FDE" w14:textId="77777777" w:rsidR="00410E03" w:rsidRPr="00520273" w:rsidRDefault="00410E03" w:rsidP="00C80488">
            <w:pPr>
              <w:spacing w:before="40" w:after="40"/>
              <w:ind w:left="0"/>
              <w:rPr>
                <w:rFonts w:cs="Arial"/>
                <w:sz w:val="20"/>
              </w:rPr>
            </w:pPr>
            <w:r w:rsidRPr="00520273">
              <w:rPr>
                <w:rFonts w:cs="Arial"/>
                <w:sz w:val="20"/>
              </w:rPr>
              <w:t>98%</w:t>
            </w:r>
          </w:p>
        </w:tc>
        <w:tc>
          <w:tcPr>
            <w:tcW w:w="2694" w:type="dxa"/>
          </w:tcPr>
          <w:p w14:paraId="79E33667" w14:textId="77777777" w:rsidR="00410E03" w:rsidRPr="00520273" w:rsidRDefault="00410E03" w:rsidP="00C80488">
            <w:pPr>
              <w:spacing w:before="40" w:after="40"/>
              <w:ind w:left="0"/>
              <w:rPr>
                <w:rFonts w:cs="Arial"/>
                <w:sz w:val="20"/>
              </w:rPr>
            </w:pPr>
            <w:r w:rsidRPr="00520273">
              <w:rPr>
                <w:rFonts w:cs="Arial"/>
                <w:sz w:val="20"/>
              </w:rPr>
              <w:t>93% (Access to countryside)</w:t>
            </w:r>
          </w:p>
          <w:p w14:paraId="1CAAF473" w14:textId="77777777" w:rsidR="00410E03" w:rsidRPr="00520273" w:rsidRDefault="00410E03" w:rsidP="00C80488">
            <w:pPr>
              <w:spacing w:before="40" w:after="40"/>
              <w:ind w:left="0"/>
              <w:rPr>
                <w:rFonts w:cs="Arial"/>
                <w:sz w:val="20"/>
              </w:rPr>
            </w:pPr>
          </w:p>
        </w:tc>
      </w:tr>
      <w:tr w:rsidR="00410E03" w:rsidRPr="00520273" w14:paraId="16B33C19" w14:textId="77777777" w:rsidTr="00520273">
        <w:tc>
          <w:tcPr>
            <w:tcW w:w="2693" w:type="dxa"/>
          </w:tcPr>
          <w:p w14:paraId="2B1E72AA" w14:textId="77777777" w:rsidR="00410E03" w:rsidRPr="00520273" w:rsidRDefault="00410E03" w:rsidP="00C80488">
            <w:pPr>
              <w:spacing w:before="40" w:after="40"/>
              <w:ind w:left="0"/>
              <w:rPr>
                <w:rFonts w:cs="Arial"/>
                <w:sz w:val="20"/>
              </w:rPr>
            </w:pPr>
            <w:r w:rsidRPr="00520273">
              <w:rPr>
                <w:rFonts w:cs="Arial"/>
                <w:sz w:val="20"/>
              </w:rPr>
              <w:t>Good road, rail and air links</w:t>
            </w:r>
          </w:p>
        </w:tc>
        <w:tc>
          <w:tcPr>
            <w:tcW w:w="2693" w:type="dxa"/>
          </w:tcPr>
          <w:p w14:paraId="4A21BCD9" w14:textId="77777777" w:rsidR="00410E03" w:rsidRPr="00520273" w:rsidRDefault="00410E03" w:rsidP="00C80488">
            <w:pPr>
              <w:spacing w:before="40" w:after="40"/>
              <w:ind w:left="0"/>
              <w:rPr>
                <w:rFonts w:cs="Arial"/>
                <w:sz w:val="20"/>
              </w:rPr>
            </w:pPr>
            <w:r w:rsidRPr="00520273">
              <w:rPr>
                <w:rFonts w:cs="Arial"/>
                <w:sz w:val="20"/>
              </w:rPr>
              <w:t>84%</w:t>
            </w:r>
          </w:p>
        </w:tc>
        <w:tc>
          <w:tcPr>
            <w:tcW w:w="2694" w:type="dxa"/>
          </w:tcPr>
          <w:p w14:paraId="0B56A98D" w14:textId="707C0F3B" w:rsidR="00410E03" w:rsidRPr="00520273" w:rsidRDefault="00C10893" w:rsidP="00C80488">
            <w:pPr>
              <w:spacing w:before="40" w:after="40"/>
              <w:ind w:left="0"/>
              <w:rPr>
                <w:rFonts w:cs="Arial"/>
                <w:sz w:val="20"/>
              </w:rPr>
            </w:pPr>
            <w:r>
              <w:rPr>
                <w:rFonts w:cs="Arial"/>
                <w:sz w:val="20"/>
              </w:rPr>
              <w:t>–</w:t>
            </w:r>
          </w:p>
        </w:tc>
      </w:tr>
      <w:tr w:rsidR="00410E03" w:rsidRPr="00520273" w14:paraId="70DB3A83" w14:textId="77777777" w:rsidTr="00520273">
        <w:tc>
          <w:tcPr>
            <w:tcW w:w="2693" w:type="dxa"/>
          </w:tcPr>
          <w:p w14:paraId="7515558F" w14:textId="77777777" w:rsidR="00410E03" w:rsidRPr="00520273" w:rsidRDefault="00410E03" w:rsidP="00C80488">
            <w:pPr>
              <w:spacing w:before="40" w:after="40"/>
              <w:ind w:left="0"/>
              <w:rPr>
                <w:rFonts w:cs="Arial"/>
                <w:sz w:val="20"/>
              </w:rPr>
            </w:pPr>
            <w:r w:rsidRPr="00520273">
              <w:rPr>
                <w:rFonts w:cs="Arial"/>
                <w:sz w:val="20"/>
              </w:rPr>
              <w:t>Outdoor recreation and sporting facilities</w:t>
            </w:r>
          </w:p>
        </w:tc>
        <w:tc>
          <w:tcPr>
            <w:tcW w:w="2693" w:type="dxa"/>
          </w:tcPr>
          <w:p w14:paraId="4E803DEB" w14:textId="77777777" w:rsidR="00410E03" w:rsidRPr="00520273" w:rsidRDefault="00410E03" w:rsidP="00C80488">
            <w:pPr>
              <w:spacing w:before="40" w:after="40"/>
              <w:ind w:left="0"/>
              <w:rPr>
                <w:rFonts w:cs="Arial"/>
                <w:sz w:val="20"/>
              </w:rPr>
            </w:pPr>
            <w:r w:rsidRPr="00520273">
              <w:rPr>
                <w:rFonts w:cs="Arial"/>
                <w:sz w:val="20"/>
              </w:rPr>
              <w:t>81%</w:t>
            </w:r>
          </w:p>
        </w:tc>
        <w:tc>
          <w:tcPr>
            <w:tcW w:w="2694" w:type="dxa"/>
          </w:tcPr>
          <w:p w14:paraId="28D43AA9" w14:textId="62613E32" w:rsidR="00410E03" w:rsidRPr="00520273" w:rsidRDefault="00410E03" w:rsidP="00C80488">
            <w:pPr>
              <w:spacing w:before="40" w:after="40"/>
              <w:ind w:left="0"/>
              <w:rPr>
                <w:rFonts w:cs="Arial"/>
                <w:sz w:val="20"/>
              </w:rPr>
            </w:pPr>
            <w:r w:rsidRPr="00520273">
              <w:rPr>
                <w:rFonts w:cs="Arial"/>
                <w:sz w:val="20"/>
              </w:rPr>
              <w:t xml:space="preserve">54% (Participation in sports) 62% (Parks </w:t>
            </w:r>
            <w:r w:rsidR="00C10893">
              <w:rPr>
                <w:rFonts w:cs="Arial"/>
                <w:sz w:val="20"/>
              </w:rPr>
              <w:t>and</w:t>
            </w:r>
            <w:r w:rsidR="00C10893" w:rsidRPr="00520273">
              <w:rPr>
                <w:rFonts w:cs="Arial"/>
                <w:sz w:val="20"/>
              </w:rPr>
              <w:t xml:space="preserve"> </w:t>
            </w:r>
            <w:r w:rsidRPr="00520273">
              <w:rPr>
                <w:rFonts w:cs="Arial"/>
                <w:sz w:val="20"/>
              </w:rPr>
              <w:t>public gardens)</w:t>
            </w:r>
          </w:p>
        </w:tc>
      </w:tr>
      <w:tr w:rsidR="00410E03" w:rsidRPr="00520273" w14:paraId="6BF57C53" w14:textId="77777777" w:rsidTr="00520273">
        <w:tc>
          <w:tcPr>
            <w:tcW w:w="2693" w:type="dxa"/>
          </w:tcPr>
          <w:p w14:paraId="25609A9E" w14:textId="77777777" w:rsidR="00410E03" w:rsidRPr="00520273" w:rsidRDefault="00410E03" w:rsidP="00C80488">
            <w:pPr>
              <w:spacing w:before="40" w:after="40"/>
              <w:ind w:left="0"/>
              <w:rPr>
                <w:rFonts w:cs="Arial"/>
                <w:sz w:val="20"/>
              </w:rPr>
            </w:pPr>
            <w:r w:rsidRPr="00520273">
              <w:rPr>
                <w:rFonts w:cs="Arial"/>
                <w:sz w:val="20"/>
              </w:rPr>
              <w:t>Wide choice of housing</w:t>
            </w:r>
          </w:p>
        </w:tc>
        <w:tc>
          <w:tcPr>
            <w:tcW w:w="2693" w:type="dxa"/>
          </w:tcPr>
          <w:p w14:paraId="06186FF3" w14:textId="77777777" w:rsidR="00410E03" w:rsidRPr="00520273" w:rsidRDefault="00410E03" w:rsidP="00C80488">
            <w:pPr>
              <w:spacing w:before="40" w:after="40"/>
              <w:ind w:left="0"/>
              <w:rPr>
                <w:rFonts w:cs="Arial"/>
                <w:sz w:val="20"/>
              </w:rPr>
            </w:pPr>
            <w:r w:rsidRPr="00520273">
              <w:rPr>
                <w:rFonts w:cs="Arial"/>
                <w:sz w:val="20"/>
              </w:rPr>
              <w:t>80%</w:t>
            </w:r>
          </w:p>
        </w:tc>
        <w:tc>
          <w:tcPr>
            <w:tcW w:w="2694" w:type="dxa"/>
          </w:tcPr>
          <w:p w14:paraId="728B7ADE" w14:textId="479BF66E" w:rsidR="00410E03" w:rsidRPr="00520273" w:rsidRDefault="00C10893" w:rsidP="00C80488">
            <w:pPr>
              <w:spacing w:before="40" w:after="40"/>
              <w:ind w:left="0"/>
              <w:rPr>
                <w:rFonts w:cs="Arial"/>
                <w:sz w:val="20"/>
              </w:rPr>
            </w:pPr>
            <w:r>
              <w:rPr>
                <w:rFonts w:cs="Arial"/>
                <w:sz w:val="20"/>
              </w:rPr>
              <w:t>–</w:t>
            </w:r>
          </w:p>
        </w:tc>
      </w:tr>
      <w:tr w:rsidR="00410E03" w:rsidRPr="00520273" w14:paraId="12EF1625" w14:textId="77777777" w:rsidTr="00520273">
        <w:tc>
          <w:tcPr>
            <w:tcW w:w="2693" w:type="dxa"/>
          </w:tcPr>
          <w:p w14:paraId="43AF68B9" w14:textId="77777777" w:rsidR="00410E03" w:rsidRPr="00520273" w:rsidRDefault="00410E03" w:rsidP="00C80488">
            <w:pPr>
              <w:spacing w:before="40" w:after="40"/>
              <w:ind w:left="0"/>
              <w:rPr>
                <w:rFonts w:cs="Arial"/>
                <w:sz w:val="20"/>
              </w:rPr>
            </w:pPr>
            <w:r w:rsidRPr="00520273">
              <w:rPr>
                <w:rFonts w:cs="Arial"/>
                <w:sz w:val="20"/>
              </w:rPr>
              <w:t>Good choice of schools</w:t>
            </w:r>
          </w:p>
        </w:tc>
        <w:tc>
          <w:tcPr>
            <w:tcW w:w="2693" w:type="dxa"/>
          </w:tcPr>
          <w:p w14:paraId="3B5162B0" w14:textId="77777777" w:rsidR="00410E03" w:rsidRPr="00520273" w:rsidRDefault="00410E03" w:rsidP="00C80488">
            <w:pPr>
              <w:spacing w:before="40" w:after="40"/>
              <w:ind w:left="0"/>
              <w:rPr>
                <w:rFonts w:cs="Arial"/>
                <w:sz w:val="20"/>
              </w:rPr>
            </w:pPr>
            <w:r w:rsidRPr="00520273">
              <w:rPr>
                <w:rFonts w:cs="Arial"/>
                <w:sz w:val="20"/>
              </w:rPr>
              <w:t>76%</w:t>
            </w:r>
          </w:p>
        </w:tc>
        <w:tc>
          <w:tcPr>
            <w:tcW w:w="2694" w:type="dxa"/>
          </w:tcPr>
          <w:p w14:paraId="3C43DFD7" w14:textId="4549B3E0" w:rsidR="00410E03" w:rsidRPr="00520273" w:rsidRDefault="00C10893" w:rsidP="00C80488">
            <w:pPr>
              <w:spacing w:before="40" w:after="40"/>
              <w:ind w:left="0"/>
              <w:rPr>
                <w:rFonts w:cs="Arial"/>
                <w:sz w:val="20"/>
              </w:rPr>
            </w:pPr>
            <w:r>
              <w:rPr>
                <w:rFonts w:cs="Arial"/>
                <w:sz w:val="20"/>
              </w:rPr>
              <w:t>–</w:t>
            </w:r>
          </w:p>
        </w:tc>
      </w:tr>
      <w:tr w:rsidR="00410E03" w:rsidRPr="00520273" w14:paraId="78421C1D" w14:textId="77777777" w:rsidTr="00520273">
        <w:tc>
          <w:tcPr>
            <w:tcW w:w="2693" w:type="dxa"/>
          </w:tcPr>
          <w:p w14:paraId="79315783" w14:textId="77777777" w:rsidR="00410E03" w:rsidRPr="00520273" w:rsidRDefault="00410E03" w:rsidP="00C80488">
            <w:pPr>
              <w:spacing w:before="40" w:after="40"/>
              <w:ind w:left="0"/>
              <w:rPr>
                <w:rFonts w:cs="Arial"/>
                <w:sz w:val="20"/>
              </w:rPr>
            </w:pPr>
            <w:r w:rsidRPr="00520273">
              <w:rPr>
                <w:rFonts w:cs="Arial"/>
                <w:sz w:val="20"/>
              </w:rPr>
              <w:t>Museums, theatres, concerts and other cultural facilities</w:t>
            </w:r>
          </w:p>
        </w:tc>
        <w:tc>
          <w:tcPr>
            <w:tcW w:w="2693" w:type="dxa"/>
          </w:tcPr>
          <w:p w14:paraId="74F74721" w14:textId="77777777" w:rsidR="00410E03" w:rsidRPr="00520273" w:rsidRDefault="00410E03" w:rsidP="00C80488">
            <w:pPr>
              <w:spacing w:before="40" w:after="40"/>
              <w:ind w:left="0"/>
              <w:rPr>
                <w:rFonts w:cs="Arial"/>
                <w:sz w:val="20"/>
              </w:rPr>
            </w:pPr>
            <w:r w:rsidRPr="00520273">
              <w:rPr>
                <w:rFonts w:cs="Arial"/>
                <w:sz w:val="20"/>
              </w:rPr>
              <w:t>74%</w:t>
            </w:r>
          </w:p>
        </w:tc>
        <w:tc>
          <w:tcPr>
            <w:tcW w:w="2694" w:type="dxa"/>
          </w:tcPr>
          <w:p w14:paraId="4D70B7A5" w14:textId="77777777" w:rsidR="00410E03" w:rsidRPr="00520273" w:rsidRDefault="00410E03" w:rsidP="00C80488">
            <w:pPr>
              <w:spacing w:before="40" w:after="40"/>
              <w:ind w:left="0"/>
              <w:rPr>
                <w:rFonts w:cs="Arial"/>
                <w:sz w:val="20"/>
              </w:rPr>
            </w:pPr>
            <w:r w:rsidRPr="00520273">
              <w:rPr>
                <w:rFonts w:cs="Arial"/>
                <w:sz w:val="20"/>
              </w:rPr>
              <w:t>69%</w:t>
            </w:r>
          </w:p>
        </w:tc>
      </w:tr>
      <w:tr w:rsidR="00410E03" w:rsidRPr="00520273" w14:paraId="7B0A97A8" w14:textId="77777777" w:rsidTr="00520273">
        <w:tc>
          <w:tcPr>
            <w:tcW w:w="2693" w:type="dxa"/>
          </w:tcPr>
          <w:p w14:paraId="1B3D8950" w14:textId="77777777" w:rsidR="00410E03" w:rsidRPr="00520273" w:rsidRDefault="00410E03" w:rsidP="00C80488">
            <w:pPr>
              <w:spacing w:before="40" w:after="40"/>
              <w:ind w:left="0"/>
              <w:rPr>
                <w:rFonts w:cs="Arial"/>
                <w:sz w:val="20"/>
              </w:rPr>
            </w:pPr>
            <w:r w:rsidRPr="00520273">
              <w:rPr>
                <w:rFonts w:cs="Arial"/>
                <w:sz w:val="20"/>
              </w:rPr>
              <w:t>Fine old buildings</w:t>
            </w:r>
          </w:p>
        </w:tc>
        <w:tc>
          <w:tcPr>
            <w:tcW w:w="2693" w:type="dxa"/>
          </w:tcPr>
          <w:p w14:paraId="22C97072" w14:textId="37867104" w:rsidR="00410E03" w:rsidRPr="00520273" w:rsidRDefault="00C10893" w:rsidP="00C80488">
            <w:pPr>
              <w:spacing w:before="40" w:after="40"/>
              <w:ind w:left="0"/>
              <w:rPr>
                <w:rFonts w:cs="Arial"/>
                <w:sz w:val="20"/>
              </w:rPr>
            </w:pPr>
            <w:r>
              <w:rPr>
                <w:rFonts w:cs="Arial"/>
                <w:sz w:val="20"/>
              </w:rPr>
              <w:t>–</w:t>
            </w:r>
          </w:p>
        </w:tc>
        <w:tc>
          <w:tcPr>
            <w:tcW w:w="2694" w:type="dxa"/>
          </w:tcPr>
          <w:p w14:paraId="24EB899A" w14:textId="77777777" w:rsidR="00410E03" w:rsidRPr="00520273" w:rsidRDefault="00410E03" w:rsidP="00C80488">
            <w:pPr>
              <w:spacing w:before="40" w:after="40"/>
              <w:ind w:left="0"/>
              <w:rPr>
                <w:rFonts w:cs="Arial"/>
                <w:sz w:val="20"/>
              </w:rPr>
            </w:pPr>
            <w:r w:rsidRPr="00520273">
              <w:rPr>
                <w:rFonts w:cs="Arial"/>
                <w:sz w:val="20"/>
              </w:rPr>
              <w:t>69%</w:t>
            </w:r>
          </w:p>
        </w:tc>
      </w:tr>
      <w:tr w:rsidR="00410E03" w:rsidRPr="00520273" w14:paraId="182E9839" w14:textId="77777777" w:rsidTr="00520273">
        <w:tc>
          <w:tcPr>
            <w:tcW w:w="2693" w:type="dxa"/>
          </w:tcPr>
          <w:p w14:paraId="60690981" w14:textId="77777777" w:rsidR="00410E03" w:rsidRPr="00520273" w:rsidRDefault="00410E03" w:rsidP="00C80488">
            <w:pPr>
              <w:spacing w:before="40" w:after="40"/>
              <w:ind w:left="0"/>
              <w:rPr>
                <w:rFonts w:cs="Arial"/>
                <w:sz w:val="20"/>
              </w:rPr>
            </w:pPr>
            <w:r w:rsidRPr="00520273">
              <w:rPr>
                <w:rFonts w:cs="Arial"/>
                <w:sz w:val="20"/>
              </w:rPr>
              <w:t>Pubs, clubs and nightlife</w:t>
            </w:r>
          </w:p>
        </w:tc>
        <w:tc>
          <w:tcPr>
            <w:tcW w:w="2693" w:type="dxa"/>
          </w:tcPr>
          <w:p w14:paraId="389E9545" w14:textId="3BAA7BB9" w:rsidR="00410E03" w:rsidRPr="00520273" w:rsidRDefault="00C10893" w:rsidP="00C80488">
            <w:pPr>
              <w:spacing w:before="40" w:after="40"/>
              <w:ind w:left="0"/>
              <w:rPr>
                <w:rFonts w:cs="Arial"/>
                <w:sz w:val="20"/>
              </w:rPr>
            </w:pPr>
            <w:r>
              <w:rPr>
                <w:rFonts w:cs="Arial"/>
                <w:sz w:val="20"/>
              </w:rPr>
              <w:t>–</w:t>
            </w:r>
          </w:p>
        </w:tc>
        <w:tc>
          <w:tcPr>
            <w:tcW w:w="2694" w:type="dxa"/>
          </w:tcPr>
          <w:p w14:paraId="36D15820" w14:textId="77777777" w:rsidR="00410E03" w:rsidRPr="00520273" w:rsidRDefault="00410E03" w:rsidP="00C80488">
            <w:pPr>
              <w:spacing w:before="40" w:after="40"/>
              <w:ind w:left="0"/>
              <w:rPr>
                <w:rFonts w:cs="Arial"/>
                <w:sz w:val="20"/>
              </w:rPr>
            </w:pPr>
            <w:r w:rsidRPr="00520273">
              <w:rPr>
                <w:rFonts w:cs="Arial"/>
                <w:sz w:val="20"/>
              </w:rPr>
              <w:t>50%</w:t>
            </w:r>
          </w:p>
        </w:tc>
      </w:tr>
    </w:tbl>
    <w:p w14:paraId="4E9278F4" w14:textId="5795CDC3" w:rsidR="00410E03" w:rsidRDefault="008E736B" w:rsidP="00520273">
      <w:pPr>
        <w:rPr>
          <w:rFonts w:eastAsia="Calibri" w:cs="Arial"/>
          <w:sz w:val="18"/>
        </w:rPr>
      </w:pPr>
      <w:r w:rsidRPr="00C80488">
        <w:rPr>
          <w:rFonts w:eastAsia="Calibri" w:cs="Arial"/>
          <w:sz w:val="18"/>
        </w:rPr>
        <w:t xml:space="preserve">Source: </w:t>
      </w:r>
      <w:r w:rsidR="00F0636B">
        <w:rPr>
          <w:rFonts w:eastAsia="Calibri" w:cs="Arial"/>
          <w:sz w:val="18"/>
        </w:rPr>
        <w:t>Myerscough (1988)</w:t>
      </w:r>
    </w:p>
    <w:p w14:paraId="29038FF4" w14:textId="77777777" w:rsidR="00F0636B" w:rsidRPr="00C80488" w:rsidRDefault="00F0636B" w:rsidP="00520273">
      <w:pPr>
        <w:rPr>
          <w:rFonts w:eastAsia="Calibri" w:cs="Arial"/>
          <w:sz w:val="18"/>
        </w:rPr>
      </w:pPr>
    </w:p>
    <w:p w14:paraId="643715F6" w14:textId="2AB8DA45" w:rsidR="00410E03" w:rsidRDefault="00410E03" w:rsidP="00520273">
      <w:r w:rsidRPr="00C32502">
        <w:t xml:space="preserve">Whilst natural and built </w:t>
      </w:r>
      <w:r>
        <w:t>e</w:t>
      </w:r>
      <w:r w:rsidRPr="00C32502">
        <w:t>nvironmental quality</w:t>
      </w:r>
      <w:r>
        <w:t xml:space="preserve"> were valued fairly equally in each of these three regions, middle managers in Glasgow (79%) and Merseyside (68%) rated cultural facilities higher than those in Ipswich (60%), both as a location-decision and resident-user factor, with spectator sports rated low as a valued amenity (only 10% in Ipswich, but 39% in Merseyside). Prior reputation and supply-led factors would be expected to play an important part in these assessments and in explaining these </w:t>
      </w:r>
      <w:r w:rsidRPr="00795483">
        <w:t>variations, including the prominence given to investment in C</w:t>
      </w:r>
      <w:r w:rsidR="00D27C1E">
        <w:t>S&amp;H</w:t>
      </w:r>
      <w:r w:rsidRPr="00795483">
        <w:t xml:space="preserve"> assets</w:t>
      </w:r>
      <w:r w:rsidR="00D27C1E">
        <w:t>:</w:t>
      </w:r>
      <w:r w:rsidR="00D27C1E" w:rsidRPr="00795483">
        <w:t xml:space="preserve"> </w:t>
      </w:r>
      <w:r w:rsidR="00555448">
        <w:t>f</w:t>
      </w:r>
      <w:r w:rsidR="00555448" w:rsidRPr="00795483">
        <w:t>or example</w:t>
      </w:r>
      <w:r w:rsidR="00555448">
        <w:t>, Glasgow’s ‘Renaissance’ through the ‘</w:t>
      </w:r>
      <w:r w:rsidR="00555448" w:rsidRPr="00795483">
        <w:t>Glasgow</w:t>
      </w:r>
      <w:r w:rsidR="00555448">
        <w:t>’s M</w:t>
      </w:r>
      <w:r w:rsidR="00555448" w:rsidRPr="00795483">
        <w:t>iles Better</w:t>
      </w:r>
      <w:r w:rsidR="00555448">
        <w:t>’</w:t>
      </w:r>
      <w:r w:rsidR="00555448" w:rsidRPr="00795483">
        <w:t xml:space="preserve"> </w:t>
      </w:r>
      <w:r w:rsidR="00555448">
        <w:t>campaign (</w:t>
      </w:r>
      <w:r w:rsidR="00555448" w:rsidRPr="00795483">
        <w:t>1983</w:t>
      </w:r>
      <w:r w:rsidR="00555448">
        <w:t>)</w:t>
      </w:r>
      <w:r w:rsidR="00555448" w:rsidRPr="00795483">
        <w:t>,</w:t>
      </w:r>
      <w:r w:rsidR="00555448">
        <w:rPr>
          <w:rFonts w:ascii="Calibri" w:hAnsi="Calibri" w:cs="Arial"/>
        </w:rPr>
        <w:t xml:space="preserve"> </w:t>
      </w:r>
      <w:r w:rsidR="00555448">
        <w:t>1988 Garden Festival and European City of Culture 1990</w:t>
      </w:r>
      <w:r>
        <w:t>. More recently,</w:t>
      </w:r>
      <w:r w:rsidRPr="008B7D88">
        <w:t xml:space="preserve"> Liverpool</w:t>
      </w:r>
      <w:r>
        <w:t>’s</w:t>
      </w:r>
      <w:r w:rsidRPr="008B7D88">
        <w:t xml:space="preserve"> ‘Europ</w:t>
      </w:r>
      <w:r>
        <w:t>ean Capital of Culture’</w:t>
      </w:r>
      <w:r w:rsidR="006C0656">
        <w:t xml:space="preserve"> (ECoC) award</w:t>
      </w:r>
      <w:r>
        <w:t xml:space="preserve"> in 2008 is credited with reputational advantage through improvements in its cultural and urban amenities (including the Liverpool One shopping centre). B</w:t>
      </w:r>
      <w:r w:rsidRPr="008B7D88">
        <w:t xml:space="preserve">oth </w:t>
      </w:r>
      <w:r>
        <w:t xml:space="preserve">of these cities have been </w:t>
      </w:r>
      <w:r w:rsidRPr="008B7D88">
        <w:t>recipients of sustained capital investment through national and European regional development funding (</w:t>
      </w:r>
      <w:r>
        <w:t>e.g. £12m to North West and £5m to Glasgow, 1990</w:t>
      </w:r>
      <w:r w:rsidR="00D27C1E">
        <w:t>–</w:t>
      </w:r>
      <w:r>
        <w:t xml:space="preserve">6 </w:t>
      </w:r>
      <w:r w:rsidR="00D27C1E">
        <w:t xml:space="preserve">– </w:t>
      </w:r>
      <w:r w:rsidRPr="008B7D88">
        <w:t xml:space="preserve">Evans &amp; Foord, 2000). </w:t>
      </w:r>
    </w:p>
    <w:p w14:paraId="6222DA05" w14:textId="6C599D11" w:rsidR="00410E03" w:rsidRPr="006C0656" w:rsidRDefault="00410E03" w:rsidP="00520273">
      <w:r w:rsidRPr="008B7D88">
        <w:t xml:space="preserve">As an indication of the influence of a change in supply of cultural facilities, between 2005 and 2009 attendance at museums </w:t>
      </w:r>
      <w:r w:rsidR="00D27C1E">
        <w:t>and</w:t>
      </w:r>
      <w:r w:rsidR="00D27C1E" w:rsidRPr="008B7D88">
        <w:t xml:space="preserve"> </w:t>
      </w:r>
      <w:r w:rsidRPr="008B7D88">
        <w:t>galleries in the North West region increased from 40% to 47%</w:t>
      </w:r>
      <w:r w:rsidR="00D27C1E">
        <w:t>. This was</w:t>
      </w:r>
      <w:r w:rsidRPr="008B7D88">
        <w:t xml:space="preserve"> attributed to the build-up and effect of Liverpool’s European Capital of Culture in 2008, although attendan</w:t>
      </w:r>
      <w:r>
        <w:t>ce slipped back to 45% in 2009 (</w:t>
      </w:r>
      <w:r w:rsidRPr="00C80488">
        <w:t>Taking Part</w:t>
      </w:r>
      <w:r w:rsidRPr="008B7D88">
        <w:t xml:space="preserve">, DCMS 2010). </w:t>
      </w:r>
      <w:r>
        <w:t xml:space="preserve">In an extensive </w:t>
      </w:r>
      <w:r w:rsidR="006C0656">
        <w:t xml:space="preserve">impact study </w:t>
      </w:r>
      <w:r>
        <w:t>of Liverpool’08, secondary analysis of visitor data was supplemented by profiling visitors</w:t>
      </w:r>
      <w:r w:rsidR="006C0656">
        <w:t>, and data</w:t>
      </w:r>
      <w:r>
        <w:t xml:space="preserve"> was then modelled to determine additionality. The study found that 9.7m additional visits (35% of all </w:t>
      </w:r>
      <w:r w:rsidR="006C0656">
        <w:t xml:space="preserve">visits </w:t>
      </w:r>
      <w:r>
        <w:t>to the city in 2008) were attributed to the ECOC</w:t>
      </w:r>
      <w:r w:rsidR="006C0656">
        <w:t xml:space="preserve"> award</w:t>
      </w:r>
      <w:r>
        <w:t xml:space="preserve">, generating an additional economic impact of c£754m </w:t>
      </w:r>
      <w:r w:rsidRPr="00E32BC2">
        <w:t xml:space="preserve">across the region, and supporting 14,888 FTE equivalent jobs. </w:t>
      </w:r>
      <w:r w:rsidR="00AD6B47">
        <w:t>Placemaking</w:t>
      </w:r>
      <w:r w:rsidRPr="00E32BC2">
        <w:t xml:space="preserve"> effects were also assessed through media analysis and surveys of local community perceptions (Impact 08, 2010). </w:t>
      </w:r>
      <w:r>
        <w:t xml:space="preserve">Here, </w:t>
      </w:r>
      <w:r w:rsidRPr="00E32BC2">
        <w:t xml:space="preserve">most people did not feel that </w:t>
      </w:r>
      <w:r w:rsidR="006C0656">
        <w:t xml:space="preserve">the </w:t>
      </w:r>
      <w:r w:rsidRPr="00E32BC2">
        <w:t xml:space="preserve">ECoC </w:t>
      </w:r>
      <w:r w:rsidR="006C0656">
        <w:t xml:space="preserve">award </w:t>
      </w:r>
      <w:r w:rsidRPr="00E32BC2">
        <w:t>would benefit either them as indi</w:t>
      </w:r>
      <w:r>
        <w:t>viduals or their neighbourhoods</w:t>
      </w:r>
      <w:r w:rsidRPr="00E32BC2">
        <w:t xml:space="preserve"> (Impacts08</w:t>
      </w:r>
      <w:r>
        <w:t>,</w:t>
      </w:r>
      <w:r w:rsidRPr="00E32BC2">
        <w:t xml:space="preserve"> 2009</w:t>
      </w:r>
      <w:r>
        <w:t xml:space="preserve">: 12). </w:t>
      </w:r>
      <w:r w:rsidRPr="00E32BC2">
        <w:t>Businesses in the city centre (less so outs</w:t>
      </w:r>
      <w:r>
        <w:t>ide of the area) saw</w:t>
      </w:r>
      <w:r w:rsidRPr="00E32BC2">
        <w:t xml:space="preserve"> a growth in sales due to the </w:t>
      </w:r>
      <w:r>
        <w:t>E</w:t>
      </w:r>
      <w:r w:rsidRPr="00E32BC2">
        <w:t xml:space="preserve">CoC award, although less </w:t>
      </w:r>
      <w:r>
        <w:t xml:space="preserve">so </w:t>
      </w:r>
      <w:r w:rsidRPr="00E32BC2">
        <w:t xml:space="preserve">in Merseyside than in the region as a whole. However </w:t>
      </w:r>
      <w:r>
        <w:t xml:space="preserve">the majority of firms </w:t>
      </w:r>
      <w:r w:rsidRPr="00E32BC2">
        <w:t>did not anticipate winning future business from the event, which was not seen as the critical factor in the city’s economic recovery</w:t>
      </w:r>
      <w:r w:rsidR="006C0656">
        <w:t xml:space="preserve"> (</w:t>
      </w:r>
      <w:r w:rsidRPr="00E32BC2">
        <w:t xml:space="preserve">although a source of ‘great pride and </w:t>
      </w:r>
      <w:r w:rsidRPr="00E32BC2">
        <w:lastRenderedPageBreak/>
        <w:t>enthusiasm’</w:t>
      </w:r>
      <w:r w:rsidR="006C0656">
        <w:t>)</w:t>
      </w:r>
      <w:r w:rsidR="006C0656" w:rsidRPr="00E32BC2">
        <w:t xml:space="preserve"> </w:t>
      </w:r>
      <w:r w:rsidR="006C0656">
        <w:t>which was,</w:t>
      </w:r>
      <w:r w:rsidR="006C0656" w:rsidRPr="00E32BC2">
        <w:t xml:space="preserve"> </w:t>
      </w:r>
      <w:r w:rsidRPr="00E32BC2">
        <w:t>rather, the major infrastructure investments such as the new Arena and Convention Centre (Impacts08</w:t>
      </w:r>
      <w:r>
        <w:t>,</w:t>
      </w:r>
      <w:r w:rsidRPr="00E32BC2">
        <w:t xml:space="preserve"> 2008).</w:t>
      </w:r>
      <w:r>
        <w:t xml:space="preserve"> </w:t>
      </w:r>
      <w:r w:rsidRPr="006751CE">
        <w:t>These impact findings highlight the importance of defining the impact area and of identifying key ‘agents of change’ which may include CS&amp;H investment (particularly permanent/ongoing vs. time-limited event based) but will also include other investments e.g. retail, transport, public realm.</w:t>
      </w:r>
      <w:r w:rsidRPr="006C0656">
        <w:t xml:space="preserve"> </w:t>
      </w:r>
    </w:p>
    <w:p w14:paraId="63778E0E" w14:textId="6F6D4B55" w:rsidR="00410E03" w:rsidRDefault="00410E03" w:rsidP="00131F29">
      <w:r>
        <w:t xml:space="preserve">The impact of the regeneration of </w:t>
      </w:r>
      <w:r w:rsidRPr="006751CE">
        <w:t>historic assets on business location</w:t>
      </w:r>
      <w:r>
        <w:t xml:space="preserve"> decisions was also evaluated in a study of five UK case study areas. The study found that 25% of businesses surveyed agreed that the heritage setting was an important factor in in the decision to locate there (particularly smaller, independent firms), ranking this equally with road access, but below environmental quality, availability of premises, labour and proximity to customers and suppliers (Amion/Locum, 2010 and see GHK, 2010). It was estimated in 2011 there were 138,000 UK businesses located in listed buildings, accounting for £4.7</w:t>
      </w:r>
      <w:r w:rsidR="0029154E">
        <w:t>b</w:t>
      </w:r>
      <w:r>
        <w:t>n in economic output and 1.4</w:t>
      </w:r>
      <w:r w:rsidR="0029154E">
        <w:t>m</w:t>
      </w:r>
      <w:r>
        <w:t xml:space="preserve"> jobs </w:t>
      </w:r>
      <w:r w:rsidR="0029154E">
        <w:t xml:space="preserve">– </w:t>
      </w:r>
      <w:r>
        <w:t>3.5% of UK economic output and 5% of all UK employment (Oxford Economics, 2013).</w:t>
      </w:r>
    </w:p>
    <w:p w14:paraId="76333E49" w14:textId="7DAC6EBC" w:rsidR="00410E03" w:rsidRPr="00A81066" w:rsidRDefault="00410E03" w:rsidP="00520273">
      <w:pPr>
        <w:rPr>
          <w:rFonts w:eastAsiaTheme="minorHAnsi"/>
        </w:rPr>
      </w:pPr>
      <w:r>
        <w:rPr>
          <w:rFonts w:eastAsiaTheme="minorHAnsi"/>
        </w:rPr>
        <w:t xml:space="preserve">A novel study on the link between cultural amenities, </w:t>
      </w:r>
      <w:r w:rsidR="0098561B">
        <w:rPr>
          <w:rFonts w:eastAsiaTheme="minorHAnsi"/>
        </w:rPr>
        <w:t>high-</w:t>
      </w:r>
      <w:r>
        <w:rPr>
          <w:rFonts w:eastAsiaTheme="minorHAnsi"/>
        </w:rPr>
        <w:t>skilled workers and regional economic growth has looked at baroque</w:t>
      </w:r>
      <w:r w:rsidR="0098561B">
        <w:rPr>
          <w:rFonts w:eastAsiaTheme="minorHAnsi"/>
        </w:rPr>
        <w:t xml:space="preserve"> (pre-1800s)</w:t>
      </w:r>
      <w:r>
        <w:rPr>
          <w:rFonts w:eastAsiaTheme="minorHAnsi"/>
        </w:rPr>
        <w:t xml:space="preserve"> opera houses in Germany (Falck et al 2011). This modelled spatial/distance relationships</w:t>
      </w:r>
      <w:r w:rsidR="0098561B">
        <w:rPr>
          <w:rFonts w:eastAsiaTheme="minorHAnsi"/>
        </w:rPr>
        <w:t>,</w:t>
      </w:r>
      <w:r>
        <w:rPr>
          <w:rFonts w:eastAsiaTheme="minorHAnsi"/>
        </w:rPr>
        <w:t xml:space="preserve"> factoring a range of counterfactual (without opera houses), amenity and skills/growth data, including education level, GDP/employee and accessibility indices. The </w:t>
      </w:r>
      <w:r w:rsidRPr="00A81066">
        <w:rPr>
          <w:rFonts w:eastAsiaTheme="minorHAnsi"/>
        </w:rPr>
        <w:t xml:space="preserve">results show a correlation between regions with high human-capital employees and those with a high level of cultural amenities, compared with those with lower cultural amenities. Translating this in terms of economic growth, an increase in higher education employees by one standard deviation increases average growth of regional GDP/employee by 1% to 2%. The federal German system supports a more even distribution of cultural facilities than in the UK, with higher levels of participation as a result (Brook, 2011). As Glaeser </w:t>
      </w:r>
      <w:r>
        <w:rPr>
          <w:rFonts w:eastAsiaTheme="minorHAnsi"/>
        </w:rPr>
        <w:t xml:space="preserve">also </w:t>
      </w:r>
      <w:r w:rsidRPr="00A81066">
        <w:rPr>
          <w:rFonts w:eastAsiaTheme="minorHAnsi"/>
        </w:rPr>
        <w:t xml:space="preserve">concluded </w:t>
      </w:r>
      <w:r>
        <w:rPr>
          <w:rFonts w:eastAsiaTheme="minorHAnsi"/>
        </w:rPr>
        <w:t xml:space="preserve">from his econometric study of skills and regional growth, </w:t>
      </w:r>
      <w:r w:rsidRPr="00A81066">
        <w:rPr>
          <w:rFonts w:eastAsiaTheme="minorHAnsi"/>
        </w:rPr>
        <w:t>city growth responds to f</w:t>
      </w:r>
      <w:r>
        <w:rPr>
          <w:rFonts w:eastAsiaTheme="minorHAnsi"/>
        </w:rPr>
        <w:t xml:space="preserve">aster improvement in amenities, which skilled residents </w:t>
      </w:r>
      <w:r w:rsidRPr="00A81066">
        <w:rPr>
          <w:rFonts w:eastAsiaTheme="minorHAnsi"/>
        </w:rPr>
        <w:t xml:space="preserve">induce through their demand as consumers and </w:t>
      </w:r>
      <w:r>
        <w:rPr>
          <w:rFonts w:eastAsiaTheme="minorHAnsi"/>
        </w:rPr>
        <w:t xml:space="preserve">as </w:t>
      </w:r>
      <w:r w:rsidRPr="00A81066">
        <w:rPr>
          <w:rFonts w:eastAsiaTheme="minorHAnsi"/>
        </w:rPr>
        <w:t>voters</w:t>
      </w:r>
      <w:r>
        <w:rPr>
          <w:rFonts w:eastAsiaTheme="minorHAnsi"/>
        </w:rPr>
        <w:t xml:space="preserve"> </w:t>
      </w:r>
    </w:p>
    <w:p w14:paraId="6223CF7E" w14:textId="20DC3E2F" w:rsidR="00410E03" w:rsidRDefault="00410E03" w:rsidP="00520273">
      <w:pPr>
        <w:rPr>
          <w:rFonts w:eastAsiaTheme="minorHAnsi"/>
        </w:rPr>
      </w:pPr>
      <w:r w:rsidRPr="00D95163">
        <w:rPr>
          <w:rFonts w:eastAsiaTheme="minorHAnsi"/>
          <w:b/>
        </w:rPr>
        <w:t xml:space="preserve">The extent to which clusters of cultural amenities attract and support employees and entrepreneurs who are key to economic growth and innovation warrants further investigation, given the above evidence of the importance of place quality and particular cultural facilities </w:t>
      </w:r>
      <w:r w:rsidRPr="00D95163">
        <w:rPr>
          <w:rFonts w:eastAsiaTheme="minorHAnsi"/>
        </w:rPr>
        <w:t xml:space="preserve">(see </w:t>
      </w:r>
      <w:r>
        <w:rPr>
          <w:rFonts w:eastAsiaTheme="minorHAnsi"/>
        </w:rPr>
        <w:t xml:space="preserve">Bakhshi et al, 2013 </w:t>
      </w:r>
      <w:r w:rsidR="0098561B">
        <w:rPr>
          <w:rFonts w:eastAsiaTheme="minorHAnsi"/>
        </w:rPr>
        <w:t>– discussed</w:t>
      </w:r>
      <w:r w:rsidR="0098561B" w:rsidRPr="00E427C2">
        <w:rPr>
          <w:rFonts w:eastAsiaTheme="minorHAnsi"/>
        </w:rPr>
        <w:t xml:space="preserve"> </w:t>
      </w:r>
      <w:r w:rsidRPr="00E427C2">
        <w:rPr>
          <w:rFonts w:eastAsiaTheme="minorHAnsi"/>
        </w:rPr>
        <w:t>below).</w:t>
      </w:r>
    </w:p>
    <w:p w14:paraId="1B6922AF" w14:textId="32A66947" w:rsidR="00410E03" w:rsidRPr="00C22D20" w:rsidRDefault="00410E03" w:rsidP="00520273">
      <w:pPr>
        <w:pStyle w:val="Heading3Numbered"/>
      </w:pPr>
      <w:bookmarkStart w:id="92" w:name="_Toc467569623"/>
      <w:r w:rsidRPr="00C22D20">
        <w:t>Creative Cit</w:t>
      </w:r>
      <w:r>
        <w:t>i</w:t>
      </w:r>
      <w:r w:rsidRPr="00C22D20">
        <w:t>es and Spaces</w:t>
      </w:r>
      <w:bookmarkEnd w:id="92"/>
    </w:p>
    <w:p w14:paraId="2B6446FA" w14:textId="3C4A50C4" w:rsidR="00410E03" w:rsidRDefault="00410E03" w:rsidP="00520273">
      <w:pPr>
        <w:rPr>
          <w:rFonts w:eastAsiaTheme="minorHAnsi"/>
          <w:b/>
        </w:rPr>
      </w:pPr>
      <w:r w:rsidRPr="008B7D88">
        <w:t xml:space="preserve">The importance of urban amenities, access to nature and historic </w:t>
      </w:r>
      <w:r>
        <w:t xml:space="preserve">building </w:t>
      </w:r>
      <w:r w:rsidRPr="008B7D88">
        <w:t xml:space="preserve">character was </w:t>
      </w:r>
      <w:r>
        <w:t>also stressed in a D</w:t>
      </w:r>
      <w:r w:rsidRPr="008B7D88">
        <w:t xml:space="preserve">utch national study of </w:t>
      </w:r>
      <w:r w:rsidR="00462A16" w:rsidRPr="00462A16">
        <w:t>Creative Class</w:t>
      </w:r>
      <w:r w:rsidR="00462A16" w:rsidRPr="008B7D88">
        <w:t xml:space="preserve"> </w:t>
      </w:r>
      <w:r w:rsidRPr="008B7D88">
        <w:t xml:space="preserve">concentration and economic growth. Marlet and Woerkens </w:t>
      </w:r>
      <w:r>
        <w:t>(</w:t>
      </w:r>
      <w:r w:rsidRPr="008B7D88">
        <w:t>2005</w:t>
      </w:r>
      <w:r>
        <w:t>)</w:t>
      </w:r>
      <w:r w:rsidRPr="008B7D88">
        <w:t xml:space="preserve"> found that Florida’s </w:t>
      </w:r>
      <w:r w:rsidR="00462A16" w:rsidRPr="008B7D88">
        <w:rPr>
          <w:rFonts w:eastAsiaTheme="minorHAnsi"/>
        </w:rPr>
        <w:t xml:space="preserve">Creative Class Index </w:t>
      </w:r>
      <w:r w:rsidRPr="008B7D88">
        <w:rPr>
          <w:rFonts w:eastAsiaTheme="minorHAnsi"/>
        </w:rPr>
        <w:t>empirically failed</w:t>
      </w:r>
      <w:r>
        <w:rPr>
          <w:rFonts w:eastAsiaTheme="minorHAnsi"/>
        </w:rPr>
        <w:t xml:space="preserve"> to materialize for the </w:t>
      </w:r>
      <w:r w:rsidRPr="008B7D88">
        <w:rPr>
          <w:rFonts w:eastAsiaTheme="minorHAnsi"/>
        </w:rPr>
        <w:t xml:space="preserve">Netherlands, whilst the aesthetic assets of cities were found to provide a strong explanation for both share and growth of the creative class in Dutch cities, concluding that job opportunities and urban amenities </w:t>
      </w:r>
      <w:r>
        <w:rPr>
          <w:rFonts w:eastAsiaTheme="minorHAnsi"/>
        </w:rPr>
        <w:t xml:space="preserve">(including cultural venues) </w:t>
      </w:r>
      <w:r w:rsidRPr="008B7D88">
        <w:rPr>
          <w:rFonts w:eastAsiaTheme="minorHAnsi"/>
        </w:rPr>
        <w:t>are still the most important factors influencing the choice for a place of residence.</w:t>
      </w:r>
      <w:r>
        <w:rPr>
          <w:rFonts w:eastAsiaTheme="minorHAnsi"/>
        </w:rPr>
        <w:t xml:space="preserve"> Whilst the </w:t>
      </w:r>
      <w:r w:rsidRPr="00ED2381">
        <w:rPr>
          <w:rFonts w:eastAsiaTheme="minorHAnsi"/>
        </w:rPr>
        <w:t>Creative Class thesis is focused on economic growth and innovation in the knowledge economy (rather than arts and culture and the cultural economy), Florida’s Creative Class Index ranks certain factors and conditions which attract/retain and influence firm growth (his three T’s of Tolerance, Technology and Talent). It therefore combines human capital theory with a new take on place-based/location/cluster theory</w:t>
      </w:r>
      <w:r>
        <w:rPr>
          <w:rFonts w:eastAsiaTheme="minorHAnsi"/>
        </w:rPr>
        <w:t xml:space="preserve">, generally applied at </w:t>
      </w:r>
      <w:r w:rsidRPr="00ED2381">
        <w:rPr>
          <w:rFonts w:eastAsiaTheme="minorHAnsi"/>
        </w:rPr>
        <w:t xml:space="preserve">MSA/city scale. In reviews of </w:t>
      </w:r>
      <w:r w:rsidRPr="00ED2381">
        <w:rPr>
          <w:rFonts w:eastAsiaTheme="minorHAnsi"/>
        </w:rPr>
        <w:lastRenderedPageBreak/>
        <w:t xml:space="preserve">the </w:t>
      </w:r>
      <w:r w:rsidRPr="00C80488">
        <w:rPr>
          <w:rFonts w:eastAsiaTheme="minorHAnsi"/>
        </w:rPr>
        <w:t>Creative Class</w:t>
      </w:r>
      <w:r w:rsidRPr="00ED2381">
        <w:rPr>
          <w:rFonts w:eastAsiaTheme="minorHAnsi"/>
        </w:rPr>
        <w:t xml:space="preserve"> model (Evans, 2009), as applied in Europe, Scandinavia and in the USA, correlations and exogeneity were found to be high (Glaeser, 2004), i.e. they have weak explanatory power and proof of causality, with education/skills and job opportunities the over-riding factors attributed to growth and innovation in most cases. </w:t>
      </w:r>
      <w:r w:rsidRPr="00D95163">
        <w:rPr>
          <w:rFonts w:eastAsiaTheme="minorHAnsi"/>
        </w:rPr>
        <w:t xml:space="preserve">In European regions (NUTS3) </w:t>
      </w:r>
      <w:r w:rsidRPr="00D95163">
        <w:t xml:space="preserve">the Creative Class groups were unevenly distributed across the EU, with </w:t>
      </w:r>
      <w:r>
        <w:t xml:space="preserve">Florida’s </w:t>
      </w:r>
      <w:r w:rsidRPr="00D95163">
        <w:t xml:space="preserve">Bohemian, Openness and </w:t>
      </w:r>
      <w:r w:rsidRPr="00C80488">
        <w:t xml:space="preserve">Public </w:t>
      </w:r>
      <w:r w:rsidR="00462A16">
        <w:t>P</w:t>
      </w:r>
      <w:r w:rsidRPr="00C80488">
        <w:t>rovision</w:t>
      </w:r>
      <w:r w:rsidRPr="00D95163">
        <w:t xml:space="preserve"> indices the most </w:t>
      </w:r>
      <w:r w:rsidRPr="00242FD1">
        <w:t>significant factors</w:t>
      </w:r>
      <w:r w:rsidRPr="00242FD1">
        <w:rPr>
          <w:rFonts w:eastAsiaTheme="minorHAnsi"/>
          <w:b/>
        </w:rPr>
        <w:t xml:space="preserve"> </w:t>
      </w:r>
      <w:r w:rsidRPr="00242FD1">
        <w:rPr>
          <w:rFonts w:eastAsiaTheme="minorHAnsi"/>
        </w:rPr>
        <w:t>correlating with economic growth.</w:t>
      </w:r>
      <w:r w:rsidRPr="00242FD1">
        <w:rPr>
          <w:rFonts w:eastAsiaTheme="minorHAnsi"/>
          <w:b/>
        </w:rPr>
        <w:t xml:space="preserve"> </w:t>
      </w:r>
      <w:r w:rsidRPr="00242FD1">
        <w:rPr>
          <w:rFonts w:eastAsiaTheme="minorHAnsi"/>
        </w:rPr>
        <w:t>In UK</w:t>
      </w:r>
      <w:r w:rsidRPr="00242FD1">
        <w:rPr>
          <w:rFonts w:eastAsiaTheme="minorHAnsi"/>
          <w:b/>
        </w:rPr>
        <w:t xml:space="preserve"> </w:t>
      </w:r>
      <w:r w:rsidRPr="00242FD1">
        <w:t>NUTS3 regions (n=97), distribution was also uneven, but appeared to support Creative Class growth effects (per USA) but not in hi-tech employment growth.</w:t>
      </w:r>
      <w:r w:rsidRPr="00242FD1">
        <w:rPr>
          <w:rFonts w:eastAsiaTheme="minorHAnsi"/>
          <w:b/>
        </w:rPr>
        <w:t xml:space="preserve"> </w:t>
      </w:r>
      <w:r w:rsidRPr="001D6F98">
        <w:rPr>
          <w:rFonts w:eastAsiaTheme="minorHAnsi"/>
        </w:rPr>
        <w:t xml:space="preserve">In the UK (DTI, 2004) there was found to be </w:t>
      </w:r>
      <w:r w:rsidRPr="001D6F98">
        <w:t>no correlation of the Creative Class with productivity or innovation growth, whilst in several countries</w:t>
      </w:r>
      <w:r w:rsidRPr="001D6F98">
        <w:rPr>
          <w:rFonts w:eastAsiaTheme="minorHAnsi"/>
        </w:rPr>
        <w:t xml:space="preserve"> (Denmark, Netherlands), urban amenities and quality of place were important growth factors.</w:t>
      </w:r>
    </w:p>
    <w:p w14:paraId="45718531" w14:textId="3EFCCB68" w:rsidR="00410E03" w:rsidRDefault="00410E03" w:rsidP="00520273">
      <w:pPr>
        <w:rPr>
          <w:rFonts w:eastAsiaTheme="minorHAnsi"/>
        </w:rPr>
      </w:pPr>
      <w:r>
        <w:rPr>
          <w:rFonts w:eastAsiaTheme="minorHAnsi"/>
        </w:rPr>
        <w:t xml:space="preserve">In an international comparative study of creative spaces/industry policies and strategies (n=130) carried out for Creative London (LDA) and Metro Toronto/Ontario Province (Evans, 2009c) the prime rationales for public investment and policy formation were, not surprisingly, economic development/job creation, followed by infrastructure and regeneration, tourism/branding and less so social and heritage impacts (although heritage was more important in smaller cities). However, art form/cultural sectors prioritised were the more traditional arts </w:t>
      </w:r>
      <w:r w:rsidR="00462A16">
        <w:rPr>
          <w:rFonts w:eastAsiaTheme="minorHAnsi"/>
        </w:rPr>
        <w:t xml:space="preserve">and </w:t>
      </w:r>
      <w:r>
        <w:rPr>
          <w:rFonts w:eastAsiaTheme="minorHAnsi"/>
        </w:rPr>
        <w:t xml:space="preserve">cultural industries of visual /performing arts, film (including location, studios), architecture, music (especially smaller cities) and design, i.e. culture that is a feature of CS&amp;H facilities, with tourism and </w:t>
      </w:r>
      <w:r w:rsidR="00AD6B47">
        <w:rPr>
          <w:rFonts w:eastAsiaTheme="minorHAnsi"/>
        </w:rPr>
        <w:t>placemaking</w:t>
      </w:r>
      <w:r>
        <w:rPr>
          <w:rFonts w:eastAsiaTheme="minorHAnsi"/>
        </w:rPr>
        <w:t xml:space="preserve"> key agendas for these established and prospective creative cities </w:t>
      </w:r>
      <w:r w:rsidR="00462A16">
        <w:rPr>
          <w:rFonts w:eastAsiaTheme="minorHAnsi"/>
        </w:rPr>
        <w:t xml:space="preserve">– </w:t>
      </w:r>
      <w:r>
        <w:rPr>
          <w:rFonts w:eastAsiaTheme="minorHAnsi"/>
        </w:rPr>
        <w:t xml:space="preserve">large and small. This is consonant with what leading economic geographer Allen Scott has identified as the ‘cognitive-cultural’ city economy (2014) with a combination of comparative and competitive advantages; production/job opportunities; networks and clusters driving the post-industrial growth machines of creative cities. </w:t>
      </w:r>
    </w:p>
    <w:p w14:paraId="7F47B3F0" w14:textId="77777777" w:rsidR="00410E03" w:rsidRDefault="00410E03" w:rsidP="00520273">
      <w:pPr>
        <w:rPr>
          <w:rFonts w:eastAsiaTheme="minorHAnsi"/>
        </w:rPr>
      </w:pPr>
      <w:r w:rsidRPr="00591B91">
        <w:rPr>
          <w:rFonts w:eastAsiaTheme="minorHAnsi"/>
          <w:b/>
        </w:rPr>
        <w:t>Cultural content for the</w:t>
      </w:r>
      <w:r>
        <w:rPr>
          <w:rFonts w:eastAsiaTheme="minorHAnsi"/>
          <w:b/>
        </w:rPr>
        <w:t xml:space="preserve"> new digital media industries i</w:t>
      </w:r>
      <w:r w:rsidRPr="00591B91">
        <w:rPr>
          <w:rFonts w:eastAsiaTheme="minorHAnsi"/>
          <w:b/>
        </w:rPr>
        <w:t>s seen to be very important and therefore the importance</w:t>
      </w:r>
      <w:r>
        <w:rPr>
          <w:rFonts w:eastAsiaTheme="minorHAnsi"/>
          <w:b/>
        </w:rPr>
        <w:t xml:space="preserve"> of place and creative spaces i</w:t>
      </w:r>
      <w:r w:rsidRPr="00591B91">
        <w:rPr>
          <w:rFonts w:eastAsiaTheme="minorHAnsi"/>
          <w:b/>
        </w:rPr>
        <w:t>s consistent with developing city growth from the knowledge and digital economies.</w:t>
      </w:r>
      <w:r>
        <w:rPr>
          <w:rFonts w:eastAsiaTheme="minorHAnsi"/>
          <w:b/>
        </w:rPr>
        <w:t xml:space="preserve"> This includes key ‘client’ sectors such a bio-tech and health sciences.</w:t>
      </w:r>
    </w:p>
    <w:p w14:paraId="2D04C870" w14:textId="0B371B2B" w:rsidR="00410E03" w:rsidRPr="00041627" w:rsidRDefault="00410E03" w:rsidP="00520273">
      <w:pPr>
        <w:pStyle w:val="Heading2Numbered"/>
      </w:pPr>
      <w:bookmarkStart w:id="93" w:name="_Ref464198587"/>
      <w:bookmarkStart w:id="94" w:name="_Toc467569624"/>
      <w:r w:rsidRPr="00041627">
        <w:t>Clusters</w:t>
      </w:r>
      <w:bookmarkEnd w:id="93"/>
      <w:bookmarkEnd w:id="94"/>
    </w:p>
    <w:p w14:paraId="2B8A377F" w14:textId="3E3DA332" w:rsidR="00410E03" w:rsidRDefault="00410E03" w:rsidP="00520273">
      <w:r w:rsidRPr="00CE3EC7">
        <w:t xml:space="preserve">The concept of </w:t>
      </w:r>
      <w:r w:rsidR="00B6704F">
        <w:t>c</w:t>
      </w:r>
      <w:r>
        <w:t>lusters in e</w:t>
      </w:r>
      <w:r w:rsidRPr="00CE3EC7">
        <w:t xml:space="preserve">conomics </w:t>
      </w:r>
      <w:r>
        <w:t>originates</w:t>
      </w:r>
      <w:r w:rsidRPr="00CE3EC7">
        <w:t xml:space="preserve"> from agglomeration theory</w:t>
      </w:r>
      <w:r>
        <w:t xml:space="preserve"> (Marshall, late-1890s) which associates the co-location of (competing) firms, skilled labour and infrastructure support with innovation and firm growth. Physical proximities are both efficient and facilitate tacit and codified knowledge spillovers through formal and, importantly, informal networks. This has manifested in manufacturing as observed by Marshall in the steel towns of Sheffield and Songinen (Potter &amp; Watts, 2012); in craft-based production in Italy’s Emilia </w:t>
      </w:r>
      <w:r w:rsidRPr="00A0134A">
        <w:t>Romagna</w:t>
      </w:r>
      <w:r>
        <w:t xml:space="preserve"> region linked to the showcase provided by Milan (providing what Porter suggests is essential in economic clusters – international pipelines and market access); to Hollywood’s interdependent film/digital/jewellery/fashion clusters (Scott, 2000) and today’s hi-tech and digital clusters of Silicon Valley and Silicon Roundabout in London. In an in depth study of New York’s fashion cluster (Rantisi, 2002)</w:t>
      </w:r>
      <w:r w:rsidR="00061257">
        <w:t>,</w:t>
      </w:r>
      <w:r>
        <w:t xml:space="preserve"> a cultural-creative production chain was established between art museums, specialist colleges, retail, advertising, publishing and specific design and production clusters </w:t>
      </w:r>
      <w:r w:rsidR="00061257">
        <w:t xml:space="preserve">– </w:t>
      </w:r>
      <w:r>
        <w:t xml:space="preserve">from haute couture to start-ups and sweatshops, and from boutique, fashion shows to high street and street culture. </w:t>
      </w:r>
    </w:p>
    <w:p w14:paraId="724AABA4" w14:textId="7F1919EA" w:rsidR="00410E03" w:rsidRDefault="00410E03" w:rsidP="00131F29">
      <w:r>
        <w:lastRenderedPageBreak/>
        <w:t xml:space="preserve">CEBR’s study of the contribution of arts </w:t>
      </w:r>
      <w:r w:rsidR="00061257">
        <w:t xml:space="preserve">and </w:t>
      </w:r>
      <w:r>
        <w:t xml:space="preserve">culture to the UK economy (2013) reported some evidence of wider impacts felt by industries co-located with creative clusters, however this evidence is not yet robust, limited to a few small scale studies of the links between talent and supply chain benefits between arts/culture and creative industries. As the AHRC </w:t>
      </w:r>
      <w:r w:rsidRPr="00C80488">
        <w:rPr>
          <w:i/>
        </w:rPr>
        <w:t xml:space="preserve">Cultural </w:t>
      </w:r>
      <w:r w:rsidR="00061257" w:rsidRPr="00C80488">
        <w:rPr>
          <w:i/>
        </w:rPr>
        <w:t>Values</w:t>
      </w:r>
      <w:r w:rsidR="00061257">
        <w:t xml:space="preserve"> </w:t>
      </w:r>
      <w:r>
        <w:t>report noted</w:t>
      </w:r>
      <w:r w:rsidR="00061257">
        <w:t>,</w:t>
      </w:r>
      <w:r>
        <w:t xml:space="preserve"> </w:t>
      </w:r>
      <w:r w:rsidR="00061257">
        <w:t>“</w:t>
      </w:r>
      <w:r>
        <w:t>more attention needs to be given to the ways in which arts and culture feeds into the creative industries and supports the innovation system’ (</w:t>
      </w:r>
      <w:r w:rsidR="00061257">
        <w:t xml:space="preserve">AHRC, </w:t>
      </w:r>
      <w:r>
        <w:t xml:space="preserve">2016) or ‘ecosystem’. </w:t>
      </w:r>
    </w:p>
    <w:p w14:paraId="7904A821" w14:textId="01042FBB" w:rsidR="00410E03" w:rsidRDefault="00410E03" w:rsidP="00224A2D">
      <w:r w:rsidRPr="000D5459">
        <w:rPr>
          <w:b/>
        </w:rPr>
        <w:t>Some CS&amp;H assets form part of economic clusters in generating innovation and growth within their own organisation as part of a cultural ecosystem or creative production chain involving other enterprises and entrepreneurs. Evidence of this is however lacking, largely because this role has not been researched or considered, outside specific creative industry clusters.</w:t>
      </w:r>
      <w:r>
        <w:t xml:space="preserve"> </w:t>
      </w:r>
      <w:r w:rsidRPr="00F86D2B">
        <w:rPr>
          <w:b/>
        </w:rPr>
        <w:t>Our data modelling may however reveal where cultural assets correlate with places where economic and creative industries growth is evident</w:t>
      </w:r>
      <w:r>
        <w:rPr>
          <w:b/>
        </w:rPr>
        <w:t>. This could go towards filling</w:t>
      </w:r>
      <w:r w:rsidR="00A033C6">
        <w:rPr>
          <w:b/>
        </w:rPr>
        <w:t xml:space="preserve"> </w:t>
      </w:r>
      <w:r>
        <w:rPr>
          <w:b/>
        </w:rPr>
        <w:t>this knowledge gap.</w:t>
      </w:r>
      <w:r>
        <w:t xml:space="preserve"> </w:t>
      </w:r>
    </w:p>
    <w:p w14:paraId="6801124A" w14:textId="778AB320" w:rsidR="00410E03" w:rsidRDefault="00410E03" w:rsidP="00520273">
      <w:r>
        <w:t xml:space="preserve">At the same time, physical clustering is a feature of urban planning at regional, city and local area levels which are seen to support a visitor economy (local, domestic, international), and ‘carrying capacity’ to absorb and retain visitors, consumers and a range of cultural amenities. This range and diversity can in itself enhance a place and produce ‘cultural spillovers’ including firm innovation and growth in the locality. This is seen in the area around the Guggenheim Bilbao where numerous galleries, dealers and showrooms have located or relocated, in order to further shape this regeneration place and its association with modern art (Plaza, 2009 in </w:t>
      </w:r>
      <w:r w:rsidRPr="004B496E">
        <w:rPr>
          <w:i/>
        </w:rPr>
        <w:t>Art of the Possible</w:t>
      </w:r>
      <w:r>
        <w:t xml:space="preserve">, 2010: 16-20). This phenomenon is also seen in the case of art gallery location in Manhattan (Schuetz, 2013a&amp;b). This study used spatial data analysis and changes in land-use and building characteristics over time, together with the presence of historic, museums, park and transport amenities in each area. Regression analysis found that art galleries were attracted to neighbourhoods with amenities and physical characteristics such as historic buildings, museums and parks and commercial zoning, as well the presence of other galleries. In a separate study of Manhattan’s gallery scene, Molotch &amp; Treskon (2009) found that new hubs such as Chelsea and declining gallery clusters in SoHo were influenced not by the oft-cited gentrification and property price rise cycle, but by the external art market and specific </w:t>
      </w:r>
      <w:r w:rsidR="00AD6B47">
        <w:t>placemaking</w:t>
      </w:r>
      <w:r>
        <w:t xml:space="preserve"> associated with these spaces that did not depend on proximity to either artists or buyers (the study used location, rent and sales data over a 17 year period). This gallery district has been designated by the city as an arts district ‘to encourage and support the growth of arts-related uses’.</w:t>
      </w:r>
    </w:p>
    <w:p w14:paraId="63AFA4F4" w14:textId="0C6CBFFE" w:rsidR="00410E03" w:rsidRDefault="00410E03" w:rsidP="00520273">
      <w:r>
        <w:t xml:space="preserve">Clusters or ‘assemblages’ within cities can also be perceived as ‘scenes’ creating a particular buzz which can attract a particular kind of visitor/tourist, creative worker or entrepreneur. What creates and makes up these scenes has been analysed by sociologists and cultural geographers (Silver, </w:t>
      </w:r>
      <w:r w:rsidR="00DF5062">
        <w:t>no date</w:t>
      </w:r>
      <w:r>
        <w:t>). These formations are said to bring a tangible cultural “value added” to deprived communities, as well as feed the knowledge economy with innovation and “buzz” (Bathelt, Malmberg &amp; Maskell, 2004), and its hunger for content. This is evident in sectors such as advertising, financial services, fashion and music which draw inspiration from street culture and street life, a direct benefit of co-location.</w:t>
      </w:r>
      <w:r w:rsidR="00A033C6">
        <w:t xml:space="preserve"> </w:t>
      </w:r>
      <w:r>
        <w:t>It is no accident that there is a high correlation and co-location between these cultural and non-cultural sectors in creative clusters (Freeman, 2010).</w:t>
      </w:r>
      <w:r w:rsidR="00A033C6">
        <w:t xml:space="preserve"> </w:t>
      </w:r>
    </w:p>
    <w:p w14:paraId="1F741EBA" w14:textId="63F3EF50" w:rsidR="00410E03" w:rsidRDefault="00410E03" w:rsidP="00520273">
      <w:r>
        <w:t xml:space="preserve">Clusters are also identified with heritage – whether historic architectural, monuments or collections such as museums. Examples include museum </w:t>
      </w:r>
      <w:r>
        <w:lastRenderedPageBreak/>
        <w:t xml:space="preserve">quarters, historic quarters including parks and gardens. These undoubtedly contribute to a sense of place and place brand, measured in terms of usage/visitors and associated economic impacts, and in amenity value terms (estimated through contingent valuation and relative property values). Local amenities not necessarily associated with formal heritage or historic designation would also generate positive valuation as a community asset. These include post-industrial areas that have served as the basis for contemporary cultural and creative production. Case study examples are numerous but largely descriptive </w:t>
      </w:r>
      <w:r w:rsidR="000E54CC">
        <w:t xml:space="preserve">– </w:t>
      </w:r>
      <w:r>
        <w:t xml:space="preserve">estimating outputs and visitor data (see </w:t>
      </w:r>
      <w:r w:rsidRPr="00464460">
        <w:rPr>
          <w:i/>
        </w:rPr>
        <w:t>Cultural Quarters</w:t>
      </w:r>
      <w:r>
        <w:t>, Roodhouse, 2010) but seldom sustained impacts beyond snapshot EIA studies. There is longitudinal evidence however that historic quarters serve as the site for heritage, cultural and now creative-digital clusters, suggesting that there are local conditions that are both symbolic, physical (building types, character, connectivity) and economic (Evans, 2004, 2009cd).</w:t>
      </w:r>
    </w:p>
    <w:p w14:paraId="44CB91FF" w14:textId="77777777" w:rsidR="00410E03" w:rsidRDefault="00410E03" w:rsidP="00520273"/>
    <w:tbl>
      <w:tblPr>
        <w:tblStyle w:val="TableGrid"/>
        <w:tblW w:w="0" w:type="auto"/>
        <w:tblInd w:w="108" w:type="dxa"/>
        <w:tblLook w:val="04A0" w:firstRow="1" w:lastRow="0" w:firstColumn="1" w:lastColumn="0" w:noHBand="0" w:noVBand="1"/>
      </w:tblPr>
      <w:tblGrid>
        <w:gridCol w:w="9178"/>
      </w:tblGrid>
      <w:tr w:rsidR="00410E03" w14:paraId="1A26EFA7" w14:textId="77777777" w:rsidTr="00121553">
        <w:tc>
          <w:tcPr>
            <w:tcW w:w="9178" w:type="dxa"/>
          </w:tcPr>
          <w:p w14:paraId="50ACC7F7" w14:textId="6965DED2" w:rsidR="00410E03" w:rsidRDefault="000E54CC" w:rsidP="00520273">
            <w:r>
              <w:t>I</w:t>
            </w:r>
            <w:r w:rsidR="00410E03">
              <w:t xml:space="preserve">n </w:t>
            </w:r>
            <w:r>
              <w:t xml:space="preserve">a </w:t>
            </w:r>
            <w:r w:rsidR="00410E03">
              <w:t>study</w:t>
            </w:r>
            <w:r>
              <w:t xml:space="preserve"> of </w:t>
            </w:r>
            <w:r w:rsidRPr="000E54CC">
              <w:t>Nottingham’s Lace Quarter</w:t>
            </w:r>
            <w:r w:rsidR="00410E03">
              <w:t>, Shorthouse (2004) conducted a survey of local business and visitors. The importance of their location in this heritage cultural quarter was found to be high:</w:t>
            </w:r>
          </w:p>
          <w:p w14:paraId="0F8030E4" w14:textId="77777777" w:rsidR="00410E03" w:rsidRDefault="00410E03" w:rsidP="006751CE">
            <w:pPr>
              <w:numPr>
                <w:ilvl w:val="0"/>
                <w:numId w:val="58"/>
              </w:numPr>
            </w:pPr>
            <w:r>
              <w:t>67% rated as important to crucial for their business</w:t>
            </w:r>
          </w:p>
          <w:p w14:paraId="43E04C5B" w14:textId="77777777" w:rsidR="00410E03" w:rsidRDefault="00410E03" w:rsidP="006751CE">
            <w:pPr>
              <w:numPr>
                <w:ilvl w:val="0"/>
                <w:numId w:val="58"/>
              </w:numPr>
            </w:pPr>
            <w:r>
              <w:t>61% rated as important to crucial for their business the capacity for meeting and networking with suppliers, collaborators, competitors</w:t>
            </w:r>
          </w:p>
          <w:p w14:paraId="0EDE1B60" w14:textId="177F49AF" w:rsidR="00410E03" w:rsidRDefault="00410E03" w:rsidP="006751CE">
            <w:pPr>
              <w:numPr>
                <w:ilvl w:val="0"/>
                <w:numId w:val="58"/>
              </w:numPr>
            </w:pPr>
            <w:r>
              <w:t>70% as a location</w:t>
            </w:r>
            <w:r w:rsidR="00A033C6">
              <w:t xml:space="preserve"> </w:t>
            </w:r>
            <w:r>
              <w:t>for business and social interaction</w:t>
            </w:r>
          </w:p>
          <w:p w14:paraId="79CCDCF5" w14:textId="77777777" w:rsidR="00410E03" w:rsidRDefault="00410E03" w:rsidP="006751CE">
            <w:pPr>
              <w:numPr>
                <w:ilvl w:val="0"/>
                <w:numId w:val="58"/>
              </w:numPr>
            </w:pPr>
            <w:r>
              <w:t>74% rated as important to crucial for their business the attractiveness of the built environment</w:t>
            </w:r>
          </w:p>
          <w:p w14:paraId="43458DDA" w14:textId="77777777" w:rsidR="00410E03" w:rsidRDefault="00410E03" w:rsidP="006751CE">
            <w:pPr>
              <w:numPr>
                <w:ilvl w:val="0"/>
                <w:numId w:val="58"/>
              </w:numPr>
            </w:pPr>
            <w:r>
              <w:t>50% rated as important to crucial for their business the proximity of arts and cultural institutions.</w:t>
            </w:r>
          </w:p>
          <w:p w14:paraId="59EF1E6E" w14:textId="77777777" w:rsidR="00410E03" w:rsidRDefault="00410E03" w:rsidP="006751CE">
            <w:pPr>
              <w:numPr>
                <w:ilvl w:val="0"/>
                <w:numId w:val="58"/>
              </w:numPr>
            </w:pPr>
            <w:r>
              <w:t>Over 90% of users/visitors agreed that it adds vitality to the city centre area; 94% that its heritage quality makes it an attractive place; and 90% rated it good for socialising</w:t>
            </w:r>
          </w:p>
          <w:p w14:paraId="5E5FBEC8" w14:textId="77777777" w:rsidR="000E54CC" w:rsidRDefault="000E54CC" w:rsidP="00520273"/>
        </w:tc>
      </w:tr>
    </w:tbl>
    <w:p w14:paraId="62C489D8" w14:textId="77777777" w:rsidR="00410E03" w:rsidRDefault="00410E03" w:rsidP="00131F29"/>
    <w:p w14:paraId="28E91BCE" w14:textId="2AF5E516" w:rsidR="00410E03" w:rsidRDefault="000E54CC" w:rsidP="00224A2D">
      <w:r>
        <w:t>A</w:t>
      </w:r>
      <w:r w:rsidRPr="000E54CC">
        <w:t xml:space="preserve"> study of</w:t>
      </w:r>
      <w:r>
        <w:t xml:space="preserve"> the</w:t>
      </w:r>
      <w:r w:rsidR="00410E03">
        <w:t xml:space="preserve"> impact of Heritage Lottery funded projects (n=10) </w:t>
      </w:r>
      <w:r>
        <w:t xml:space="preserve">on </w:t>
      </w:r>
      <w:r w:rsidR="00410E03">
        <w:t>the local economy considered project expenditure and impacts as well as from visitor activity (GHK, 2010). Across the ten projects which had received over £250,000 HLF funding and completed by 2008, expenditure supported 159 job years in local</w:t>
      </w:r>
      <w:r>
        <w:t xml:space="preserve"> economies</w:t>
      </w:r>
      <w:r w:rsidR="00410E03">
        <w:t xml:space="preserve"> and 750 in regional economies, enhancing GVA by £33.9m in total. Ongoing outputs were found to support 120 FTE jobs locally, 170 regionally, with ongoing GVA estimated at £3.2m locally and £4.7</w:t>
      </w:r>
      <w:r>
        <w:t>m</w:t>
      </w:r>
      <w:r w:rsidR="00410E03">
        <w:t xml:space="preserve"> regionally, after adjusting for additionality, leakage, deadweight and substitution effects.</w:t>
      </w:r>
    </w:p>
    <w:p w14:paraId="631068AB" w14:textId="7D03A563" w:rsidR="00410E03" w:rsidRPr="00C702DC" w:rsidRDefault="00410E03" w:rsidP="00520273">
      <w:pPr>
        <w:pStyle w:val="Heading3Numbered"/>
      </w:pPr>
      <w:bookmarkStart w:id="95" w:name="_Toc467569625"/>
      <w:r>
        <w:t>District Clusters</w:t>
      </w:r>
      <w:bookmarkEnd w:id="95"/>
    </w:p>
    <w:p w14:paraId="078C4C61" w14:textId="366249A5" w:rsidR="00410E03" w:rsidRDefault="00410E03" w:rsidP="00520273">
      <w:r>
        <w:t xml:space="preserve">Clusters of cultural amenities with economic and social impacts have been identified at the district/borough level, for example in the case of the City of London Arts &amp; Cultural cluster. In a study commissioned by the City of London Economic Development unit (BOP, 2013), an extensive assessment of this borough’s </w:t>
      </w:r>
      <w:r w:rsidR="006A5B4E">
        <w:t xml:space="preserve">cultural heritage, performing arts/events and visual arts </w:t>
      </w:r>
      <w:r>
        <w:t>facilities and programmes was undertaken.</w:t>
      </w:r>
    </w:p>
    <w:p w14:paraId="2C5ADA10" w14:textId="77777777" w:rsidR="00410E03" w:rsidRDefault="00410E03" w:rsidP="00520273"/>
    <w:tbl>
      <w:tblPr>
        <w:tblStyle w:val="TableGrid"/>
        <w:tblW w:w="0" w:type="auto"/>
        <w:tblInd w:w="108" w:type="dxa"/>
        <w:tblLook w:val="04A0" w:firstRow="1" w:lastRow="0" w:firstColumn="1" w:lastColumn="0" w:noHBand="0" w:noVBand="1"/>
      </w:tblPr>
      <w:tblGrid>
        <w:gridCol w:w="9178"/>
      </w:tblGrid>
      <w:tr w:rsidR="00410E03" w14:paraId="3FA44197" w14:textId="77777777" w:rsidTr="00121553">
        <w:tc>
          <w:tcPr>
            <w:tcW w:w="9178" w:type="dxa"/>
          </w:tcPr>
          <w:p w14:paraId="6085A0A1" w14:textId="1F997515" w:rsidR="00410E03" w:rsidRDefault="00410E03" w:rsidP="006A5B4E">
            <w:r>
              <w:t xml:space="preserve">This study </w:t>
            </w:r>
            <w:r w:rsidR="006A5B4E">
              <w:t xml:space="preserve">of the </w:t>
            </w:r>
            <w:r w:rsidR="006A5B4E" w:rsidRPr="006A5B4E">
              <w:t xml:space="preserve">City of London Art &amp; Cultural cluster </w:t>
            </w:r>
            <w:r>
              <w:t xml:space="preserve">looked at economic, social and cultural impacts from the combined range of cultural facilities in the City of London. This cluster was found to produce £225m (net of ‘additionality’) of GVA (total ‘additional’ revenues less operating costs) and supported over 6,700 FTE jobs. Indirect impacts were calculated based on organisational spend across 11 industry sectors. This analysis was based financial data from cultural organisations, and an audience spending survey. Social impacts were based on aggregate data on volunteering, educational and outreach activities from organisations and </w:t>
            </w:r>
            <w:r w:rsidR="006A5B4E">
              <w:t>in-depth</w:t>
            </w:r>
            <w:r>
              <w:t xml:space="preserve"> case studies. Cultural impacts drew on audience surveys, data on the international dimension and new work produced, as well as media coverage, with the effect of cultural experiences on audiences’ views about the City of London assessed through audience surveys and case studies (Barbican, City of London Festival). This included assessment of how audiences felt that their attendance improved their well-being </w:t>
            </w:r>
            <w:r w:rsidR="006A5B4E">
              <w:t xml:space="preserve">– </w:t>
            </w:r>
            <w:r>
              <w:t xml:space="preserve">82% said they agreed/strongly agreed. The </w:t>
            </w:r>
            <w:r w:rsidR="00AD6B47">
              <w:t>placemaking</w:t>
            </w:r>
            <w:r>
              <w:t xml:space="preserve"> capacity of the City’s arts and culture provision was thus assessed through audience research surveys at two venues; case studies (e.g. Festival effort to create a place-based identity and impact); organisational survey information on media coverage and general visibility of the cluster (BOP, 2013).</w:t>
            </w:r>
          </w:p>
          <w:p w14:paraId="346C73D3" w14:textId="29709EB7" w:rsidR="006A5B4E" w:rsidRDefault="006A5B4E" w:rsidP="006A5B4E"/>
        </w:tc>
      </w:tr>
    </w:tbl>
    <w:p w14:paraId="1B7512D4" w14:textId="77777777" w:rsidR="00410E03" w:rsidRDefault="00410E03" w:rsidP="00131F29"/>
    <w:p w14:paraId="756001BD" w14:textId="4F40128B" w:rsidR="00410E03" w:rsidRDefault="00410E03" w:rsidP="00224A2D">
      <w:r>
        <w:t>In an impact study of the arts in</w:t>
      </w:r>
      <w:r w:rsidRPr="003A3682">
        <w:rPr>
          <w:b/>
        </w:rPr>
        <w:t xml:space="preserve"> </w:t>
      </w:r>
      <w:r w:rsidRPr="006751CE">
        <w:t>Birmingham</w:t>
      </w:r>
      <w:r>
        <w:t>, the benefits of the city’s provision was assessed by a large-scale telephone survey of those both attending and not attending arts facilities in the city (Morris</w:t>
      </w:r>
      <w:r w:rsidR="006A5B4E">
        <w:t>,</w:t>
      </w:r>
      <w:r>
        <w:t xml:space="preserve"> Hargreaves, McIntyre, 2009). The study found that the arts organisations were having a positive impact on the image of the city and region, as well on individuals, including social outcomes such as social cohesion, learning, cultural understanding. 73</w:t>
      </w:r>
      <w:r w:rsidR="006A5B4E">
        <w:t>%–</w:t>
      </w:r>
      <w:r>
        <w:t xml:space="preserve">76% said that the cultural provision made the city vibrant and exciting and provided opportunities for people to come together and share experiences; 44% said that it improved the quality of their life. </w:t>
      </w:r>
    </w:p>
    <w:p w14:paraId="634F64E5" w14:textId="3E6098AF" w:rsidR="00410E03" w:rsidRDefault="00410E03" w:rsidP="00520273">
      <w:pPr>
        <w:pStyle w:val="Heading3Numbered"/>
      </w:pPr>
      <w:bookmarkStart w:id="96" w:name="_Toc467569626"/>
      <w:bookmarkStart w:id="97" w:name="_Ref467569996"/>
      <w:r w:rsidRPr="00C2664D">
        <w:t>Cultural Districts (USA</w:t>
      </w:r>
      <w:r>
        <w:t>)</w:t>
      </w:r>
      <w:bookmarkEnd w:id="96"/>
      <w:bookmarkEnd w:id="97"/>
    </w:p>
    <w:p w14:paraId="77DE961B" w14:textId="6D686E64" w:rsidR="00410E03" w:rsidRDefault="00410E03" w:rsidP="00E74966">
      <w:pPr>
        <w:rPr>
          <w:rStyle w:val="A9"/>
          <w:rFonts w:ascii="Tahoma" w:hAnsi="Tahoma" w:cs="Tahoma"/>
          <w:sz w:val="20"/>
          <w:szCs w:val="20"/>
        </w:rPr>
      </w:pPr>
      <w:r w:rsidRPr="00B73169">
        <w:t>A third, more localised cluster has been identified in the USA</w:t>
      </w:r>
      <w:r>
        <w:t>,</w:t>
      </w:r>
      <w:r w:rsidRPr="00B73169">
        <w:t xml:space="preserve"> categorised as</w:t>
      </w:r>
      <w:r w:rsidRPr="00B73169">
        <w:rPr>
          <w:i/>
        </w:rPr>
        <w:t xml:space="preserve"> </w:t>
      </w:r>
      <w:r w:rsidRPr="007B3F2B">
        <w:rPr>
          <w:i/>
        </w:rPr>
        <w:t>Cultural Districts</w:t>
      </w:r>
      <w:r w:rsidRPr="00B73169">
        <w:t xml:space="preserve"> (Stern &amp; Seifert, 2007, 2010). The work was first reviewed in </w:t>
      </w:r>
      <w:r w:rsidRPr="00B73169">
        <w:rPr>
          <w:i/>
        </w:rPr>
        <w:t>Art of the Possible</w:t>
      </w:r>
      <w:r w:rsidRPr="00B73169">
        <w:t xml:space="preserve"> (TBR, 2010: 44) and has been supplemented by national research on Cultural Districts in the USA by Noonan </w:t>
      </w:r>
      <w:r>
        <w:t>(below</w:t>
      </w:r>
      <w:r w:rsidRPr="00B73169">
        <w:t xml:space="preserve">). </w:t>
      </w:r>
      <w:r>
        <w:t>Cultural Districts are defined as ‘a well-recognised labeled, mixed-use area of a city in which a high concentration of cultural facilities serves as the anchor or attraction’, and are often centred around large arts institutions</w:t>
      </w:r>
      <w:r w:rsidRPr="00E74966">
        <w:t>. The concept of ‘Natural Cultural District</w:t>
      </w:r>
      <w:r w:rsidR="00E74966" w:rsidRPr="00E74966">
        <w:t>s</w:t>
      </w:r>
      <w:r w:rsidRPr="00E74966">
        <w:t xml:space="preserve">’ was developed in Philadelphia, in areas suffering multiple deprivation, population and economic decline, building on the idea that urban neighbourhoods often germinate clusters of community, commercial and informal cultural assets linked by artists and creatives as producers, and participants as consumers or practitioners. </w:t>
      </w:r>
    </w:p>
    <w:p w14:paraId="31317FBF" w14:textId="77777777" w:rsidR="00410E03" w:rsidRDefault="00410E03" w:rsidP="00410E03">
      <w:pPr>
        <w:pStyle w:val="Pa4"/>
        <w:spacing w:line="240" w:lineRule="auto"/>
        <w:jc w:val="both"/>
        <w:rPr>
          <w:rStyle w:val="A9"/>
          <w:rFonts w:ascii="Tahoma" w:hAnsi="Tahoma" w:cs="Tahoma"/>
          <w:sz w:val="20"/>
          <w:szCs w:val="20"/>
          <w:lang w:val="en-GB"/>
        </w:rPr>
      </w:pPr>
    </w:p>
    <w:tbl>
      <w:tblPr>
        <w:tblStyle w:val="TableGrid"/>
        <w:tblW w:w="0" w:type="auto"/>
        <w:tblInd w:w="108" w:type="dxa"/>
        <w:tblLook w:val="04A0" w:firstRow="1" w:lastRow="0" w:firstColumn="1" w:lastColumn="0" w:noHBand="0" w:noVBand="1"/>
      </w:tblPr>
      <w:tblGrid>
        <w:gridCol w:w="9178"/>
      </w:tblGrid>
      <w:tr w:rsidR="00410E03" w14:paraId="0C2C7536" w14:textId="77777777" w:rsidTr="00121553">
        <w:tc>
          <w:tcPr>
            <w:tcW w:w="9178" w:type="dxa"/>
          </w:tcPr>
          <w:p w14:paraId="5E93DD06" w14:textId="4B0F97AE" w:rsidR="00410E03" w:rsidRDefault="00410E03" w:rsidP="00E74966">
            <w:r>
              <w:t>The study</w:t>
            </w:r>
            <w:r w:rsidRPr="00B73169">
              <w:t xml:space="preserve"> uses four indicators of the intensity of the cultural scene in a neighb</w:t>
            </w:r>
            <w:r>
              <w:t>ourhood: cultural participation</w:t>
            </w:r>
            <w:r w:rsidR="00E74966">
              <w:t>,</w:t>
            </w:r>
            <w:r w:rsidR="00E74966" w:rsidRPr="00B73169">
              <w:t xml:space="preserve"> </w:t>
            </w:r>
            <w:r w:rsidRPr="00B73169">
              <w:t>non-profi</w:t>
            </w:r>
            <w:r>
              <w:t>t cultural providers/</w:t>
            </w:r>
            <w:r w:rsidRPr="00B73169">
              <w:t>community associations</w:t>
            </w:r>
            <w:r w:rsidR="00E74966">
              <w:t>,</w:t>
            </w:r>
            <w:r w:rsidR="00E74966" w:rsidRPr="00B73169">
              <w:t xml:space="preserve"> </w:t>
            </w:r>
            <w:r w:rsidRPr="00B73169">
              <w:t xml:space="preserve">commercial cultural firms and independent </w:t>
            </w:r>
            <w:r>
              <w:t xml:space="preserve">artists/creative workers, </w:t>
            </w:r>
            <w:r w:rsidRPr="00B73169">
              <w:t>toget</w:t>
            </w:r>
            <w:r>
              <w:t>her making up</w:t>
            </w:r>
            <w:r w:rsidRPr="00B73169">
              <w:t xml:space="preserve"> </w:t>
            </w:r>
            <w:r>
              <w:t xml:space="preserve">an </w:t>
            </w:r>
            <w:r w:rsidRPr="00B73169">
              <w:t>area’s cultural assets. Four data sources were used:</w:t>
            </w:r>
            <w:r w:rsidR="00A033C6">
              <w:t xml:space="preserve"> </w:t>
            </w:r>
            <w:r w:rsidRPr="00B73169">
              <w:t xml:space="preserve">a regional inventory of non-profit cultural resources, a database of </w:t>
            </w:r>
            <w:r w:rsidRPr="00B73169">
              <w:lastRenderedPageBreak/>
              <w:t>commercial cultural firms in the metropolitan area, a</w:t>
            </w:r>
            <w:r>
              <w:t xml:space="preserve"> listing of artists, and </w:t>
            </w:r>
            <w:r w:rsidRPr="00B73169">
              <w:t>small-area estimates of regional cultural participation based on data provided by over 75 cultural organizations. All four of these indicators were calculated for every census block group (approximately 6</w:t>
            </w:r>
            <w:r w:rsidR="00E74966">
              <w:t>–</w:t>
            </w:r>
            <w:r w:rsidRPr="00B73169">
              <w:t>8 city blocks) in metropolitan Philadelphia.</w:t>
            </w:r>
            <w:r>
              <w:t xml:space="preserve"> </w:t>
            </w:r>
            <w:r w:rsidRPr="00B73169">
              <w:t>The identification of natural cultural districts used factor analysis to create a single scale</w:t>
            </w:r>
            <w:r>
              <w:t>,</w:t>
            </w:r>
            <w:r w:rsidRPr="00B73169">
              <w:t xml:space="preserve"> capturing variation of all four of these indicators across the metropolitan area. The analysis determined that the four indicators had very similar patterns of variation (a single scale accounted for 81% of the variation – a </w:t>
            </w:r>
            <w:r w:rsidRPr="001A6A85">
              <w:rPr>
                <w:i/>
              </w:rPr>
              <w:t>cultural assets index</w:t>
            </w:r>
            <w:r w:rsidRPr="00B73169">
              <w:t>). The second stage identified neighbourhoods with a cultural assets index score higher than expected when corrected for these variables such as socio-economic profile, diver</w:t>
            </w:r>
            <w:r>
              <w:t>sity, distance from centre</w:t>
            </w:r>
            <w:r w:rsidR="00E74966">
              <w:t>,</w:t>
            </w:r>
            <w:r>
              <w:t xml:space="preserve"> etc.</w:t>
            </w:r>
            <w:r w:rsidRPr="00B73169">
              <w:t xml:space="preserve"> Essentially, these are districts that were “exceeding expectations” in their concentra</w:t>
            </w:r>
            <w:r>
              <w:t>tion of cultural assets.</w:t>
            </w:r>
            <w:r w:rsidR="00A033C6">
              <w:t xml:space="preserve"> </w:t>
            </w:r>
            <w:r>
              <w:t>T</w:t>
            </w:r>
            <w:r w:rsidRPr="00B73169">
              <w:t>he cultural asset</w:t>
            </w:r>
            <w:r>
              <w:t xml:space="preserve">s index is </w:t>
            </w:r>
            <w:r w:rsidRPr="00B73169">
              <w:t>correlated with the chances that a neighbourhood would improve over time.</w:t>
            </w:r>
            <w:r w:rsidR="00A033C6">
              <w:t xml:space="preserve"> </w:t>
            </w:r>
            <w:r w:rsidRPr="00B73169">
              <w:t>In order to test the role of cultural assets in neighbourhood revitaliz</w:t>
            </w:r>
            <w:r>
              <w:t>ation, the model combined the</w:t>
            </w:r>
            <w:r w:rsidRPr="00B73169">
              <w:t xml:space="preserve"> cultural assets index with data on neighbourhood change. The results were striking:</w:t>
            </w:r>
            <w:r w:rsidR="00A033C6">
              <w:t xml:space="preserve"> </w:t>
            </w:r>
            <w:r w:rsidRPr="00B73169">
              <w:t xml:space="preserve">83% of all block groups that improved by two or more </w:t>
            </w:r>
            <w:r w:rsidR="00E74966">
              <w:t>market value analysis (</w:t>
            </w:r>
            <w:r w:rsidRPr="00B73169">
              <w:t>MVA</w:t>
            </w:r>
            <w:r w:rsidR="00E74966">
              <w:t>)</w:t>
            </w:r>
            <w:r w:rsidRPr="00B73169">
              <w:t xml:space="preserve"> categories bet</w:t>
            </w:r>
            <w:r>
              <w:t>ween 2001</w:t>
            </w:r>
            <w:r w:rsidR="00E74966">
              <w:t>–</w:t>
            </w:r>
            <w:r>
              <w:t xml:space="preserve">3 were </w:t>
            </w:r>
            <w:r w:rsidRPr="00B73169">
              <w:t>cultural districts</w:t>
            </w:r>
            <w:r>
              <w:t xml:space="preserve"> and this association between these clusters and improvement in housing market conditions has continued (Stern &amp; Seifert, 2010)</w:t>
            </w:r>
            <w:r w:rsidRPr="00B73169">
              <w:t xml:space="preserve">. </w:t>
            </w:r>
          </w:p>
          <w:p w14:paraId="52FE987A" w14:textId="531B6F91" w:rsidR="00E74966" w:rsidRPr="00621EBA" w:rsidRDefault="00E74966" w:rsidP="00E74966"/>
        </w:tc>
      </w:tr>
    </w:tbl>
    <w:p w14:paraId="209959E2" w14:textId="77777777" w:rsidR="00410E03" w:rsidRDefault="00410E03" w:rsidP="00520273"/>
    <w:p w14:paraId="3619EE98" w14:textId="5D582705" w:rsidR="00410E03" w:rsidRDefault="00410E03" w:rsidP="00520273">
      <w:r>
        <w:t>In a US-wide study of 99 designated (post-1990s) Cultural Districts (Noonan, 2013) their impact on economic and demographic change was assessed based on data on income, employment</w:t>
      </w:r>
      <w:r w:rsidR="00364A7A">
        <w:t xml:space="preserve"> and unemployment</w:t>
      </w:r>
      <w:r>
        <w:t>, population/resident change, census, property values and educational levels. Using regression models the aggregate results found that these cultural clusters (average area 1km</w:t>
      </w:r>
      <w:r w:rsidRPr="00D65DF6">
        <w:rPr>
          <w:vertAlign w:val="superscript"/>
        </w:rPr>
        <w:t>2</w:t>
      </w:r>
      <w:r>
        <w:t xml:space="preserve">) revealed positive effects on property values, employment and income, but little evidence of significant effects on population/diversity, education or distance to employment. </w:t>
      </w:r>
    </w:p>
    <w:p w14:paraId="73401D60" w14:textId="19DDC27C" w:rsidR="00410E03" w:rsidRDefault="00410E03" w:rsidP="00520273">
      <w:r>
        <w:t xml:space="preserve">Noonan and Breznitz (2013) also study the effects of arts and cultural districts combined with the presence of research-intensive universities, arts colleges and growth in the media arts sector. Using a range of descriptive statistics based on </w:t>
      </w:r>
      <w:r w:rsidR="00364A7A">
        <w:t xml:space="preserve">a </w:t>
      </w:r>
      <w:r>
        <w:t xml:space="preserve">sample of 89 cities with cultural districts, including employment change and patent data (shares and trends) over two decades, OLS regression analysis found that the presence of cultural districts and research intensive universities had little explanatory power across arts and media-arts employment. However, </w:t>
      </w:r>
      <w:r w:rsidRPr="00F0636B">
        <w:t>art colleges were positively associated with higher levels of employment growth in these sectors</w:t>
      </w:r>
      <w:r w:rsidRPr="00CB0AC2">
        <w:t>. The growth in media-arts employment is even higher in cities with arts school</w:t>
      </w:r>
      <w:r w:rsidR="00364A7A">
        <w:t>s</w:t>
      </w:r>
      <w:r w:rsidRPr="00CB0AC2">
        <w:t xml:space="preserve"> </w:t>
      </w:r>
      <w:r w:rsidRPr="00C450BD">
        <w:rPr>
          <w:u w:val="single"/>
        </w:rPr>
        <w:t>and</w:t>
      </w:r>
      <w:r w:rsidRPr="00CB0AC2">
        <w:t xml:space="preserve"> research universities. Cities with cultural districts did see much faster rates in media arts patenting but surprisingly not the presence of universities or art colleges, concluding </w:t>
      </w:r>
      <w:r w:rsidRPr="00364A7A">
        <w:t xml:space="preserve">that </w:t>
      </w:r>
      <w:r w:rsidRPr="00F0636B">
        <w:t>the more innovative cities in media arts appear to be those with an arts or cultural district</w:t>
      </w:r>
      <w:r w:rsidRPr="00364A7A">
        <w:t>.</w:t>
      </w:r>
      <w:r w:rsidRPr="00CB0AC2">
        <w:t xml:space="preserve"> This of course depends on the nature of cultural districts and other factors (as the authors admit), but it is interesting to note that in London, the biggest media-arts cluster ‘Digital Shoreditch’ has evolved largely independently of either local university or arts school influence, with growth factors such as connectivity, personal networks (non-place-based) and proximity to production/supply chains in financial, advertising and other creative industries, in a pre-existing cultural district</w:t>
      </w:r>
      <w:r>
        <w:t xml:space="preserve"> (Foord, 2012)</w:t>
      </w:r>
      <w:r w:rsidRPr="00CB0AC2">
        <w:t>.</w:t>
      </w:r>
      <w:r>
        <w:t xml:space="preserve"> This cultural hub had been designated in both sub-regional city growth and city-wide creative industry strategies (LDA, 2003), recognising that cultural assets directly influenced the location and growth of creative and digital industries.</w:t>
      </w:r>
    </w:p>
    <w:p w14:paraId="78F91E15" w14:textId="6B7AD674" w:rsidR="00410E03" w:rsidRPr="000960C8" w:rsidRDefault="00410E03" w:rsidP="00520273">
      <w:pPr>
        <w:pStyle w:val="Heading3Numbered"/>
      </w:pPr>
      <w:bookmarkStart w:id="98" w:name="_Toc467569627"/>
      <w:r w:rsidRPr="000960C8">
        <w:lastRenderedPageBreak/>
        <w:t xml:space="preserve">Consumption (Endogenous) vs. </w:t>
      </w:r>
      <w:r w:rsidR="00AA6CBE" w:rsidRPr="000960C8">
        <w:t>Export</w:t>
      </w:r>
      <w:r w:rsidR="00AA6CBE">
        <w:t>-</w:t>
      </w:r>
      <w:r w:rsidRPr="000960C8">
        <w:t>based Impacts</w:t>
      </w:r>
      <w:bookmarkEnd w:id="98"/>
    </w:p>
    <w:p w14:paraId="0803F2F5" w14:textId="7E1DC7FB" w:rsidR="00410E03" w:rsidRDefault="00410E03" w:rsidP="00131F29">
      <w:r w:rsidRPr="000960C8">
        <w:t xml:space="preserve">As we have seen from </w:t>
      </w:r>
      <w:r>
        <w:t xml:space="preserve">the </w:t>
      </w:r>
      <w:r w:rsidRPr="000960C8">
        <w:t>literature and commissioned studies</w:t>
      </w:r>
      <w:r>
        <w:t>,</w:t>
      </w:r>
      <w:r w:rsidRPr="000960C8">
        <w:t xml:space="preserve"> economic impact </w:t>
      </w:r>
      <w:r>
        <w:t xml:space="preserve">assessments of the contribution </w:t>
      </w:r>
      <w:r w:rsidR="00AA6CBE">
        <w:t xml:space="preserve">of </w:t>
      </w:r>
      <w:r>
        <w:t>a particular cultural facility or sector to a (local/regional) economy have dominat</w:t>
      </w:r>
      <w:r w:rsidRPr="000960C8">
        <w:t>ed in this field</w:t>
      </w:r>
      <w:r>
        <w:t xml:space="preserve">. In the USA, Markusen and others have argued for a consumption based alternative to this ‘export-based’ model. This argues that increasing a sector’s ability to capture local discretionary income provides a route to sustainable job and income generation, for example by: </w:t>
      </w:r>
    </w:p>
    <w:p w14:paraId="175AA449" w14:textId="6281FDF3" w:rsidR="00410E03" w:rsidRDefault="00410E03" w:rsidP="00F0636B">
      <w:pPr>
        <w:pStyle w:val="Bullet"/>
      </w:pPr>
      <w:r>
        <w:t>providing a local outlet for user/audience attendance and spending that would otherwise leak out of the area</w:t>
      </w:r>
    </w:p>
    <w:p w14:paraId="0B5D4556" w14:textId="4C83F172" w:rsidR="00410E03" w:rsidRDefault="00410E03" w:rsidP="00F0636B">
      <w:pPr>
        <w:pStyle w:val="Bullet"/>
      </w:pPr>
      <w:r>
        <w:t>offering residents opportunities to spend more of their discretionary income on new locally produced goods and services</w:t>
      </w:r>
    </w:p>
    <w:p w14:paraId="1439AC4B" w14:textId="7CD28C96" w:rsidR="00410E03" w:rsidRDefault="00410E03" w:rsidP="00F0636B">
      <w:pPr>
        <w:pStyle w:val="Bullet"/>
      </w:pPr>
      <w:r>
        <w:t>seeding innovations that later expand into export markets</w:t>
      </w:r>
    </w:p>
    <w:p w14:paraId="039367A1" w14:textId="34683F18" w:rsidR="00410E03" w:rsidRDefault="00410E03" w:rsidP="00F0636B">
      <w:pPr>
        <w:pStyle w:val="Bullet"/>
      </w:pPr>
      <w:r>
        <w:t>nurturing organisations and occupations that re-spend more of their earnings locally than others</w:t>
      </w:r>
    </w:p>
    <w:p w14:paraId="6C2C5E8F" w14:textId="4AB0D040" w:rsidR="00410E03" w:rsidRDefault="00410E03" w:rsidP="00131F29">
      <w:r>
        <w:t>This also recognises that much arts economic activity is ‘lost’ in EIA studies due to a high level of self-employment and entrepreneurial activity that is distinct from the largely not-for-profit organisations that are typically the subject of impact assessments (Gadwa &amp; Markusen, 2009; Markusen &amp; Gadwa, 2010). In the UK, the labour structure of cultural production relies on a substantial freelance workforce many of who may be closely associated with specific CS&amp;H venues (arts, sports) including performers, artists, technicians, trainers</w:t>
      </w:r>
      <w:r w:rsidR="00AA6CBE">
        <w:t>,</w:t>
      </w:r>
      <w:r>
        <w:t xml:space="preserve"> etc. They are critical to the operation and provision of cultural experiences and cultural places, but they may be ‘dispersed’ in employment terms, understating their importance in the economic and social life of these places. Particular cultural clusters that are not considered in mainstream impact studies include artist centres and housing (e.g. studios/live-work). These US-based authors have designed a mixed methods research model in response to the conclusion that the evidence from local economic development studies into place-based impacts lacks any robust, well-developed tools. This model combines quantitative and qualitative research techniques to capture tourism/business expansion, employment/industry mix</w:t>
      </w:r>
      <w:r w:rsidR="00AA6CBE">
        <w:t xml:space="preserve">, </w:t>
      </w:r>
      <w:r>
        <w:t>property values</w:t>
      </w:r>
      <w:r w:rsidR="00AA6CBE">
        <w:t xml:space="preserve">, </w:t>
      </w:r>
      <w:r>
        <w:t>gentrification/population displacement, fiscal impacts, artist</w:t>
      </w:r>
      <w:r w:rsidR="00AA6CBE">
        <w:t xml:space="preserve"> </w:t>
      </w:r>
      <w:r>
        <w:t>in-migration and a range of physical and social impacts (connectivity, civic engagement, tenure/diversity, safety, neighbourhood confidence).</w:t>
      </w:r>
      <w:r w:rsidR="00A033C6">
        <w:t xml:space="preserve"> </w:t>
      </w:r>
    </w:p>
    <w:p w14:paraId="7D34956C" w14:textId="77777777" w:rsidR="00410E03" w:rsidRDefault="00410E03" w:rsidP="00224A2D"/>
    <w:tbl>
      <w:tblPr>
        <w:tblStyle w:val="TableGrid"/>
        <w:tblW w:w="0" w:type="auto"/>
        <w:tblInd w:w="108" w:type="dxa"/>
        <w:tblLook w:val="04A0" w:firstRow="1" w:lastRow="0" w:firstColumn="1" w:lastColumn="0" w:noHBand="0" w:noVBand="1"/>
      </w:tblPr>
      <w:tblGrid>
        <w:gridCol w:w="9178"/>
      </w:tblGrid>
      <w:tr w:rsidR="00410E03" w14:paraId="1443B2B7" w14:textId="77777777" w:rsidTr="00121553">
        <w:tc>
          <w:tcPr>
            <w:tcW w:w="9178" w:type="dxa"/>
          </w:tcPr>
          <w:p w14:paraId="5651263E" w14:textId="0C4DD59B" w:rsidR="00410E03" w:rsidRDefault="00AA6CBE" w:rsidP="00AA6CBE">
            <w:r>
              <w:t xml:space="preserve">A </w:t>
            </w:r>
            <w:r w:rsidR="00410E03">
              <w:t xml:space="preserve">large-scale study </w:t>
            </w:r>
            <w:r>
              <w:t xml:space="preserve">of </w:t>
            </w:r>
            <w:r w:rsidRPr="00AA6CBE">
              <w:t xml:space="preserve">California’s Arts and Cultural Ecology </w:t>
            </w:r>
            <w:r w:rsidR="00410E03">
              <w:t>found marked differentials in the number of arts organisations per capita and arts participation rates across cities which were not based on population size, profile or other industry factors, but were seen to be due to decade-long cultivation of local-serving arts capacity that sustains jobs and income. The methodology used several datasets including estimates of the budgets of regional arts and cultural organisations</w:t>
            </w:r>
            <w:r>
              <w:t>,</w:t>
            </w:r>
            <w:r w:rsidR="00410E03">
              <w:t xml:space="preserve"> census and community survey data and arts participation data (regional only, as in the UK). Local characteristics were determined in terms of income, education, race/ethnicity</w:t>
            </w:r>
            <w:r>
              <w:t xml:space="preserve"> and </w:t>
            </w:r>
            <w:r w:rsidR="00410E03">
              <w:t>age as well as population size/density, city status, jobs per capita and both city and private funding of arts activity. Regression (OLS) analysis was done at city level (n</w:t>
            </w:r>
            <w:r>
              <w:t>=</w:t>
            </w:r>
            <w:r w:rsidR="00410E03">
              <w:t xml:space="preserve">237 with population &gt;20,000). Features positively associated with a higher number of arts </w:t>
            </w:r>
            <w:r>
              <w:t xml:space="preserve">and </w:t>
            </w:r>
            <w:r w:rsidR="00410E03">
              <w:t xml:space="preserve">cultural organisations per capita were job density, private arts funding, residents’ education level and personal wealth. Regional location did not prove to be a statistically significant predictor. Job density was </w:t>
            </w:r>
            <w:r w:rsidR="00410E03">
              <w:lastRenderedPageBreak/>
              <w:t xml:space="preserve">seen to facilitate host businesses, owners/managers and employees who contribute to local arts </w:t>
            </w:r>
            <w:r>
              <w:t xml:space="preserve">and </w:t>
            </w:r>
            <w:r w:rsidR="00410E03">
              <w:t>culture</w:t>
            </w:r>
            <w:r>
              <w:t>,</w:t>
            </w:r>
            <w:r w:rsidR="00410E03">
              <w:t xml:space="preserve"> and firms who feel that a strong arts offering enhances employee motivations, help</w:t>
            </w:r>
            <w:r>
              <w:t>s</w:t>
            </w:r>
            <w:r w:rsidR="00410E03">
              <w:t xml:space="preserve"> attract/retain employees and encourage</w:t>
            </w:r>
            <w:r>
              <w:t>s</w:t>
            </w:r>
            <w:r w:rsidR="00410E03">
              <w:t xml:space="preserve"> customers/sales. Evidence on the comparative density of artists also supported a capacity-building interpretation of their role. The study concludes that place-based analysis confirms that certain communities especially job centres that also attract well-educated, wealthier residents are more apt to provide a home for arts and cultural organisations regardless of region, reinforcing a virtual cycle of arts activity and attendance (Markusen, et al</w:t>
            </w:r>
            <w:r w:rsidR="008F5A81">
              <w:t>,</w:t>
            </w:r>
            <w:r w:rsidR="00410E03">
              <w:t xml:space="preserve"> 2012).</w:t>
            </w:r>
          </w:p>
          <w:p w14:paraId="65554BA4" w14:textId="340F9EF0" w:rsidR="00AA6CBE" w:rsidRDefault="00AA6CBE" w:rsidP="00AA6CBE"/>
        </w:tc>
      </w:tr>
    </w:tbl>
    <w:p w14:paraId="042BCBAF" w14:textId="77777777" w:rsidR="00410E03" w:rsidRDefault="00410E03" w:rsidP="00131F29"/>
    <w:p w14:paraId="1F31AAB4" w14:textId="21086168" w:rsidR="00410E03" w:rsidRDefault="00410E03" w:rsidP="00224A2D">
      <w:r>
        <w:t>In a separate study in the USA of culture-base</w:t>
      </w:r>
      <w:r w:rsidR="0065661D">
        <w:t>d</w:t>
      </w:r>
      <w:r>
        <w:t xml:space="preserve"> development and the effects on economic and social well-being (Tubadji et al, 2015) a cross-sectional study also found the existence of a positive cultural effect on local development – economic and social well-being – as well as the fact that endogenous cultural industries had a positive effect on the mobility of human capital. A concentration of cultural activity seems to be a predictor for those areas which have the characteristics of regional economic growth. </w:t>
      </w:r>
    </w:p>
    <w:p w14:paraId="5D99CA0C" w14:textId="430E3297" w:rsidR="00410E03" w:rsidRDefault="00410E03" w:rsidP="00520273">
      <w:r>
        <w:t xml:space="preserve">In </w:t>
      </w:r>
      <w:r w:rsidRPr="004F311B">
        <w:rPr>
          <w:i/>
        </w:rPr>
        <w:t>Art of the Possible</w:t>
      </w:r>
      <w:r>
        <w:rPr>
          <w:i/>
        </w:rPr>
        <w:t xml:space="preserve"> </w:t>
      </w:r>
      <w:r>
        <w:t xml:space="preserve">(2010: 21-28), one of the studies analysed in depth was on the </w:t>
      </w:r>
      <w:r w:rsidRPr="004F311B">
        <w:rPr>
          <w:i/>
        </w:rPr>
        <w:t>Spillover Effects of Investments in Cul</w:t>
      </w:r>
      <w:r>
        <w:rPr>
          <w:i/>
        </w:rPr>
        <w:t>tural F</w:t>
      </w:r>
      <w:r w:rsidRPr="004F311B">
        <w:rPr>
          <w:i/>
        </w:rPr>
        <w:t>acilities</w:t>
      </w:r>
      <w:r>
        <w:t xml:space="preserve"> carried out in Toronto and Vancouver, Canada (Jones et al, 2003). This study used spatial data analysis/GIS techniques to measure small area effects arising from cultural investments. This included impacts on property values, employment, income, retail sales, vacancy rates, new business creation and building development, alongside demographic, community engagement, crime and usage indicators (based on resident and business surveys). The cultural districts included cultural, community and production facilities. The study found that in both cases artistic and cultural components were strongly associated with growth, retail sales increase, development, image improvement and investment. Residents and firms strongly believed that artists and facilities were important drivers of growth and change including wellbeing, with new firm growth as well as churn (20</w:t>
      </w:r>
      <w:r w:rsidR="00F80B65">
        <w:t>–</w:t>
      </w:r>
      <w:r>
        <w:t xml:space="preserve">30% of these were ‘culturally-related’ businesses.). Social impacts included higher employment/income, lower unemployment and higher levels of education within the resident community, as well as property value increases and building development. Proving causality for some of these associations is of course difficult, but comparable data is available in the UK for some of the indicators used in this study, although some primary research would be needed to gauge change effects and perceptions (as in all cases to directly attribute CS&amp;H asset change effects). These studies were the subject of a subsequent review at national level (Sharpe et al, 2004) and issues of methodology was helpfully discussed. This included the issue of control/counterfactual, like for like comparisons (i.e. between similar cultural investment types in different locations) and also between different types of cultural activity, visitor vs. producer-led, for example between more contemporary cultural production (e.g. </w:t>
      </w:r>
      <w:r w:rsidR="006F44D8">
        <w:t>artists’</w:t>
      </w:r>
      <w:r>
        <w:t xml:space="preserve"> studios, live arts) and static provision (e.g. historic museum). </w:t>
      </w:r>
    </w:p>
    <w:p w14:paraId="5CEBDBAB" w14:textId="748F1F0D" w:rsidR="00410E03" w:rsidRDefault="00410E03" w:rsidP="00520273">
      <w:r>
        <w:t xml:space="preserve">In a study by </w:t>
      </w:r>
      <w:r w:rsidRPr="00F9109B">
        <w:t>Pedroni &amp; Sheppard</w:t>
      </w:r>
      <w:r>
        <w:t xml:space="preserve"> (2013) </w:t>
      </w:r>
      <w:r w:rsidRPr="00F9109B">
        <w:t>the issue of cultural spending and the lack of hard evidence of the causal relationship between local cultural production and prosperity</w:t>
      </w:r>
      <w:r>
        <w:t xml:space="preserve"> is investigated</w:t>
      </w:r>
      <w:r w:rsidRPr="00F9109B">
        <w:t xml:space="preserve">. Using a model of culture and growth drawing on an established econometric framework </w:t>
      </w:r>
      <w:r>
        <w:t xml:space="preserve">(Canning &amp; Pedroni, 2008) </w:t>
      </w:r>
      <w:r w:rsidRPr="00F9109B">
        <w:t xml:space="preserve">this is applied </w:t>
      </w:r>
      <w:r w:rsidRPr="00C80488">
        <w:t xml:space="preserve">across 384 </w:t>
      </w:r>
      <w:r w:rsidR="00C80488" w:rsidRPr="00C80488">
        <w:t>Metropolitan Statistical Areas (</w:t>
      </w:r>
      <w:r w:rsidRPr="00C80488">
        <w:t>MSAs</w:t>
      </w:r>
      <w:r w:rsidR="00C80488" w:rsidRPr="00C80488">
        <w:t>)</w:t>
      </w:r>
      <w:r w:rsidRPr="00C80488">
        <w:t xml:space="preserve"> </w:t>
      </w:r>
      <w:r w:rsidRPr="002D625F">
        <w:t>using panel data</w:t>
      </w:r>
      <w:r>
        <w:t xml:space="preserve"> (preferred over cross-sectional data) based on non-</w:t>
      </w:r>
      <w:r w:rsidRPr="00F9109B">
        <w:t xml:space="preserve">profits at two time points, 1990 and 2006. The </w:t>
      </w:r>
      <w:r w:rsidRPr="00F9109B">
        <w:lastRenderedPageBreak/>
        <w:t xml:space="preserve">results reveal divergence between regions, with the urban Northeast showing the strongest positive relationship between culture and prosperity and the equivalent region in the Southeast the lowest </w:t>
      </w:r>
      <w:r w:rsidR="00F80B65">
        <w:t>–</w:t>
      </w:r>
      <w:r w:rsidR="00F80B65" w:rsidRPr="00F9109B">
        <w:t xml:space="preserve"> </w:t>
      </w:r>
      <w:r w:rsidRPr="00F9109B">
        <w:t xml:space="preserve">indeed a negative relationship between locally financed cultural production and GDP. </w:t>
      </w:r>
      <w:r>
        <w:t xml:space="preserve">This analysis reveals a causal connection between increases in local cultural production and permanent increases in local GDP, both in short-run multiplier effects but also steady-state income levels. As with other studies, it would </w:t>
      </w:r>
      <w:r w:rsidRPr="00F9109B">
        <w:t>be illuminating to focus on the distinctions between arts/cultural forms</w:t>
      </w:r>
      <w:r>
        <w:t xml:space="preserve"> and sectors, </w:t>
      </w:r>
      <w:r w:rsidRPr="00F9109B">
        <w:t>since they perform economically quite differently.</w:t>
      </w:r>
    </w:p>
    <w:p w14:paraId="2AC5C29B" w14:textId="5A0D9483" w:rsidR="00410E03" w:rsidRDefault="00410E03" w:rsidP="00520273">
      <w:pPr>
        <w:pStyle w:val="Heading3Numbered"/>
      </w:pPr>
      <w:bookmarkStart w:id="99" w:name="_Toc467569628"/>
      <w:bookmarkStart w:id="100" w:name="_Ref467569978"/>
      <w:r>
        <w:t>UK Cultural Clusters and Creative Economy</w:t>
      </w:r>
      <w:bookmarkEnd w:id="99"/>
      <w:bookmarkEnd w:id="100"/>
    </w:p>
    <w:p w14:paraId="611628F9" w14:textId="31A73E65" w:rsidR="00DC2628" w:rsidRPr="00DC2628" w:rsidRDefault="00410E03" w:rsidP="00DC2628">
      <w:r>
        <w:t>Recognising that the literature in this field is predominantly North American, a team from NESTA undertook a study of English cities to determine through econometric analysis the relationships between arts and cultural agglomeration and different parts of the creative economy (Bakhshi et al</w:t>
      </w:r>
      <w:r w:rsidR="008F5A81">
        <w:t>,</w:t>
      </w:r>
      <w:r>
        <w:t xml:space="preserve"> 2013). </w:t>
      </w:r>
      <w:r w:rsidR="00DC2628" w:rsidRPr="00514EFA">
        <w:rPr>
          <w:rFonts w:cs="Arial"/>
        </w:rPr>
        <w:t xml:space="preserve">There are two main competing theories as to the effects of cultural clustering on local wages. The first suggests that workers will be willing to sacrifice low wages in order to live in an area with a rich cultural sector, therefore – all other things being equal – wages will negatively correlate with cultural clustering. The second theory posits that cultural clusters boost the local economy due to an influx of human/organisational capital, causing spillover to other industries. According to this theory, cultural clustering is expected to be positively associated with wages, leading to a wage premium in cities with high cultural clustering. </w:t>
      </w:r>
    </w:p>
    <w:p w14:paraId="2A2ED510" w14:textId="31CFB137" w:rsidR="00DC2628" w:rsidRPr="00514EFA" w:rsidRDefault="00DC2628" w:rsidP="00DC2628">
      <w:pPr>
        <w:rPr>
          <w:rFonts w:cs="Arial"/>
        </w:rPr>
      </w:pPr>
      <w:r w:rsidRPr="00514EFA">
        <w:rPr>
          <w:rFonts w:cs="Arial"/>
        </w:rPr>
        <w:t>In England, there appears to be a positive relationship between the level of employment in cultural industries in an area and hourly wages.</w:t>
      </w:r>
      <w:r>
        <w:rPr>
          <w:rFonts w:cs="Arial"/>
        </w:rPr>
        <w:t xml:space="preserve"> </w:t>
      </w:r>
      <w:r w:rsidRPr="00514EFA">
        <w:rPr>
          <w:rFonts w:cs="Arial"/>
        </w:rPr>
        <w:t>However, this relationship may not hold when other factors are controlled for. Through the use of an econometric model, this study tests the robustness of the relationship between arts and cultural clustering and worker wages. The model estimates individual wages by estimating wages as a function of both individual characteristics (e.g. education, ethnicity, migration status), characteristics of the city (including factors such as clustering, education levels, size of the population) and regi</w:t>
      </w:r>
      <w:r w:rsidR="006F44D8">
        <w:rPr>
          <w:rFonts w:cs="Arial"/>
        </w:rPr>
        <w:t>o</w:t>
      </w:r>
      <w:r w:rsidRPr="00514EFA">
        <w:rPr>
          <w:rFonts w:cs="Arial"/>
        </w:rPr>
        <w:t>nal characteristics which control for wider characteristics of where the city is located. The model is estimated using Ordinary Least Squares (OLS). The model is designed to test whether there is a positive (wage premium) or negative (compensating effect) relationship between cultural clustering and wages.</w:t>
      </w:r>
    </w:p>
    <w:p w14:paraId="61B0A346" w14:textId="77777777" w:rsidR="00DC2628" w:rsidRPr="00514EFA" w:rsidRDefault="00DC2628" w:rsidP="00DC2628">
      <w:pPr>
        <w:rPr>
          <w:rFonts w:cs="Arial"/>
        </w:rPr>
      </w:pPr>
      <w:r w:rsidRPr="00514EFA">
        <w:rPr>
          <w:rFonts w:cs="Arial"/>
        </w:rPr>
        <w:t xml:space="preserve">The data is at the level of Travel to Work Area (TTW) and draws from the Annual Population Survey (APS), Business Register Employment Survey (BRES) and a dataset of business registered on the Culture24 platform. The model uses average hourly wage calculated from APS data while simultaneously controlling for individual characteristics using data drawn from the APS including: experience, education, gender, ethnicity, broad occupational level (one digit SOC) and whether the individual is in the private or public sector. There measures of cultural cluster were used, </w:t>
      </w:r>
      <w:r w:rsidRPr="00514EFA">
        <w:rPr>
          <w:rFonts w:cs="Arial"/>
          <w:i/>
        </w:rPr>
        <w:t>employment</w:t>
      </w:r>
      <w:r w:rsidRPr="00514EFA">
        <w:rPr>
          <w:rFonts w:cs="Arial"/>
        </w:rPr>
        <w:t xml:space="preserve">, </w:t>
      </w:r>
      <w:r w:rsidRPr="00514EFA">
        <w:rPr>
          <w:rFonts w:cs="Arial"/>
          <w:i/>
        </w:rPr>
        <w:t>occupational</w:t>
      </w:r>
      <w:r w:rsidRPr="00514EFA">
        <w:rPr>
          <w:rFonts w:cs="Arial"/>
        </w:rPr>
        <w:t xml:space="preserve"> and </w:t>
      </w:r>
      <w:r w:rsidRPr="00514EFA">
        <w:rPr>
          <w:rFonts w:cs="Arial"/>
          <w:i/>
        </w:rPr>
        <w:t>institutional</w:t>
      </w:r>
      <w:r w:rsidRPr="00514EFA">
        <w:rPr>
          <w:rFonts w:cs="Arial"/>
        </w:rPr>
        <w:t>. Employment clustering was calculated for each area using data from BRES while occupation clustering was calculated using data from the APS; these measure creative clustering at the industrial sector levels and occupation level respectively. The model also included a measure of institutional clustering (e.g. galleries, libraries, heritage sites) using data drawn from Culture24.</w:t>
      </w:r>
    </w:p>
    <w:p w14:paraId="7FC78EBE" w14:textId="50498C94" w:rsidR="00410E03" w:rsidRDefault="00DC2628" w:rsidP="00DC2628">
      <w:r w:rsidRPr="00514EFA">
        <w:rPr>
          <w:rFonts w:cs="Arial"/>
        </w:rPr>
        <w:t xml:space="preserve">After controlling for individual characteristics cultural occupational clustering was positively correlated with wages, however, cultural employment clustering and cultural institution clustering were negatively associated with wages. However, the positive relationship between cultural occupational clustering is not significant </w:t>
      </w:r>
      <w:r w:rsidRPr="00514EFA">
        <w:rPr>
          <w:rFonts w:cs="Arial"/>
        </w:rPr>
        <w:lastRenderedPageBreak/>
        <w:t>when controlling for city levels factors (such as education). By contrast the negative relationship between cultural employment cluster and cultural institution and wages were unaffected by city level factors. However, when focussing on workers in creative occupations industries, there appears to be a wage premium for these workers from higher institutional cultural clustering, but not the other measures of cultural clustering. For the workforce as a whole, therefore, the evidence seems to suggest that cultural clustering leads to lower wages while worker in creative industries may enjoy a wage premium in areas with high institutional creative clustering. This provides evidence for the idea that workers sacrifice higher wages to live in areas with high culture but also provides some evidence for the idea of spillover effects. However, these slipover effects appear to be limited to the creative industries only.</w:t>
      </w:r>
      <w:r>
        <w:t xml:space="preserve"> </w:t>
      </w:r>
      <w:r w:rsidR="00410E03">
        <w:t>The authors conclude that this study provides evidence of the positive effect of arts and cultural clustering on the productivity of cultural and creative workers, with evidence of spillovers from arts clustering to the wider creative economy.</w:t>
      </w:r>
    </w:p>
    <w:p w14:paraId="4EA01AD5" w14:textId="5DCDBC8F" w:rsidR="00DC2628" w:rsidRPr="00514EFA" w:rsidRDefault="00DC2628" w:rsidP="00DC2628">
      <w:pPr>
        <w:rPr>
          <w:rFonts w:cs="Arial"/>
        </w:rPr>
      </w:pPr>
      <w:r>
        <w:rPr>
          <w:rFonts w:cs="Arial"/>
        </w:rPr>
        <w:t>Cha</w:t>
      </w:r>
      <w:r w:rsidRPr="00514EFA">
        <w:rPr>
          <w:rFonts w:cs="Arial"/>
        </w:rPr>
        <w:t>pain et al (2010) investigated the li</w:t>
      </w:r>
      <w:r>
        <w:rPr>
          <w:rFonts w:cs="Arial"/>
        </w:rPr>
        <w:t>nk</w:t>
      </w:r>
      <w:r w:rsidRPr="00514EFA">
        <w:rPr>
          <w:rFonts w:cs="Arial"/>
        </w:rPr>
        <w:t xml:space="preserve"> between creative industries and innovation.</w:t>
      </w:r>
      <w:r>
        <w:rPr>
          <w:rFonts w:cs="Arial"/>
        </w:rPr>
        <w:t xml:space="preserve"> </w:t>
      </w:r>
      <w:r w:rsidRPr="00514EFA">
        <w:rPr>
          <w:rFonts w:cs="Arial"/>
        </w:rPr>
        <w:t>The paper presents several lines of research, first a mapping of creative clusters in the UK using economic geographic techniques, secondly, exploring the level of innovation in the creative sector and thirdly, exploring the potential spillover effects</w:t>
      </w:r>
      <w:r>
        <w:rPr>
          <w:rFonts w:cs="Arial"/>
        </w:rPr>
        <w:t xml:space="preserve"> </w:t>
      </w:r>
      <w:r w:rsidRPr="00514EFA">
        <w:rPr>
          <w:rFonts w:cs="Arial"/>
        </w:rPr>
        <w:t xml:space="preserve">from creative clusters to the wider local economy. </w:t>
      </w:r>
    </w:p>
    <w:p w14:paraId="6F324D05" w14:textId="77777777" w:rsidR="00DC2628" w:rsidRPr="00F0636B" w:rsidRDefault="00DC2628" w:rsidP="00DC2628">
      <w:pPr>
        <w:rPr>
          <w:b/>
        </w:rPr>
      </w:pPr>
      <w:r w:rsidRPr="00F0636B">
        <w:rPr>
          <w:b/>
        </w:rPr>
        <w:t>Cluster Mapping</w:t>
      </w:r>
    </w:p>
    <w:p w14:paraId="77C1AB61" w14:textId="77777777" w:rsidR="00DC2628" w:rsidRPr="00514EFA" w:rsidRDefault="00DC2628" w:rsidP="00DC2628">
      <w:pPr>
        <w:rPr>
          <w:rFonts w:cs="Arial"/>
          <w:b/>
        </w:rPr>
      </w:pPr>
      <w:r w:rsidRPr="00514EFA">
        <w:rPr>
          <w:rFonts w:cs="Arial"/>
        </w:rPr>
        <w:t>The study uses the DCMS definition of the creative industries and focuses on three geographical levels</w:t>
      </w:r>
      <w:r>
        <w:rPr>
          <w:rFonts w:cs="Arial"/>
        </w:rPr>
        <w:t>:</w:t>
      </w:r>
      <w:r w:rsidRPr="00514EFA">
        <w:rPr>
          <w:rFonts w:cs="Arial"/>
        </w:rPr>
        <w:t xml:space="preserve"> regional, </w:t>
      </w:r>
      <w:r>
        <w:rPr>
          <w:rFonts w:cs="Arial"/>
        </w:rPr>
        <w:t>Travel to Work A</w:t>
      </w:r>
      <w:r w:rsidRPr="00514EFA">
        <w:rPr>
          <w:rFonts w:cs="Arial"/>
        </w:rPr>
        <w:t>rea and Middle Super Output Area (MSOA)</w:t>
      </w:r>
      <w:r>
        <w:rPr>
          <w:rFonts w:cs="Arial"/>
        </w:rPr>
        <w:t>,</w:t>
      </w:r>
      <w:r w:rsidRPr="00514EFA">
        <w:rPr>
          <w:rFonts w:cs="Arial"/>
        </w:rPr>
        <w:t xml:space="preserve"> drawing data from the Annual Business Inquiry (ABI) and BRES. At the regional level, London and (to a lesser extent) the South East stood out as creative hubs. At the TTW</w:t>
      </w:r>
      <w:r>
        <w:rPr>
          <w:rFonts w:cs="Arial"/>
        </w:rPr>
        <w:t>A</w:t>
      </w:r>
      <w:r w:rsidRPr="00514EFA">
        <w:rPr>
          <w:rFonts w:cs="Arial"/>
        </w:rPr>
        <w:t xml:space="preserve"> level, several creative agglomerations stood out including Bath, Bristol, Edinburgh</w:t>
      </w:r>
      <w:r>
        <w:rPr>
          <w:rFonts w:cs="Arial"/>
        </w:rPr>
        <w:t>,</w:t>
      </w:r>
      <w:r w:rsidRPr="00514EFA">
        <w:rPr>
          <w:rFonts w:cs="Arial"/>
        </w:rPr>
        <w:t xml:space="preserve"> Manchester and Brighton. The cluster mapping also found evidence of co-location within sections of the creative industr</w:t>
      </w:r>
      <w:r>
        <w:rPr>
          <w:rFonts w:cs="Arial"/>
        </w:rPr>
        <w:t>ies</w:t>
      </w:r>
      <w:r w:rsidRPr="00514EFA">
        <w:rPr>
          <w:rFonts w:cs="Arial"/>
        </w:rPr>
        <w:t>. Finally, the cluster mapping showed how the level of specialisation vari</w:t>
      </w:r>
      <w:r>
        <w:rPr>
          <w:rFonts w:cs="Arial"/>
        </w:rPr>
        <w:t>e</w:t>
      </w:r>
      <w:r w:rsidRPr="00514EFA">
        <w:rPr>
          <w:rFonts w:cs="Arial"/>
        </w:rPr>
        <w:t>s across the country, the North of England tended to show more specialisation while the South showed more diversification.</w:t>
      </w:r>
    </w:p>
    <w:p w14:paraId="5BD89E19" w14:textId="77777777" w:rsidR="00DC2628" w:rsidRPr="00F0636B" w:rsidRDefault="00DC2628" w:rsidP="00DC2628">
      <w:pPr>
        <w:rPr>
          <w:b/>
        </w:rPr>
      </w:pPr>
      <w:r w:rsidRPr="00F0636B">
        <w:rPr>
          <w:b/>
        </w:rPr>
        <w:t>Innovation in the creative industries</w:t>
      </w:r>
    </w:p>
    <w:p w14:paraId="20361AA6" w14:textId="77777777" w:rsidR="00DC2628" w:rsidRPr="00514EFA" w:rsidRDefault="00DC2628" w:rsidP="00DC2628">
      <w:pPr>
        <w:rPr>
          <w:rFonts w:eastAsiaTheme="minorHAnsi" w:cs="Arial"/>
        </w:rPr>
      </w:pPr>
      <w:r w:rsidRPr="00514EFA">
        <w:rPr>
          <w:rFonts w:cs="Arial"/>
        </w:rPr>
        <w:t>Th</w:t>
      </w:r>
      <w:r>
        <w:rPr>
          <w:rFonts w:cs="Arial"/>
        </w:rPr>
        <w:t>e study</w:t>
      </w:r>
      <w:r w:rsidRPr="00514EFA">
        <w:rPr>
          <w:rFonts w:cs="Arial"/>
        </w:rPr>
        <w:t xml:space="preserve"> drew evidence from the UK Innovation Survey. The results show that the creative industries are more innovative than other industries (</w:t>
      </w:r>
      <w:r>
        <w:rPr>
          <w:rFonts w:cs="Arial"/>
        </w:rPr>
        <w:t>except</w:t>
      </w:r>
      <w:r w:rsidRPr="00514EFA">
        <w:rPr>
          <w:rFonts w:cs="Arial"/>
        </w:rPr>
        <w:t xml:space="preserve"> Engineering-Based Manufacturing and Other Manufacturing), particularly in respect to how they approach R&amp;D and their propensity to launch new products into the market. Within the creative industries, </w:t>
      </w:r>
      <w:r w:rsidRPr="00514EFA">
        <w:rPr>
          <w:rFonts w:eastAsiaTheme="minorHAnsi" w:cs="Arial"/>
        </w:rPr>
        <w:t xml:space="preserve">Software, Computer Games and Electronic Publishing showed the highest levels of innovation while Film, Video </w:t>
      </w:r>
      <w:r>
        <w:rPr>
          <w:rFonts w:eastAsiaTheme="minorHAnsi" w:cs="Arial"/>
        </w:rPr>
        <w:t>&amp;</w:t>
      </w:r>
      <w:r w:rsidRPr="00514EFA">
        <w:rPr>
          <w:rFonts w:eastAsiaTheme="minorHAnsi" w:cs="Arial"/>
        </w:rPr>
        <w:t xml:space="preserve"> Photography and Arts </w:t>
      </w:r>
      <w:r>
        <w:rPr>
          <w:rFonts w:eastAsiaTheme="minorHAnsi" w:cs="Arial"/>
        </w:rPr>
        <w:t>&amp;</w:t>
      </w:r>
      <w:r w:rsidRPr="00514EFA">
        <w:rPr>
          <w:rFonts w:eastAsiaTheme="minorHAnsi" w:cs="Arial"/>
        </w:rPr>
        <w:t xml:space="preserve">Antiques firms show low levels of innovation. Creative industries were also shown to </w:t>
      </w:r>
      <w:r>
        <w:rPr>
          <w:rFonts w:eastAsiaTheme="minorHAnsi" w:cs="Arial"/>
        </w:rPr>
        <w:t xml:space="preserve">be </w:t>
      </w:r>
      <w:r w:rsidRPr="00514EFA">
        <w:rPr>
          <w:rFonts w:eastAsiaTheme="minorHAnsi" w:cs="Arial"/>
        </w:rPr>
        <w:t>more innovative than most industries when controlling for the level of innovation in the region as a whole. The exception to this is London where the creative industries show lower innovation than the region as a whole.</w:t>
      </w:r>
    </w:p>
    <w:p w14:paraId="56A9058E" w14:textId="77777777" w:rsidR="00DC2628" w:rsidRPr="00F0636B" w:rsidRDefault="00DC2628" w:rsidP="00DC2628">
      <w:pPr>
        <w:rPr>
          <w:b/>
        </w:rPr>
      </w:pPr>
      <w:r w:rsidRPr="00F0636B">
        <w:rPr>
          <w:b/>
        </w:rPr>
        <w:t xml:space="preserve">Creative Spillovers </w:t>
      </w:r>
    </w:p>
    <w:p w14:paraId="65CEEE7D" w14:textId="2DF1A7E6" w:rsidR="00DC2628" w:rsidRDefault="00DC2628" w:rsidP="00DC2628">
      <w:r w:rsidRPr="00514EFA">
        <w:rPr>
          <w:rFonts w:eastAsiaTheme="minorHAnsi" w:cs="Arial"/>
        </w:rPr>
        <w:t>To explore the idea that the creative industries boost the wider economy through spillover effects to other industries, the paper explores the level of co-location between the creative industries and two highly innovative sectors: High-Tech Manufacturing and Knowledge Intensive Business Services (KIBS). This analysis used the DCMS definition of the creative industries and definitions of High-Tech Manufacturing and KIBS produced by AeA and EFILW. Co-location analysis was performed at the level of TTW</w:t>
      </w:r>
      <w:r>
        <w:rPr>
          <w:rFonts w:eastAsiaTheme="minorHAnsi" w:cs="Arial"/>
        </w:rPr>
        <w:t>A</w:t>
      </w:r>
      <w:r w:rsidRPr="00514EFA">
        <w:rPr>
          <w:rFonts w:eastAsiaTheme="minorHAnsi" w:cs="Arial"/>
        </w:rPr>
        <w:t xml:space="preserve"> using data from ONS. The results showed that </w:t>
      </w:r>
      <w:r w:rsidRPr="00514EFA">
        <w:rPr>
          <w:rFonts w:eastAsiaTheme="minorHAnsi" w:cs="Arial"/>
        </w:rPr>
        <w:lastRenderedPageBreak/>
        <w:t xml:space="preserve">Advertising, Designer Fashion and Software, Computer Games </w:t>
      </w:r>
      <w:r>
        <w:rPr>
          <w:rFonts w:eastAsiaTheme="minorHAnsi" w:cs="Arial"/>
        </w:rPr>
        <w:t>&amp;</w:t>
      </w:r>
      <w:r w:rsidRPr="00514EFA">
        <w:rPr>
          <w:rFonts w:eastAsiaTheme="minorHAnsi" w:cs="Arial"/>
        </w:rPr>
        <w:t xml:space="preserve"> Electronic Publishing co-locate significantly and strongly with KIBS and less strongly with High-Tech Manufacturing. Most other creative sectors co-locate with KIBS, but not with High-Tech Manufacturing industries. This provides indirect evidence for economic spillover</w:t>
      </w:r>
      <w:r>
        <w:rPr>
          <w:rFonts w:eastAsiaTheme="minorHAnsi" w:cs="Arial"/>
        </w:rPr>
        <w:t xml:space="preserve"> effect</w:t>
      </w:r>
      <w:r w:rsidRPr="00514EFA">
        <w:rPr>
          <w:rFonts w:eastAsiaTheme="minorHAnsi" w:cs="Arial"/>
        </w:rPr>
        <w:t>s between highly innovative sectors.</w:t>
      </w:r>
    </w:p>
    <w:p w14:paraId="3C0285D6" w14:textId="30A2DEBC" w:rsidR="00410E03" w:rsidRDefault="00410E03" w:rsidP="00520273">
      <w:pPr>
        <w:pStyle w:val="Heading3Numbered"/>
      </w:pPr>
      <w:bookmarkStart w:id="101" w:name="_Toc467569629"/>
      <w:r w:rsidRPr="00F86D2B">
        <w:t xml:space="preserve">Creative </w:t>
      </w:r>
      <w:r w:rsidR="00AD6B47">
        <w:t>Placemaking</w:t>
      </w:r>
      <w:r w:rsidRPr="00F86D2B">
        <w:t xml:space="preserve"> London</w:t>
      </w:r>
      <w:bookmarkEnd w:id="101"/>
    </w:p>
    <w:p w14:paraId="47D533F7" w14:textId="12B790FE" w:rsidR="00410E03" w:rsidRPr="00D01D0B" w:rsidRDefault="00410E03" w:rsidP="00520273">
      <w:r w:rsidRPr="00F86D2B">
        <w:t>The integration of cultural infrastructure</w:t>
      </w:r>
      <w:r>
        <w:t>,</w:t>
      </w:r>
      <w:r w:rsidRPr="00F86D2B">
        <w:t xml:space="preserve"> enterprise and </w:t>
      </w:r>
      <w:r w:rsidR="00AD6B47">
        <w:t>placemaking</w:t>
      </w:r>
      <w:r w:rsidRPr="00F86D2B">
        <w:t xml:space="preserve"> is part of an initiative by the Lon</w:t>
      </w:r>
      <w:r>
        <w:t>d</w:t>
      </w:r>
      <w:r w:rsidRPr="00F86D2B">
        <w:t>on Assembly</w:t>
      </w:r>
      <w:r w:rsidR="0060036A">
        <w:t>,</w:t>
      </w:r>
      <w:r w:rsidRPr="00F86D2B">
        <w:t xml:space="preserve"> </w:t>
      </w:r>
      <w:r>
        <w:t xml:space="preserve">which seeks to use </w:t>
      </w:r>
      <w:r w:rsidR="00AD6B47">
        <w:t>placemaking</w:t>
      </w:r>
      <w:r>
        <w:t xml:space="preserve"> to shape regeneration with a cultural dimension. This responds both to the loss </w:t>
      </w:r>
      <w:r w:rsidR="0060036A">
        <w:t xml:space="preserve">of </w:t>
      </w:r>
      <w:r>
        <w:t xml:space="preserve">and threat to cultural workspace and cultural facilities in London (e.g. small theatres, music venues, </w:t>
      </w:r>
      <w:r w:rsidR="006F44D8">
        <w:t>artists’</w:t>
      </w:r>
      <w:r>
        <w:t xml:space="preserve"> studios) and represents a shift in the approach to the potential social and cultural benefits of supporting artistic activity, as well as physical and economic benefits, with </w:t>
      </w:r>
      <w:r w:rsidR="00AD6B47">
        <w:t>placemaking</w:t>
      </w:r>
      <w:r>
        <w:t xml:space="preserve"> described as a ‘process where partners from public, private, non-profit and community sectors strategically shape the physical and social character of a neighbourhood, town, city, or region around arts and cultural activities’ (Markusen &amp; Gadwa, 2010). Cultural provision </w:t>
      </w:r>
      <w:r w:rsidR="0060036A">
        <w:t>(</w:t>
      </w:r>
      <w:r>
        <w:t>through a Cultural Infrastructure Plan</w:t>
      </w:r>
      <w:r w:rsidR="0060036A">
        <w:t xml:space="preserve">) </w:t>
      </w:r>
      <w:r>
        <w:t xml:space="preserve">and local economic development </w:t>
      </w:r>
      <w:r w:rsidR="0060036A">
        <w:t>(</w:t>
      </w:r>
      <w:r>
        <w:t>through Creative Enterprise Zones</w:t>
      </w:r>
      <w:r w:rsidR="0060036A">
        <w:t>)</w:t>
      </w:r>
      <w:r>
        <w:t xml:space="preserve"> will be better integrated through Creative </w:t>
      </w:r>
      <w:r w:rsidR="00AD6B47">
        <w:t>Placemaking</w:t>
      </w:r>
      <w:r>
        <w:t xml:space="preserve"> efforts and projects (examples below), as a more sustainable approach to culture and regeneration than has been experienced in the past.</w:t>
      </w:r>
    </w:p>
    <w:p w14:paraId="593760AC" w14:textId="1919C1F0" w:rsidR="00410E03" w:rsidRDefault="00410E03" w:rsidP="00520273"/>
    <w:tbl>
      <w:tblPr>
        <w:tblStyle w:val="TableGrid"/>
        <w:tblW w:w="0" w:type="auto"/>
        <w:tblInd w:w="108" w:type="dxa"/>
        <w:tblLook w:val="04A0" w:firstRow="1" w:lastRow="0" w:firstColumn="1" w:lastColumn="0" w:noHBand="0" w:noVBand="1"/>
      </w:tblPr>
      <w:tblGrid>
        <w:gridCol w:w="9178"/>
      </w:tblGrid>
      <w:tr w:rsidR="00410E03" w14:paraId="4432CB31" w14:textId="77777777" w:rsidTr="00C80488">
        <w:tc>
          <w:tcPr>
            <w:tcW w:w="9178" w:type="dxa"/>
            <w:tcBorders>
              <w:bottom w:val="single" w:sz="4" w:space="0" w:color="auto"/>
            </w:tcBorders>
          </w:tcPr>
          <w:p w14:paraId="111A67F7" w14:textId="7C9E3063" w:rsidR="001B39A3" w:rsidRDefault="00410E03" w:rsidP="001B39A3">
            <w:pPr>
              <w:rPr>
                <w:rFonts w:eastAsiaTheme="minorHAnsi"/>
              </w:rPr>
            </w:pPr>
            <w:r w:rsidRPr="00C80488">
              <w:rPr>
                <w:rFonts w:eastAsiaTheme="minorHAnsi"/>
                <w:bCs/>
              </w:rPr>
              <w:t xml:space="preserve">Creative Barking and Dagenham (CBD) </w:t>
            </w:r>
            <w:r w:rsidRPr="00F86D2B">
              <w:rPr>
                <w:rFonts w:eastAsiaTheme="minorHAnsi"/>
              </w:rPr>
              <w:t xml:space="preserve">is an example of creative </w:t>
            </w:r>
            <w:r w:rsidR="00AD6B47">
              <w:rPr>
                <w:rFonts w:eastAsiaTheme="minorHAnsi"/>
              </w:rPr>
              <w:t>placemaking</w:t>
            </w:r>
            <w:r w:rsidRPr="00F86D2B">
              <w:rPr>
                <w:rFonts w:eastAsiaTheme="minorHAnsi"/>
              </w:rPr>
              <w:t xml:space="preserve"> in practice in London. Funded by Arts Council England and t</w:t>
            </w:r>
            <w:r w:rsidRPr="004C46E3">
              <w:rPr>
                <w:rFonts w:eastAsiaTheme="minorHAnsi"/>
              </w:rPr>
              <w:t>he London Borough of Barking &amp;</w:t>
            </w:r>
            <w:r w:rsidRPr="00F86D2B">
              <w:rPr>
                <w:rFonts w:eastAsiaTheme="minorHAnsi"/>
              </w:rPr>
              <w:t xml:space="preserve"> Dagenham the project is running from 2014 to 2016 with an aim to “put the area firmly on the map as a place to make and enjoy exciting art in all its many forms”. It forms </w:t>
            </w:r>
            <w:r w:rsidRPr="004C46E3">
              <w:rPr>
                <w:rFonts w:eastAsiaTheme="minorHAnsi"/>
              </w:rPr>
              <w:t>part of ACE</w:t>
            </w:r>
            <w:r w:rsidRPr="00F86D2B">
              <w:rPr>
                <w:rFonts w:eastAsiaTheme="minorHAnsi"/>
              </w:rPr>
              <w:t xml:space="preserve">’s </w:t>
            </w:r>
            <w:r w:rsidRPr="00F86D2B">
              <w:rPr>
                <w:rFonts w:eastAsiaTheme="minorHAnsi"/>
                <w:i/>
              </w:rPr>
              <w:t xml:space="preserve">Creative People and Places </w:t>
            </w:r>
            <w:r w:rsidRPr="00F86D2B">
              <w:rPr>
                <w:rFonts w:eastAsiaTheme="minorHAnsi"/>
              </w:rPr>
              <w:t>Programme which aims to encourage more people to choose, develop and take part in local cultural activities.</w:t>
            </w:r>
            <w:r w:rsidRPr="004C46E3">
              <w:rPr>
                <w:rFonts w:eastAsiaTheme="minorHAnsi"/>
              </w:rPr>
              <w:t xml:space="preserve"> </w:t>
            </w:r>
            <w:r w:rsidRPr="00F86D2B">
              <w:rPr>
                <w:rFonts w:eastAsiaTheme="minorHAnsi"/>
              </w:rPr>
              <w:t>To achieve these aims, CBD has focused on working in partnership to develop the community’s interest in the arts and creativity. Its partners include business, such as the Barking Enterprise Centre, artists such as Studio3 Arts, volunteers, local government and the community. In particular, CBD has focused on involving the community through its ‘</w:t>
            </w:r>
            <w:r w:rsidRPr="00F86D2B">
              <w:rPr>
                <w:rFonts w:eastAsiaTheme="minorHAnsi"/>
                <w:bCs/>
              </w:rPr>
              <w:t>Cultural Connectors</w:t>
            </w:r>
            <w:r w:rsidRPr="00F86D2B">
              <w:rPr>
                <w:rFonts w:eastAsiaTheme="minorHAnsi"/>
              </w:rPr>
              <w:t>’</w:t>
            </w:r>
            <w:r>
              <w:rPr>
                <w:rFonts w:eastAsiaTheme="minorHAnsi"/>
              </w:rPr>
              <w:t xml:space="preserve">, </w:t>
            </w:r>
            <w:r w:rsidRPr="00F86D2B">
              <w:rPr>
                <w:rFonts w:eastAsiaTheme="minorHAnsi"/>
              </w:rPr>
              <w:t xml:space="preserve">a </w:t>
            </w:r>
            <w:r w:rsidRPr="004C46E3">
              <w:rPr>
                <w:rFonts w:eastAsiaTheme="minorHAnsi"/>
              </w:rPr>
              <w:t xml:space="preserve">network of 120 </w:t>
            </w:r>
            <w:r>
              <w:rPr>
                <w:rFonts w:eastAsiaTheme="minorHAnsi"/>
              </w:rPr>
              <w:t>volunteer</w:t>
            </w:r>
            <w:r w:rsidRPr="00F86D2B">
              <w:rPr>
                <w:rFonts w:eastAsiaTheme="minorHAnsi"/>
              </w:rPr>
              <w:t xml:space="preserve"> local adult residents with a remit to build enthusiasm for arts and creativity at a local level, as well as helping with events and marketing. CBD has also run a wide variety of other projects to boost the area’s creative profile. These include </w:t>
            </w:r>
            <w:r w:rsidRPr="00F86D2B">
              <w:rPr>
                <w:rFonts w:eastAsiaTheme="minorHAnsi"/>
                <w:bCs/>
              </w:rPr>
              <w:t>Landmark Commissions</w:t>
            </w:r>
            <w:r w:rsidRPr="00F86D2B">
              <w:rPr>
                <w:rFonts w:eastAsiaTheme="minorHAnsi"/>
              </w:rPr>
              <w:t xml:space="preserve">, site-specific events inspired by local landmarks with an aim to “showcase the borough as a place where great art happens” and </w:t>
            </w:r>
            <w:r w:rsidRPr="00F86D2B">
              <w:rPr>
                <w:rFonts w:eastAsiaTheme="minorHAnsi"/>
                <w:bCs/>
              </w:rPr>
              <w:t>Neighbourhood Commissions</w:t>
            </w:r>
            <w:r w:rsidRPr="004C46E3">
              <w:rPr>
                <w:rFonts w:eastAsiaTheme="minorHAnsi"/>
              </w:rPr>
              <w:t xml:space="preserve">, </w:t>
            </w:r>
            <w:r w:rsidR="001B39A3">
              <w:rPr>
                <w:rFonts w:eastAsiaTheme="minorHAnsi"/>
              </w:rPr>
              <w:t>six-</w:t>
            </w:r>
            <w:r w:rsidRPr="00F86D2B">
              <w:rPr>
                <w:rFonts w:eastAsiaTheme="minorHAnsi"/>
              </w:rPr>
              <w:t>month artist residencies in selected parts of the borough aimed at encouraging creativity and ambition in local communities. CBD also runs summer festivals and a small number of funds supporting local artistic enterprises, voluntary arts groups and events in the borough. Collectively, this work has helped run 300 creative events with 8</w:t>
            </w:r>
            <w:r w:rsidRPr="004C46E3">
              <w:rPr>
                <w:rFonts w:eastAsiaTheme="minorHAnsi"/>
              </w:rPr>
              <w:t>,</w:t>
            </w:r>
            <w:r w:rsidRPr="00F86D2B">
              <w:rPr>
                <w:rFonts w:eastAsiaTheme="minorHAnsi"/>
              </w:rPr>
              <w:t xml:space="preserve">000 participants at 25 venues across the borough. The work has also supported local arts projects with £350,000 in funding and acted as a catalyst for £280,000 of funding for additional creative projects in the borough. CBD forms part of a wider effort to regenerate the borough as a centre for creativity in London. This includes the development of new artists’ studios, such as at the Ice House Quarter, supporting local theatres, new public art and the renovation of the former Abbey Leisure Centre into a cinema. The borough has also received £250,000 in funding from the London Regeneration Fund to </w:t>
            </w:r>
            <w:r w:rsidRPr="00F86D2B">
              <w:rPr>
                <w:rFonts w:eastAsiaTheme="minorHAnsi"/>
              </w:rPr>
              <w:lastRenderedPageBreak/>
              <w:t xml:space="preserve">develop a new </w:t>
            </w:r>
            <w:r w:rsidRPr="00F86D2B">
              <w:rPr>
                <w:rFonts w:eastAsiaTheme="minorHAnsi"/>
                <w:bCs/>
              </w:rPr>
              <w:t>Artist Enterprise Zone</w:t>
            </w:r>
            <w:r w:rsidRPr="00F86D2B">
              <w:rPr>
                <w:rFonts w:eastAsiaTheme="minorHAnsi"/>
                <w:b/>
                <w:bCs/>
              </w:rPr>
              <w:t xml:space="preserve"> </w:t>
            </w:r>
            <w:r w:rsidRPr="00F86D2B">
              <w:rPr>
                <w:rFonts w:eastAsiaTheme="minorHAnsi"/>
              </w:rPr>
              <w:t>in Barking,</w:t>
            </w:r>
            <w:r w:rsidRPr="004C46E3">
              <w:rPr>
                <w:rFonts w:eastAsiaTheme="minorHAnsi"/>
              </w:rPr>
              <w:t xml:space="preserve"> </w:t>
            </w:r>
            <w:r w:rsidRPr="00F86D2B">
              <w:rPr>
                <w:rFonts w:eastAsiaTheme="minorHAnsi"/>
              </w:rPr>
              <w:t>including new artists’ studios and apartments at Linton Road. The borough has ambitions that the zone will include a future creative arts hub, performance spaces and the redevelopment of the Broadway Theatre</w:t>
            </w:r>
            <w:r w:rsidRPr="004C46E3">
              <w:rPr>
                <w:rFonts w:eastAsiaTheme="minorHAnsi"/>
              </w:rPr>
              <w:t>.</w:t>
            </w:r>
            <w:r w:rsidR="001B39A3">
              <w:rPr>
                <w:rFonts w:eastAsiaTheme="minorHAnsi"/>
              </w:rPr>
              <w:t xml:space="preserve"> </w:t>
            </w:r>
          </w:p>
          <w:p w14:paraId="3170439F" w14:textId="1E3FD4EB" w:rsidR="001B39A3" w:rsidRDefault="001B39A3" w:rsidP="001B39A3">
            <w:pPr>
              <w:rPr>
                <w:rFonts w:eastAsiaTheme="minorHAnsi"/>
              </w:rPr>
            </w:pPr>
            <w:r w:rsidRPr="00F86D2B">
              <w:rPr>
                <w:rFonts w:eastAsiaTheme="minorHAnsi"/>
              </w:rPr>
              <w:t xml:space="preserve">The London Borough of Croydon differs in its approach to culture and regeneration, focusing on a diverse range of projects in specific geographic locations in the borough. This includes large-scale projects, such as the plans for a new Cultural and Education Quarter at Fairfield Halls in the centre of Croydon, as well as smaller creative </w:t>
            </w:r>
            <w:r w:rsidR="00AD6B47">
              <w:rPr>
                <w:rFonts w:eastAsiaTheme="minorHAnsi"/>
              </w:rPr>
              <w:t>placemaking</w:t>
            </w:r>
            <w:r w:rsidRPr="00F86D2B">
              <w:rPr>
                <w:rFonts w:eastAsiaTheme="minorHAnsi"/>
              </w:rPr>
              <w:t xml:space="preserve"> projects in New Addington and at Ashburton Park. Croydon is investing £30</w:t>
            </w:r>
            <w:r>
              <w:rPr>
                <w:rFonts w:eastAsiaTheme="minorHAnsi"/>
              </w:rPr>
              <w:t>m</w:t>
            </w:r>
            <w:r w:rsidRPr="00F86D2B">
              <w:rPr>
                <w:rFonts w:eastAsiaTheme="minorHAnsi"/>
              </w:rPr>
              <w:t xml:space="preserve"> in the large-scale regeneration of the 1960s Fairfield Halls music venue and Croydon College to make the area into a Cultural and Education Quarter, a ‘destination for Londoners’. Croydon’s Director for Culture, Paula Murray</w:t>
            </w:r>
            <w:r>
              <w:rPr>
                <w:rFonts w:eastAsiaTheme="minorHAnsi"/>
              </w:rPr>
              <w:t>,</w:t>
            </w:r>
            <w:r w:rsidRPr="00F86D2B">
              <w:rPr>
                <w:rFonts w:eastAsiaTheme="minorHAnsi"/>
              </w:rPr>
              <w:t xml:space="preserve"> has argued that the space will meet community needs as residents ‘want to see our young people performing on those stages, they want to see it open more of the time with activity happening throughout the day, they absolutely want a quality classical music offer’. Croydon has also invested in small-scale creative </w:t>
            </w:r>
            <w:r w:rsidR="00AD6B47">
              <w:rPr>
                <w:rFonts w:eastAsiaTheme="minorHAnsi"/>
              </w:rPr>
              <w:t>placemaking</w:t>
            </w:r>
            <w:r w:rsidRPr="00F86D2B">
              <w:rPr>
                <w:rFonts w:eastAsiaTheme="minorHAnsi"/>
              </w:rPr>
              <w:t xml:space="preserve"> projects working with local communities. For example, in New Addington, a geographically isolated, socially excluded part of the borough, Croydon used £516,000 funding from the GLA’s Outer London Fund to regenerate the Central Parade</w:t>
            </w:r>
            <w:r>
              <w:rPr>
                <w:rFonts w:eastAsiaTheme="minorHAnsi"/>
              </w:rPr>
              <w:t xml:space="preserve"> </w:t>
            </w:r>
            <w:r w:rsidRPr="00F86D2B">
              <w:rPr>
                <w:rFonts w:eastAsiaTheme="minorHAnsi"/>
              </w:rPr>
              <w:t xml:space="preserve">as part of its Connected Croydon Programme. </w:t>
            </w:r>
            <w:r>
              <w:rPr>
                <w:rFonts w:eastAsiaTheme="minorHAnsi"/>
              </w:rPr>
              <w:t xml:space="preserve">As part of this </w:t>
            </w:r>
            <w:r w:rsidRPr="00F86D2B">
              <w:rPr>
                <w:rFonts w:eastAsiaTheme="minorHAnsi"/>
              </w:rPr>
              <w:t>project, the borough worked with local community group Pathfinders and identified a need for an ‘animating public space’ with a programme of events. The GLA claims that this work resulted in a local cultural events programme for the public space, greater trust in the regeneration project and the development of a Business Improvement District (BID). Croydon is also undertaking a similar community partnership approach in the restoration of a former library in Ashburton Park. It has identified a need to ‘celebrate local culture and heritage’ on the site, potentially including multi-use performing arts space, local history exhibits and arts and crafts events.</w:t>
            </w:r>
          </w:p>
          <w:p w14:paraId="3C848D70" w14:textId="5D42522C" w:rsidR="001B39A3" w:rsidRPr="00F86D2B" w:rsidRDefault="001B39A3" w:rsidP="001B39A3">
            <w:pPr>
              <w:rPr>
                <w:rFonts w:eastAsiaTheme="minorHAnsi"/>
              </w:rPr>
            </w:pPr>
          </w:p>
        </w:tc>
      </w:tr>
    </w:tbl>
    <w:p w14:paraId="0DFA5E9F" w14:textId="77777777" w:rsidR="00E2185B" w:rsidRPr="00514EFA" w:rsidRDefault="00E2185B" w:rsidP="00E2185B">
      <w:pPr>
        <w:pStyle w:val="Heading3Numbered"/>
      </w:pPr>
      <w:bookmarkStart w:id="102" w:name="_Toc467569630"/>
      <w:r w:rsidRPr="00514EFA">
        <w:lastRenderedPageBreak/>
        <w:t>International literature on creative clustering and determinants of location decisions</w:t>
      </w:r>
      <w:bookmarkEnd w:id="102"/>
    </w:p>
    <w:p w14:paraId="58C0336A" w14:textId="77777777" w:rsidR="00E2185B" w:rsidRPr="00514EFA" w:rsidRDefault="00E2185B" w:rsidP="00E2185B">
      <w:pPr>
        <w:rPr>
          <w:rFonts w:cs="Arial"/>
        </w:rPr>
      </w:pPr>
      <w:r w:rsidRPr="00514EFA">
        <w:rPr>
          <w:rFonts w:cs="Arial"/>
        </w:rPr>
        <w:t>A central question in this research study is the extent to which CS&amp;H assets and associated investment represent pull factors which encourage economic activity (e.g. through the relocation or start-up of firms in certain locations).</w:t>
      </w:r>
      <w:r>
        <w:rPr>
          <w:rFonts w:cs="Arial"/>
        </w:rPr>
        <w:t xml:space="preserve"> </w:t>
      </w:r>
      <w:r w:rsidRPr="00514EFA">
        <w:rPr>
          <w:rFonts w:cs="Arial"/>
        </w:rPr>
        <w:t>The literature includes a number of studies which consider the potential influence of CS&amp;H assets and investments (amongst other things, but in the form of amenities, asset density</w:t>
      </w:r>
      <w:r>
        <w:rPr>
          <w:rFonts w:cs="Arial"/>
        </w:rPr>
        <w:t>, etc.</w:t>
      </w:r>
      <w:r w:rsidRPr="00514EFA">
        <w:rPr>
          <w:rFonts w:cs="Arial"/>
        </w:rPr>
        <w:t>) on the location decisions of firms.</w:t>
      </w:r>
      <w:r>
        <w:rPr>
          <w:rFonts w:cs="Arial"/>
        </w:rPr>
        <w:t xml:space="preserve"> </w:t>
      </w:r>
      <w:r w:rsidRPr="00514EFA">
        <w:rPr>
          <w:rFonts w:cs="Arial"/>
        </w:rPr>
        <w:t>There is a significant focus on the location decisions of firms in the creative industries in this literature, especially those which use econometric estimation techniques to examine these relationships.</w:t>
      </w:r>
    </w:p>
    <w:p w14:paraId="60814B96" w14:textId="77777777" w:rsidR="00E2185B" w:rsidRPr="00514EFA" w:rsidRDefault="00E2185B" w:rsidP="00E2185B">
      <w:pPr>
        <w:rPr>
          <w:rFonts w:cs="Arial"/>
        </w:rPr>
      </w:pPr>
      <w:r w:rsidRPr="00514EFA">
        <w:rPr>
          <w:rFonts w:cs="Arial"/>
        </w:rPr>
        <w:t xml:space="preserve">Creative industries in these studies refer to a range of economic activities concerned with the output of creativity, ideas and knowledge – including digital. </w:t>
      </w:r>
      <w:r>
        <w:rPr>
          <w:rFonts w:cs="Arial"/>
        </w:rPr>
        <w:t>W</w:t>
      </w:r>
      <w:r w:rsidRPr="00514EFA">
        <w:rPr>
          <w:rFonts w:cs="Arial"/>
        </w:rPr>
        <w:t xml:space="preserve">e follow the creative industries definition from DCMS: “Those industries which have their origin in individual creativity, skill and talent and which have a potential for wealth and job creation through the generation and exploitation of intellectual property”. </w:t>
      </w:r>
    </w:p>
    <w:p w14:paraId="5B3DB0C7" w14:textId="74A3A307" w:rsidR="00E2185B" w:rsidRPr="00514EFA" w:rsidRDefault="00E2185B" w:rsidP="00E2185B">
      <w:pPr>
        <w:rPr>
          <w:rFonts w:cs="Arial"/>
        </w:rPr>
      </w:pPr>
      <w:r w:rsidRPr="00514EFA">
        <w:rPr>
          <w:rFonts w:cs="Arial"/>
        </w:rPr>
        <w:t xml:space="preserve">The creative industries and the creative class (a class of individuals in professions relating to the generation of creativity and knowledge) have been a focus for </w:t>
      </w:r>
      <w:r w:rsidRPr="00514EFA">
        <w:rPr>
          <w:rFonts w:cs="Arial"/>
        </w:rPr>
        <w:lastRenderedPageBreak/>
        <w:t>researchers as it has been posited that these are an ascendant source of growth in modern economies, capable of driving regional economic growth through innovation.</w:t>
      </w:r>
    </w:p>
    <w:p w14:paraId="68B3A2B9" w14:textId="44B246E4" w:rsidR="00E2185B" w:rsidRPr="00514EFA" w:rsidRDefault="00E2185B" w:rsidP="00E2185B">
      <w:pPr>
        <w:rPr>
          <w:rFonts w:cs="Arial"/>
        </w:rPr>
      </w:pPr>
      <w:r w:rsidRPr="00514EFA">
        <w:rPr>
          <w:rFonts w:cs="Arial"/>
        </w:rPr>
        <w:t>Recognising that the creative industries tend to concentrate mainly around large- and medium-sized cities, forming creative local production systems, Lazzeretti et al (2009) examined the forces behind clustering of creative industries.</w:t>
      </w:r>
      <w:r>
        <w:rPr>
          <w:rFonts w:cs="Arial"/>
        </w:rPr>
        <w:t xml:space="preserve"> </w:t>
      </w:r>
      <w:r w:rsidRPr="00514EFA">
        <w:rPr>
          <w:rFonts w:cs="Arial"/>
        </w:rPr>
        <w:t>The objective was to provide the first empirical explanation of the determinants of creative employment clustering</w:t>
      </w:r>
      <w:r>
        <w:rPr>
          <w:rFonts w:cs="Arial"/>
        </w:rPr>
        <w:t>,</w:t>
      </w:r>
      <w:r w:rsidRPr="00514EFA">
        <w:rPr>
          <w:rFonts w:cs="Arial"/>
        </w:rPr>
        <w:t xml:space="preserve"> following a multidisciplinary approach based on cultural and creative economics, evolutionary geography and urban economics.</w:t>
      </w:r>
      <w:r>
        <w:rPr>
          <w:rFonts w:cs="Arial"/>
        </w:rPr>
        <w:t xml:space="preserve"> </w:t>
      </w:r>
      <w:r w:rsidRPr="00514EFA">
        <w:rPr>
          <w:rFonts w:cs="Arial"/>
        </w:rPr>
        <w:t>This</w:t>
      </w:r>
      <w:r>
        <w:rPr>
          <w:rFonts w:cs="Arial"/>
        </w:rPr>
        <w:t xml:space="preserve"> was achieved</w:t>
      </w:r>
      <w:r w:rsidRPr="00514EFA">
        <w:rPr>
          <w:rFonts w:cs="Arial"/>
        </w:rPr>
        <w:t xml:space="preserve"> through a comparative analysis of Italy and Spain.</w:t>
      </w:r>
    </w:p>
    <w:p w14:paraId="4E768AA4" w14:textId="77777777" w:rsidR="00E2185B" w:rsidRPr="00514EFA" w:rsidRDefault="00E2185B" w:rsidP="00E2185B">
      <w:pPr>
        <w:rPr>
          <w:rFonts w:cs="Arial"/>
        </w:rPr>
      </w:pPr>
      <w:r w:rsidRPr="00514EFA">
        <w:rPr>
          <w:rFonts w:cs="Arial"/>
        </w:rPr>
        <w:t>The study first assesses the level of clustering of the creative industries using location quotient analysis in Italy and Spain.</w:t>
      </w:r>
      <w:r>
        <w:rPr>
          <w:rFonts w:cs="Arial"/>
        </w:rPr>
        <w:t xml:space="preserve"> </w:t>
      </w:r>
      <w:r w:rsidRPr="00514EFA">
        <w:rPr>
          <w:rFonts w:cs="Arial"/>
        </w:rPr>
        <w:t xml:space="preserve"> It goes on to design and employ an empirical (exponential) model to understand the process of creative industries’ clustering.</w:t>
      </w:r>
      <w:r>
        <w:rPr>
          <w:rFonts w:cs="Arial"/>
        </w:rPr>
        <w:t xml:space="preserve"> </w:t>
      </w:r>
    </w:p>
    <w:p w14:paraId="34B1A3F3" w14:textId="77777777" w:rsidR="00E2185B" w:rsidRPr="00514EFA" w:rsidRDefault="00E2185B" w:rsidP="00E2185B">
      <w:pPr>
        <w:rPr>
          <w:rFonts w:cs="Arial"/>
        </w:rPr>
      </w:pPr>
      <w:r w:rsidRPr="00514EFA">
        <w:rPr>
          <w:rFonts w:cs="Arial"/>
        </w:rPr>
        <w:t>The model tested the relationship between levels of creative clustering and a number of determinants, namely</w:t>
      </w:r>
      <w:r>
        <w:rPr>
          <w:rFonts w:cs="Arial"/>
        </w:rPr>
        <w:t xml:space="preserve"> </w:t>
      </w:r>
      <w:r w:rsidRPr="00514EFA">
        <w:rPr>
          <w:rFonts w:cs="Arial"/>
        </w:rPr>
        <w:t xml:space="preserve">historical and cultural heritage, localisation economies, urbanisation economies, related variety, human capital and Florida’s </w:t>
      </w:r>
      <w:r>
        <w:rPr>
          <w:rFonts w:cs="Arial"/>
        </w:rPr>
        <w:t xml:space="preserve">three </w:t>
      </w:r>
      <w:r w:rsidRPr="00514EFA">
        <w:rPr>
          <w:rFonts w:cs="Arial"/>
        </w:rPr>
        <w:t xml:space="preserve">T’s (technology, talent, tolerance). </w:t>
      </w:r>
    </w:p>
    <w:p w14:paraId="1DEB6A1C" w14:textId="77777777" w:rsidR="00E2185B" w:rsidRPr="00514EFA" w:rsidRDefault="00E2185B" w:rsidP="00E2185B">
      <w:pPr>
        <w:rPr>
          <w:rFonts w:cs="Arial"/>
        </w:rPr>
      </w:pPr>
      <w:r w:rsidRPr="00514EFA">
        <w:rPr>
          <w:rFonts w:cs="Arial"/>
        </w:rPr>
        <w:t>The results identify</w:t>
      </w:r>
      <w:r>
        <w:rPr>
          <w:rFonts w:cs="Arial"/>
        </w:rPr>
        <w:t xml:space="preserve"> that</w:t>
      </w:r>
      <w:r w:rsidRPr="00514EFA">
        <w:rPr>
          <w:rFonts w:cs="Arial"/>
        </w:rPr>
        <w:t xml:space="preserve"> the determinants of clustering in the two countries are different.</w:t>
      </w:r>
      <w:r>
        <w:rPr>
          <w:rFonts w:cs="Arial"/>
        </w:rPr>
        <w:t xml:space="preserve"> </w:t>
      </w:r>
      <w:r w:rsidRPr="00514EFA">
        <w:rPr>
          <w:rFonts w:cs="Arial"/>
        </w:rPr>
        <w:t>The small role of historical and cultural endowments, the size of the place, the average size of creative industries, the productive diversity and the concentration of human capital and creative class have been found as common factors of clustering in both countries. However, in Italy, creativity is more related to cultural and artistic heritage and localisation economies and it is dispersed all over the country. In Spain, creative activities are not only correlated with localisation economies, but also they are particularly related to urbanisation economies and talent and are concentrated in the main metropolitan areas.</w:t>
      </w:r>
    </w:p>
    <w:p w14:paraId="6B527CED" w14:textId="67816EF1" w:rsidR="00E2185B" w:rsidRPr="00514EFA" w:rsidRDefault="00E2185B" w:rsidP="00E2185B">
      <w:pPr>
        <w:rPr>
          <w:rFonts w:cs="Arial"/>
        </w:rPr>
      </w:pPr>
      <w:r w:rsidRPr="00514EFA">
        <w:rPr>
          <w:rFonts w:cs="Arial"/>
          <w:szCs w:val="22"/>
        </w:rPr>
        <w:t>Cruz and Teixeira (2014) investigated the determinants of spatial location of creative industries start-ups in Portugal within the framework of Discreet Choice Models.</w:t>
      </w:r>
      <w:r>
        <w:rPr>
          <w:rFonts w:cs="Arial"/>
          <w:szCs w:val="22"/>
        </w:rPr>
        <w:t xml:space="preserve"> </w:t>
      </w:r>
      <w:r w:rsidRPr="00514EFA">
        <w:rPr>
          <w:rFonts w:cs="Arial"/>
          <w:szCs w:val="22"/>
        </w:rPr>
        <w:t>The study first examines the location behaviour of creative industries at a micro-level using highly detailed data on firms.</w:t>
      </w:r>
      <w:r>
        <w:rPr>
          <w:rFonts w:cs="Arial"/>
          <w:szCs w:val="22"/>
        </w:rPr>
        <w:t xml:space="preserve"> </w:t>
      </w:r>
      <w:r w:rsidRPr="00514EFA">
        <w:rPr>
          <w:rFonts w:cs="Arial"/>
          <w:szCs w:val="22"/>
        </w:rPr>
        <w:t>It then assesses the role played by location determinants for the creative industries as a whole and for each creative sector in isolation, accounting for the potential heterogeneity of location behaviour across creative industries, using some of the most recent modelling approaches to location.</w:t>
      </w:r>
      <w:r>
        <w:rPr>
          <w:rFonts w:cs="Arial"/>
          <w:szCs w:val="22"/>
        </w:rPr>
        <w:t xml:space="preserve"> </w:t>
      </w:r>
      <w:r w:rsidRPr="00514EFA">
        <w:rPr>
          <w:rFonts w:cs="Arial"/>
          <w:szCs w:val="22"/>
        </w:rPr>
        <w:t>The econometric estimation was based on the application of a Contingent Logit Model which examined the relationship between creative industries start-ups concentration and a range of potential determinants, namely; population density, creative firms’ density, service firms’ density, knowledge firms’ density, industrial diversity, creative diversity, higher education, secondary education, culture, social inequality and R&amp;D firms’ density.</w:t>
      </w:r>
      <w:r>
        <w:rPr>
          <w:rFonts w:cs="Arial"/>
          <w:szCs w:val="22"/>
        </w:rPr>
        <w:t xml:space="preserve"> </w:t>
      </w:r>
      <w:r w:rsidRPr="00514EFA">
        <w:rPr>
          <w:rFonts w:cs="Arial"/>
          <w:szCs w:val="22"/>
        </w:rPr>
        <w:t xml:space="preserve"> </w:t>
      </w:r>
    </w:p>
    <w:p w14:paraId="1D9EA525" w14:textId="2DA2AB85" w:rsidR="00410E03" w:rsidRPr="007A2D6D" w:rsidRDefault="00E2185B" w:rsidP="00131F29">
      <w:r w:rsidRPr="00514EFA">
        <w:rPr>
          <w:rFonts w:cs="Arial"/>
          <w:szCs w:val="22"/>
        </w:rPr>
        <w:t>The findings show that as a whole,</w:t>
      </w:r>
      <w:r>
        <w:rPr>
          <w:rFonts w:cs="Arial"/>
          <w:szCs w:val="22"/>
        </w:rPr>
        <w:t xml:space="preserve"> </w:t>
      </w:r>
      <w:r w:rsidRPr="00514EFA">
        <w:rPr>
          <w:rFonts w:cs="Arial"/>
          <w:szCs w:val="22"/>
        </w:rPr>
        <w:t>creative firms share similarities in their location behaviour with other industries</w:t>
      </w:r>
      <w:r w:rsidRPr="00514EFA">
        <w:rPr>
          <w:rFonts w:cs="Arial"/>
        </w:rPr>
        <w:t xml:space="preserve"> (e.g.</w:t>
      </w:r>
      <w:r w:rsidRPr="00514EFA">
        <w:rPr>
          <w:rFonts w:cs="Arial"/>
          <w:szCs w:val="22"/>
        </w:rPr>
        <w:t xml:space="preserve"> the manufacturing sector</w:t>
      </w:r>
      <w:r w:rsidRPr="00514EFA">
        <w:rPr>
          <w:rFonts w:cs="Arial"/>
        </w:rPr>
        <w:t>)</w:t>
      </w:r>
      <w:r w:rsidRPr="00514EFA">
        <w:rPr>
          <w:rFonts w:cs="Arial"/>
          <w:szCs w:val="22"/>
        </w:rPr>
        <w:t>.</w:t>
      </w:r>
      <w:r w:rsidRPr="00514EFA">
        <w:rPr>
          <w:rFonts w:cs="Arial"/>
        </w:rPr>
        <w:t xml:space="preserve"> </w:t>
      </w:r>
      <w:r w:rsidRPr="00514EFA">
        <w:rPr>
          <w:rFonts w:cs="Arial"/>
          <w:szCs w:val="22"/>
        </w:rPr>
        <w:t>However, there are determinants that are specific to these firms and affect their location</w:t>
      </w:r>
      <w:r w:rsidRPr="00514EFA">
        <w:rPr>
          <w:rFonts w:cs="Arial"/>
        </w:rPr>
        <w:t xml:space="preserve"> </w:t>
      </w:r>
      <w:r w:rsidRPr="00514EFA">
        <w:rPr>
          <w:rFonts w:cs="Arial"/>
          <w:szCs w:val="22"/>
        </w:rPr>
        <w:t>choices, most notably urbanization economies, human capital and tolerance/institutional factors</w:t>
      </w:r>
      <w:r w:rsidRPr="00514EFA">
        <w:rPr>
          <w:rFonts w:cs="Arial"/>
        </w:rPr>
        <w:t>.</w:t>
      </w:r>
    </w:p>
    <w:p w14:paraId="6A3240D9" w14:textId="6B0D66F7" w:rsidR="00410E03" w:rsidRDefault="00410E03" w:rsidP="00520273">
      <w:pPr>
        <w:pStyle w:val="Heading2Numbered"/>
      </w:pPr>
      <w:bookmarkStart w:id="103" w:name="_Toc467569631"/>
      <w:r>
        <w:t>Valuing Environmental Assets</w:t>
      </w:r>
      <w:bookmarkEnd w:id="103"/>
    </w:p>
    <w:p w14:paraId="24EEBED1" w14:textId="77777777" w:rsidR="00410E03" w:rsidRDefault="00410E03" w:rsidP="00131F29">
      <w:r w:rsidRPr="004C1B81">
        <w:t xml:space="preserve">As noted above, the contingent valuation method is </w:t>
      </w:r>
      <w:r>
        <w:t>used</w:t>
      </w:r>
      <w:r w:rsidRPr="004C1B81">
        <w:t xml:space="preserve"> in order to place financial values</w:t>
      </w:r>
      <w:r>
        <w:t xml:space="preserve"> on intangible and ‘free’ resources such as parks/open spaces, some heritage and environmental amenities. A key quantitative technique is the </w:t>
      </w:r>
      <w:r>
        <w:lastRenderedPageBreak/>
        <w:t xml:space="preserve">use of hedonic pricing models of property prices in neighbourhoods where new or upgraded facilities are located. This approach has been used in assessing </w:t>
      </w:r>
      <w:r w:rsidRPr="00F0636B">
        <w:t>the impact on</w:t>
      </w:r>
      <w:r w:rsidRPr="003C780B">
        <w:t xml:space="preserve"> </w:t>
      </w:r>
      <w:r w:rsidRPr="00F0636B">
        <w:t>domestic property prices from sports facilities</w:t>
      </w:r>
      <w:r>
        <w:t xml:space="preserve"> in the USA and Germany, and more recently in the UK (</w:t>
      </w:r>
      <w:r>
        <w:rPr>
          <w:rFonts w:eastAsiaTheme="minorHAnsi"/>
          <w:color w:val="000000"/>
        </w:rPr>
        <w:t>Ahlfeldt, Gabriel &amp;</w:t>
      </w:r>
      <w:r w:rsidRPr="00F27EC7">
        <w:rPr>
          <w:rFonts w:eastAsiaTheme="minorHAnsi"/>
          <w:color w:val="000000"/>
        </w:rPr>
        <w:t xml:space="preserve"> Kavetsos, 2014</w:t>
      </w:r>
      <w:r>
        <w:t>). Recognising the difficulties in obtaining property transaction data over a long enough period, particularly for newer stadia development, Davies (2005) undertook a qualitative survey of the Cardiff and Manchester stadia impacts.</w:t>
      </w:r>
    </w:p>
    <w:p w14:paraId="761B26AC" w14:textId="77777777" w:rsidR="00410E03" w:rsidRDefault="00410E03" w:rsidP="00224A2D"/>
    <w:tbl>
      <w:tblPr>
        <w:tblStyle w:val="TableGrid"/>
        <w:tblW w:w="0" w:type="auto"/>
        <w:tblInd w:w="108" w:type="dxa"/>
        <w:tblLook w:val="04A0" w:firstRow="1" w:lastRow="0" w:firstColumn="1" w:lastColumn="0" w:noHBand="0" w:noVBand="1"/>
      </w:tblPr>
      <w:tblGrid>
        <w:gridCol w:w="9178"/>
      </w:tblGrid>
      <w:tr w:rsidR="00410E03" w:rsidRPr="00391B30" w14:paraId="3003F66C" w14:textId="77777777" w:rsidTr="00121553">
        <w:tc>
          <w:tcPr>
            <w:tcW w:w="9178" w:type="dxa"/>
          </w:tcPr>
          <w:p w14:paraId="439F9C1C" w14:textId="129FE35E" w:rsidR="00410E03" w:rsidRDefault="00410E03" w:rsidP="003C780B">
            <w:pPr>
              <w:rPr>
                <w:rFonts w:eastAsiaTheme="minorHAnsi"/>
              </w:rPr>
            </w:pPr>
            <w:r w:rsidRPr="00391B30">
              <w:rPr>
                <w:rFonts w:eastAsiaTheme="minorHAnsi"/>
              </w:rPr>
              <w:t xml:space="preserve">This study </w:t>
            </w:r>
            <w:r w:rsidR="003C780B">
              <w:rPr>
                <w:rFonts w:eastAsiaTheme="minorHAnsi"/>
              </w:rPr>
              <w:t xml:space="preserve">of the impacts of the </w:t>
            </w:r>
            <w:r w:rsidR="003C780B" w:rsidRPr="003C780B">
              <w:rPr>
                <w:rFonts w:eastAsiaTheme="minorHAnsi"/>
              </w:rPr>
              <w:t xml:space="preserve">Cardiff Millennium Stadium and City of Manchester (COM) Stadium </w:t>
            </w:r>
            <w:r w:rsidRPr="00391B30">
              <w:rPr>
                <w:rFonts w:eastAsiaTheme="minorHAnsi"/>
              </w:rPr>
              <w:t>used the expert opinion of property professionals together with the opinions of local interest groups/key stakeholders. The research revealed that the stadia in each city have generally impacted positively on the residential property market. The findings suggest that in the case of Manchester, the early signs indicated that the impacts have been positive with an average net positive change of 12.5% to property value</w:t>
            </w:r>
            <w:r w:rsidR="003C780B">
              <w:rPr>
                <w:rFonts w:eastAsiaTheme="minorHAnsi"/>
              </w:rPr>
              <w:t>s</w:t>
            </w:r>
            <w:r w:rsidRPr="00391B30">
              <w:rPr>
                <w:rFonts w:eastAsiaTheme="minorHAnsi"/>
              </w:rPr>
              <w:t xml:space="preserve"> over and above general house price increases in the area. Over half of respondents thought the impacts occurred within the construction phase of the stadium and the first three months of it opening and 67% of respondents thought that the impacts of the stadium were within 2km of the stadium site. In the case of Cardiff (in a more established real estate market area), there was evidence that the Millennium Stadium had been a key factor in the increased price of property in the surrounding vicinity. Property professionals and surveyors reported that the Millennium Stadium has resulted in an average net positive change of 2.9% to residential property value</w:t>
            </w:r>
            <w:r w:rsidR="003C780B">
              <w:rPr>
                <w:rFonts w:eastAsiaTheme="minorHAnsi"/>
              </w:rPr>
              <w:t>s</w:t>
            </w:r>
            <w:r w:rsidRPr="00391B30">
              <w:rPr>
                <w:rFonts w:eastAsiaTheme="minorHAnsi"/>
              </w:rPr>
              <w:t xml:space="preserve"> in the surrounding area over and above general house price increases. 53% of survey respondents thought that</w:t>
            </w:r>
            <w:r>
              <w:rPr>
                <w:rFonts w:eastAsiaTheme="minorHAnsi"/>
              </w:rPr>
              <w:t xml:space="preserve"> the impacts were within 1km of </w:t>
            </w:r>
            <w:r w:rsidRPr="00391B30">
              <w:rPr>
                <w:rFonts w:eastAsiaTheme="minorHAnsi"/>
              </w:rPr>
              <w:t>the stadium site, over 30% felt that the Millennium Stadium impacted on pro</w:t>
            </w:r>
            <w:r>
              <w:rPr>
                <w:rFonts w:eastAsiaTheme="minorHAnsi"/>
              </w:rPr>
              <w:t xml:space="preserve">perty </w:t>
            </w:r>
            <w:r w:rsidRPr="00391B30">
              <w:rPr>
                <w:rFonts w:eastAsiaTheme="minorHAnsi"/>
              </w:rPr>
              <w:t>over 5km aw</w:t>
            </w:r>
            <w:r>
              <w:rPr>
                <w:rFonts w:eastAsiaTheme="minorHAnsi"/>
              </w:rPr>
              <w:t xml:space="preserve">ay. Again </w:t>
            </w:r>
            <w:r w:rsidRPr="00391B30">
              <w:rPr>
                <w:rFonts w:eastAsiaTheme="minorHAnsi"/>
              </w:rPr>
              <w:t>th</w:t>
            </w:r>
            <w:r>
              <w:rPr>
                <w:rFonts w:eastAsiaTheme="minorHAnsi"/>
              </w:rPr>
              <w:t xml:space="preserve">is was felt to be a result of the enhanced </w:t>
            </w:r>
            <w:r w:rsidRPr="00391B30">
              <w:rPr>
                <w:rFonts w:eastAsiaTheme="minorHAnsi"/>
              </w:rPr>
              <w:t>profile and image of Cardiff generated by the Millennium Stadium</w:t>
            </w:r>
            <w:r>
              <w:rPr>
                <w:rFonts w:eastAsiaTheme="minorHAnsi"/>
              </w:rPr>
              <w:t xml:space="preserve"> (Davies, 2005).</w:t>
            </w:r>
          </w:p>
          <w:p w14:paraId="59731BF2" w14:textId="0EA74F73" w:rsidR="003C780B" w:rsidRPr="00391B30" w:rsidRDefault="003C780B" w:rsidP="003C780B">
            <w:pPr>
              <w:rPr>
                <w:rFonts w:eastAsiaTheme="minorHAnsi"/>
              </w:rPr>
            </w:pPr>
          </w:p>
        </w:tc>
      </w:tr>
    </w:tbl>
    <w:p w14:paraId="2311491B" w14:textId="77777777" w:rsidR="00410E03" w:rsidRDefault="00410E03" w:rsidP="00131F29"/>
    <w:p w14:paraId="692E494D" w14:textId="74F2CA80" w:rsidR="00410E03" w:rsidRDefault="00410E03" w:rsidP="00224A2D">
      <w:r>
        <w:t xml:space="preserve">Distinguishing major facility developments from the effects from other improvements is however problematic, as some of these studies confirm. Displacement (negative) effects can also be evident, where changes to other areas produce disbenefits, for example in the case of the Arsenal FC stadium, the relocation of a major waste recycling plant. Amenity value is more commonly measured in terms of environmental assets such as open/green space and urban design, and several studies were reviewed in </w:t>
      </w:r>
      <w:r w:rsidRPr="004C1B81">
        <w:rPr>
          <w:i/>
        </w:rPr>
        <w:t>Art of the Possible</w:t>
      </w:r>
      <w:r>
        <w:t xml:space="preserve"> (</w:t>
      </w:r>
      <w:r w:rsidR="00846DC1">
        <w:t xml:space="preserve">including </w:t>
      </w:r>
      <w:r>
        <w:t>CABE, 2007; Varma</w:t>
      </w:r>
      <w:r w:rsidR="00846DC1">
        <w:t xml:space="preserve">, 2003 and </w:t>
      </w:r>
      <w:r>
        <w:t xml:space="preserve">GLA, 2003). This method attempts to control for a range of variables that affect property values to try </w:t>
      </w:r>
      <w:r w:rsidR="00846DC1">
        <w:t xml:space="preserve">to </w:t>
      </w:r>
      <w:r>
        <w:t>isolate the effect of the specific amenity. These studies generally conclude that there is a direct effect on the price paid for properties in close proximity to the asset, with this benefit subject to a ‘distance decay’ (i.e. prices go down rapidly as the distance from the amenity increases). This is due to the values associated with direct ‘views’, access and associated locational benefits such as lower densities, noise, traffic</w:t>
      </w:r>
      <w:r w:rsidR="00846DC1">
        <w:t>,</w:t>
      </w:r>
      <w:r>
        <w:t xml:space="preserve"> etc. This evaluation method of course relies on access to property sale data over time, and data on a range of urban change factors that also influence property values. There has been no study that considers the effect of different CS&amp;H asset types on property, to determine exactly what features benefit land/property values, e.g. scale, design, morphology, environmental benefits/disbenefits</w:t>
      </w:r>
      <w:r w:rsidR="00846DC1">
        <w:t>,</w:t>
      </w:r>
      <w:r>
        <w:t xml:space="preserve"> etc. Built projects often occur as part of larger area regeneration schemes (e.g. Arsenal FC, East Manchester, Salford Quays) and a wider assessment of regeneration process and </w:t>
      </w:r>
      <w:r>
        <w:lastRenderedPageBreak/>
        <w:t>impacts is required, not limited to property prices. As WWCLEC note (2014), policymakers should also consider the distributional effects of these property market changes (i.e. who are the likely winners and losers) in investment evaluation.</w:t>
      </w:r>
    </w:p>
    <w:p w14:paraId="4F76C5DD" w14:textId="4A978BC6" w:rsidR="00410E03" w:rsidRPr="009220E7" w:rsidRDefault="00410E03" w:rsidP="00520273">
      <w:pPr>
        <w:pStyle w:val="Heading3Numbered"/>
      </w:pPr>
      <w:bookmarkStart w:id="104" w:name="_Toc467569632"/>
      <w:r w:rsidRPr="009220E7">
        <w:t>Cultural Ecosystems Services</w:t>
      </w:r>
      <w:bookmarkEnd w:id="104"/>
    </w:p>
    <w:p w14:paraId="1A91969D" w14:textId="03F0A0D5" w:rsidR="00410E03" w:rsidRDefault="00410E03" w:rsidP="00520273">
      <w:r>
        <w:t>The hedonic pricing technique has also been applied more recently as part the National Ecosystems Assessment (2011). This ongoing initiative is part of an international effort (Millennium Ecosystems Assessment) led in the UK by DEFRA. As part of this extensive process, Cultural Ecosystems Services have been identified and indicators and measurement developed (NEA, 2010). Ecosystems in this case include broad habitats, designated areas, private gardens and other environmental and heritage resources. These correspond with CS&amp;H assets</w:t>
      </w:r>
      <w:r w:rsidR="00BD0AD5">
        <w:t>,</w:t>
      </w:r>
      <w:r>
        <w:t xml:space="preserve"> particularly natural heritage and facilities located in areas of natural habitats, whether countryside or urban. Amenity values assessed include associated wellbeing and recreational access. As well as the impact on property prices from propinquity to these resources, the economic value of educational and ecosystems knowledge, non-use values and physical and mental health effects are analysed. The analysis firstly concluded that the house market reveals substantial amenity value attached to a number of ecosystems, heritage sites and local environmental amenities. This was based on </w:t>
      </w:r>
      <w:r w:rsidR="00BD0AD5">
        <w:t xml:space="preserve">one </w:t>
      </w:r>
      <w:r>
        <w:t>million housing transactions between 1996</w:t>
      </w:r>
      <w:r w:rsidR="00BD0AD5">
        <w:t>–</w:t>
      </w:r>
      <w:r>
        <w:t xml:space="preserve">2008 against data on a large number of environmental characteristics. </w:t>
      </w:r>
    </w:p>
    <w:p w14:paraId="1CB84B52" w14:textId="45AE7321" w:rsidR="00410E03" w:rsidRDefault="00410E03" w:rsidP="00520273">
      <w:r>
        <w:t xml:space="preserve">Overall, a 1% increase in land use characteristics (domestic gardens, green space, areas of water within census ward) increased house prices by a similar 1%; whilst within 1km there was a price premium of between 0.06% to 0.4% depending on the land cover characteristic. Conversely, each 1km increase to (i.e. further away from) the nearest National Trust-owned site </w:t>
      </w:r>
      <w:r w:rsidRPr="00932AF7">
        <w:rPr>
          <w:u w:val="single"/>
        </w:rPr>
        <w:t>lowers</w:t>
      </w:r>
      <w:r>
        <w:t xml:space="preserve"> prices by 0.7%. Educational values associated with school ecological knowledge subjects and school visits to sites used a model based on observed higher performance in exams (human capital) and subsequent higher lifetime earning levels with a total value based on GCSE and A-level candidates of £2,128</w:t>
      </w:r>
      <w:r w:rsidR="00BD0AD5">
        <w:t>m</w:t>
      </w:r>
      <w:r>
        <w:t xml:space="preserve"> (2010). Non-use values looked at the proxy value of legacies to environmental charities, whilst </w:t>
      </w:r>
      <w:r w:rsidR="00BD0AD5">
        <w:t xml:space="preserve">health </w:t>
      </w:r>
      <w:r>
        <w:t>benefits from cultural ecosystems services focused on health improvements (physical and mental) arising from additional exercise created by the provision of natural habitats and green spaces and from more passive forms of contact with nature (e.g. viewing, being within natural spaces). This analysis estimated the value of health benefits from a change in these natural environments that would create a 1% reduction in the sedentary population (using willingness-to-pay based values) producing a total benefit of £2bn, or £750m if people aged 75 and over (less able or likely to be physically active) were excluded. Benefits from proximity of home to green space/views increased emotional wellbeing by 5% and generally health utility score by 2%; accessing non-countryside ecosystems monthly increased physical functioning and emotional wellbeing by 3.4% and 2.6% respectively. This analysis used a geo-located survey (n=1,851) and OLS regression model. In a separate study of attitudes to beauty (IPSOS, 2010) 87% of respondents agreed that better quality buildings and public spaces can improve quality of life, and 69% of adults believe that heritage sites are important to the local community (Ecclesiastical Insurance, 2013).</w:t>
      </w:r>
    </w:p>
    <w:p w14:paraId="3C68903E" w14:textId="5083A5EF" w:rsidR="00410E03" w:rsidRDefault="00410E03" w:rsidP="00520273">
      <w:r>
        <w:t xml:space="preserve">In a separate study of </w:t>
      </w:r>
      <w:r w:rsidRPr="00F0636B">
        <w:t>Conservation areas</w:t>
      </w:r>
      <w:r>
        <w:t xml:space="preserve">, a price premium was also found for residential properties located within a conservation area of, on average, 9% (LSE, 2012), after controlling for a range of other factors. This premium doubles with </w:t>
      </w:r>
      <w:r>
        <w:lastRenderedPageBreak/>
        <w:t>properties in the centre of a conservation area, compared with those on the edge. There was also a smaller but significant premium for properties just outside the conservation area. Overall the intensity of the heritage character increases the value of residential properties. This is logical, since the characteristics that led to conservation area status being granted affirms an intrinsic value which is reinforced through conservation area protection from certain types of development change. Conversely, areas outside of the conservation area may experience negative impacts from developments which would not be allowed in the more (aesthetically) controlled area. The attractiveness of businesses locating within historic buildings is also confirmed by a study of the returns to investing in historic commercial buildings. Colliers (2011) found that over 5, 10 and 30 years, the annualised return on listed offices has been higher than for offices overall. These studies indicate the place value of the contribution of historic buildings to the local environment and quality of life, ‘which in turn may have an indirect impact on business location decisions by encouraging supply of suitable qualified labour’ (</w:t>
      </w:r>
      <w:r w:rsidR="00090CA0">
        <w:t>English Heritage</w:t>
      </w:r>
      <w:r>
        <w:t xml:space="preserve">, 2014). </w:t>
      </w:r>
    </w:p>
    <w:p w14:paraId="4BAA882C" w14:textId="69E0E402" w:rsidR="00410E03" w:rsidRPr="00B07D5E" w:rsidRDefault="00410E03" w:rsidP="00520273">
      <w:pPr>
        <w:pStyle w:val="Heading3Numbered"/>
      </w:pPr>
      <w:bookmarkStart w:id="105" w:name="_Toc467569633"/>
      <w:r w:rsidRPr="00B07D5E">
        <w:t>Quality of Life and ‘Place’</w:t>
      </w:r>
      <w:bookmarkEnd w:id="105"/>
    </w:p>
    <w:p w14:paraId="6836E330" w14:textId="38D8D372" w:rsidR="00410E03" w:rsidRDefault="00410E03" w:rsidP="00520273">
      <w:r w:rsidRPr="00B07D5E">
        <w:t xml:space="preserve">Many of the claims and evidence of the effects arising from CS&amp;H assets relate to </w:t>
      </w:r>
      <w:r w:rsidRPr="00F0636B">
        <w:t>social impacts</w:t>
      </w:r>
      <w:r w:rsidRPr="00B07D5E">
        <w:t>. These are associated with terms such as social capital, social cohesion</w:t>
      </w:r>
      <w:r w:rsidR="00090CA0">
        <w:t xml:space="preserve"> and</w:t>
      </w:r>
      <w:r w:rsidR="00090CA0" w:rsidRPr="00B07D5E">
        <w:t xml:space="preserve"> </w:t>
      </w:r>
      <w:r w:rsidRPr="00B07D5E">
        <w:t>social inclusion, manifested</w:t>
      </w:r>
      <w:r>
        <w:t xml:space="preserve"> through a range of indicators which measure participant’s perceptions and experience, including public attitudes, as noted above, for example in relation to heritage assets and amenity values</w:t>
      </w:r>
      <w:r w:rsidR="00090CA0">
        <w:t>,</w:t>
      </w:r>
      <w:r>
        <w:t xml:space="preserve"> etc. These draw on programme and project evaluations and post-completion surveys assessing for instance, the extent and effect on volunteering and engagement. These affects can be situated broadly in the sphere of quality of life and wellbeing. For example, a survey found that people who had engaged with heritage activities over the previous year reported significantly higher happiness scores compared with those not engaging (</w:t>
      </w:r>
      <w:r w:rsidR="00090CA0">
        <w:t>English Heritage</w:t>
      </w:r>
      <w:r>
        <w:t xml:space="preserve">, 2013); heritage volunteers reported levels of mental health and wellbeing that are higher than for the general population, or amongst all those who undertook some form of volunteering activity (BOP, 2011). In a survey of the AV Festival (BOP, 2010) the large majority of volunteers responding reported improvements in their communication skills, self-confidence and willingness to try new things, and felt that this made them more employable. In a study for the Scottish Government on the impact of cultural engagement and sports participation on health (2013), those attending a cultural place or event were found to be 60% more likely to report good health compared to those who had not; participants in dance were 62% more likely to report good health. These associations between participation in a range of cultural activities and engagement are mirrored in similar studies both in the UK and abroad (see ACE, 2014; Daly, 2005). </w:t>
      </w:r>
    </w:p>
    <w:p w14:paraId="23850EE0" w14:textId="0A8900E0" w:rsidR="00410E03" w:rsidRPr="00BE4C20" w:rsidRDefault="00090CA0" w:rsidP="00520273">
      <w:r>
        <w:t xml:space="preserve">A </w:t>
      </w:r>
      <w:r w:rsidR="00410E03">
        <w:t xml:space="preserve">systematic analysis of the </w:t>
      </w:r>
      <w:r w:rsidR="00410E03" w:rsidRPr="007A718F">
        <w:rPr>
          <w:i/>
        </w:rPr>
        <w:t>Understanding Society</w:t>
      </w:r>
      <w:r w:rsidR="00410E03">
        <w:t xml:space="preserve"> dataset </w:t>
      </w:r>
      <w:r>
        <w:t>(</w:t>
      </w:r>
      <w:r w:rsidRPr="00090CA0">
        <w:t>DCMS, 2014</w:t>
      </w:r>
      <w:r>
        <w:t xml:space="preserve">) </w:t>
      </w:r>
      <w:r w:rsidR="00410E03">
        <w:t>sought to highlight the social benefits extracted from the results of this survey. The study, which ran a number of regression models, looked at the impacts of engagement in culture and sport and participation on four domains: health, education, economy and civic participation. The headline results found that arts audiences were 5.4% more likely to report good health</w:t>
      </w:r>
      <w:r>
        <w:t xml:space="preserve">, </w:t>
      </w:r>
      <w:r w:rsidR="00410E03">
        <w:t xml:space="preserve">whilst sports participants were 14.1% more likely to do so. Arts participants were 14.1% more likely to report and intention to go on to further education (we do not however know if they subsequently did). Unemployed people who engage with the arts as an audience member were 12% more likely (than those not attending) to have looked for a job in the last 4 weeks; unemployed sports participants were 11% more likely to have done so. Those engaging with the arts as an audience member were 6% more </w:t>
      </w:r>
      <w:r w:rsidR="00410E03">
        <w:lastRenderedPageBreak/>
        <w:t xml:space="preserve">likely to have volunteered frequently; sports </w:t>
      </w:r>
      <w:r w:rsidR="00410E03" w:rsidRPr="00BE4C20">
        <w:t xml:space="preserve">participants were 3% more likely (they also gave £50 and £25 per person more to charitable donations </w:t>
      </w:r>
      <w:r w:rsidR="00410E03">
        <w:t xml:space="preserve">than the non-engaged </w:t>
      </w:r>
      <w:r w:rsidR="00410E03" w:rsidRPr="00BE4C20">
        <w:t xml:space="preserve">over the last year, respectively). </w:t>
      </w:r>
    </w:p>
    <w:p w14:paraId="6F293215" w14:textId="77777777" w:rsidR="00410E03" w:rsidRPr="00242FD1" w:rsidRDefault="00410E03" w:rsidP="00520273">
      <w:r>
        <w:t xml:space="preserve">An </w:t>
      </w:r>
      <w:r w:rsidRPr="00242FD1">
        <w:t xml:space="preserve">example of how a sport-based initiative with the West </w:t>
      </w:r>
      <w:r>
        <w:t>Yorkshire probation service is provided by an evaluation</w:t>
      </w:r>
      <w:r w:rsidRPr="00242FD1">
        <w:t xml:space="preserve"> </w:t>
      </w:r>
      <w:r>
        <w:t>of its impacts</w:t>
      </w:r>
      <w:r w:rsidRPr="00242FD1">
        <w:t xml:space="preserve">. </w:t>
      </w:r>
    </w:p>
    <w:p w14:paraId="1A733CA7" w14:textId="77777777" w:rsidR="00410E03" w:rsidRPr="00242FD1" w:rsidRDefault="00410E03" w:rsidP="0052027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410E03" w:rsidRPr="00242FD1" w14:paraId="5D2C2055" w14:textId="77777777" w:rsidTr="00121553">
        <w:tc>
          <w:tcPr>
            <w:tcW w:w="9000" w:type="dxa"/>
          </w:tcPr>
          <w:p w14:paraId="4C4ED2BA" w14:textId="0E153CE8" w:rsidR="00410E03" w:rsidRDefault="00090CA0" w:rsidP="00090CA0">
            <w:r w:rsidRPr="00242FD1">
              <w:t>Th</w:t>
            </w:r>
            <w:r>
              <w:t xml:space="preserve">e </w:t>
            </w:r>
            <w:r w:rsidRPr="00090CA0">
              <w:t>West Yorkshire Sports Counselling</w:t>
            </w:r>
            <w:r w:rsidRPr="00242FD1">
              <w:t xml:space="preserve"> </w:t>
            </w:r>
            <w:r w:rsidR="00410E03" w:rsidRPr="00242FD1">
              <w:t>scheme accepted voluntary referrals from the Probation Service and Youth Justice teams in West Yorkshire to participate in a 12-week programme of sports activities. The programme involved one</w:t>
            </w:r>
            <w:r>
              <w:t>-</w:t>
            </w:r>
            <w:r w:rsidR="00410E03" w:rsidRPr="00242FD1">
              <w:t>to</w:t>
            </w:r>
            <w:r>
              <w:t>-</w:t>
            </w:r>
            <w:r w:rsidR="00410E03" w:rsidRPr="00242FD1">
              <w:t>one, participant</w:t>
            </w:r>
            <w:r>
              <w:t>-</w:t>
            </w:r>
            <w:r w:rsidR="00410E03" w:rsidRPr="00242FD1">
              <w:t xml:space="preserve">centred work by sports leaders, typically meeting participants </w:t>
            </w:r>
            <w:r w:rsidR="00410E03">
              <w:t xml:space="preserve">in sports centres and clubs for </w:t>
            </w:r>
            <w:r>
              <w:t>three</w:t>
            </w:r>
            <w:r w:rsidRPr="00242FD1">
              <w:t xml:space="preserve"> </w:t>
            </w:r>
            <w:r w:rsidR="00410E03" w:rsidRPr="00242FD1">
              <w:t>hours a week. Of the 52 participants who completed the self</w:t>
            </w:r>
            <w:r>
              <w:t>-</w:t>
            </w:r>
            <w:r w:rsidR="00410E03" w:rsidRPr="00242FD1">
              <w:t>evaluation of fitness at the start and at the end of th</w:t>
            </w:r>
            <w:r w:rsidR="00410E03">
              <w:t>e programme, 75%</w:t>
            </w:r>
            <w:r w:rsidR="00410E03" w:rsidRPr="00242FD1">
              <w:t xml:space="preserve"> recorded an incr</w:t>
            </w:r>
            <w:r w:rsidR="00410E03">
              <w:t>eases in fitness and 22%</w:t>
            </w:r>
            <w:r w:rsidR="00410E03" w:rsidRPr="00242FD1">
              <w:t xml:space="preserve"> no change. The programme had a beneficial impact on participants' perception of their own fitness. Probation officers who had supervised the case study participants all felt that their clients had gained in self</w:t>
            </w:r>
            <w:r>
              <w:t>-</w:t>
            </w:r>
            <w:r w:rsidR="00410E03" w:rsidRPr="00242FD1">
              <w:t xml:space="preserve">confidence through participation and the achievement of completing the 12-week programme. For the comparative reconviction rate study the difference in actual reconviction was statistically significant. The actual reconviction rate was 40% versus a Home Office-based prediction of 64% over </w:t>
            </w:r>
            <w:r>
              <w:t>two</w:t>
            </w:r>
            <w:r w:rsidRPr="00242FD1">
              <w:t xml:space="preserve"> </w:t>
            </w:r>
            <w:r w:rsidR="00410E03" w:rsidRPr="00242FD1">
              <w:t>years. These results indicate that the length of counselling makes a difference to its impact on reconvictions, which is consistent with the logic of a scheme which relies on building up an offender's trust and confidence over 12 weeks. Not only did fewer participants re-offend, but those that did re-offend did so with less f</w:t>
            </w:r>
            <w:r w:rsidR="00410E03">
              <w:t>requency than non</w:t>
            </w:r>
            <w:r>
              <w:t>-</w:t>
            </w:r>
            <w:r w:rsidR="00410E03">
              <w:t>participants (in Evans &amp; Shaw, 2001).</w:t>
            </w:r>
          </w:p>
          <w:p w14:paraId="5B5168BE" w14:textId="07045573" w:rsidR="00090CA0" w:rsidRPr="00242FD1" w:rsidRDefault="00090CA0" w:rsidP="00090CA0"/>
        </w:tc>
      </w:tr>
    </w:tbl>
    <w:p w14:paraId="27C3A324" w14:textId="77777777" w:rsidR="001835FC" w:rsidRDefault="001835FC" w:rsidP="00131F29"/>
    <w:p w14:paraId="1169ABF6" w14:textId="245FAB73" w:rsidR="004120F9" w:rsidRPr="00514EFA" w:rsidRDefault="004120F9" w:rsidP="004120F9">
      <w:pPr>
        <w:rPr>
          <w:rFonts w:cs="Arial"/>
        </w:rPr>
      </w:pPr>
      <w:r w:rsidRPr="00514EFA">
        <w:rPr>
          <w:rFonts w:cs="Arial"/>
        </w:rPr>
        <w:t>Visiting museums is found to have a positive impact on happiness and self-reported health. Participation in the arts and being audience to the arts also have positive effects on happiness. Similarly, library use is positively associated with subjective wellbeing; library use is associated with higher life satisfaction, higher happiness and a higher sense of purpose in life. Library use also has a positive association with general health; being a regular library user is associated with a 1.4% increase in the likelihood of reporting general good health. This is estimated to represent an average cost saving to the NHS of £27.5m per year.</w:t>
      </w:r>
    </w:p>
    <w:p w14:paraId="1DF6C9EC" w14:textId="77777777" w:rsidR="004120F9" w:rsidRPr="00514EFA" w:rsidRDefault="004120F9" w:rsidP="004120F9">
      <w:pPr>
        <w:rPr>
          <w:rFonts w:cs="Arial"/>
          <w:b/>
        </w:rPr>
      </w:pPr>
      <w:r w:rsidRPr="00514EFA">
        <w:rPr>
          <w:rFonts w:cs="Arial"/>
        </w:rPr>
        <w:t xml:space="preserve">A further paper by the same authors (Fujiwara et al, 2015) sets out to quantify the value of health and wellbeing benefits of library engagement through a contingent valuation method. This involves surveying people about their willingness to pay for library services. This method measures primary benefits of library services (i.e. those that accrue directly to the individual). The paper also looks at secondary benefits; these are benefits that impact society more widely, such as those that lead to reduced public spending on health. </w:t>
      </w:r>
    </w:p>
    <w:p w14:paraId="1FAD1623" w14:textId="77777777" w:rsidR="004120F9" w:rsidRPr="00514EFA" w:rsidRDefault="004120F9" w:rsidP="004120F9">
      <w:pPr>
        <w:rPr>
          <w:rFonts w:cs="Arial"/>
          <w:b/>
        </w:rPr>
      </w:pPr>
      <w:r w:rsidRPr="00514EFA">
        <w:rPr>
          <w:rFonts w:cs="Arial"/>
        </w:rPr>
        <w:t>The primary benefit of libraries was measured using an online survey of 2,000 library users and non-library users. They were asked how much additional council tax they would be willing to pay in order to maintain facilities at their current level.</w:t>
      </w:r>
    </w:p>
    <w:p w14:paraId="4E37076B" w14:textId="77777777" w:rsidR="004120F9" w:rsidRPr="00514EFA" w:rsidRDefault="004120F9" w:rsidP="004120F9">
      <w:pPr>
        <w:rPr>
          <w:rFonts w:cs="Arial"/>
          <w:b/>
        </w:rPr>
      </w:pPr>
      <w:r w:rsidRPr="00514EFA">
        <w:rPr>
          <w:rFonts w:cs="Arial"/>
        </w:rPr>
        <w:t>As expected, library users were willing to pay more than non-library users but both groups were willing to pay a premium (around £20 and £10 per year on average, respectively). Extrapolated to the English population as a whole this equates to over £723m per year.</w:t>
      </w:r>
    </w:p>
    <w:p w14:paraId="30247162" w14:textId="77777777" w:rsidR="004120F9" w:rsidRPr="00514EFA" w:rsidRDefault="004120F9" w:rsidP="004120F9">
      <w:pPr>
        <w:rPr>
          <w:rFonts w:cs="Arial"/>
          <w:b/>
        </w:rPr>
      </w:pPr>
      <w:r w:rsidRPr="00514EFA">
        <w:rPr>
          <w:rFonts w:cs="Arial"/>
        </w:rPr>
        <w:lastRenderedPageBreak/>
        <w:t xml:space="preserve">The secondary benefits </w:t>
      </w:r>
      <w:r>
        <w:rPr>
          <w:rFonts w:cs="Arial"/>
        </w:rPr>
        <w:t xml:space="preserve">of libraries </w:t>
      </w:r>
      <w:r w:rsidRPr="00514EFA">
        <w:rPr>
          <w:rFonts w:cs="Arial"/>
        </w:rPr>
        <w:t xml:space="preserve">were measured using data from the Taking Part Survey and the </w:t>
      </w:r>
      <w:r>
        <w:rPr>
          <w:rFonts w:cs="Arial"/>
        </w:rPr>
        <w:t>British Household Panel Survey (BHPS)</w:t>
      </w:r>
      <w:r w:rsidRPr="00514EFA">
        <w:rPr>
          <w:rFonts w:cs="Arial"/>
        </w:rPr>
        <w:t>. Using this data, the authors estimate the association between library service usage, subjective wellbeing and general health. They then value these differences in health using GP-related NHS savings. This part of the study used a regression model approach that controlled for factors known to be associated with health such as age, ethnicity, smoking, family status, employment status, income, housing, religion, education, region and time of year. It used a measure of self-reported health on</w:t>
      </w:r>
      <w:r>
        <w:rPr>
          <w:rFonts w:cs="Arial"/>
        </w:rPr>
        <w:t xml:space="preserve"> a</w:t>
      </w:r>
      <w:r w:rsidRPr="00514EFA">
        <w:rPr>
          <w:rFonts w:cs="Arial"/>
        </w:rPr>
        <w:t xml:space="preserve"> scale from one to seven. The study also looked at the effects of poor health on GP visits in order to quantify the costs associated with poor health.</w:t>
      </w:r>
    </w:p>
    <w:p w14:paraId="011E8A75" w14:textId="77777777" w:rsidR="004120F9" w:rsidRPr="00514EFA" w:rsidRDefault="004120F9" w:rsidP="004120F9">
      <w:pPr>
        <w:rPr>
          <w:rFonts w:cs="Arial"/>
          <w:b/>
        </w:rPr>
      </w:pPr>
      <w:r w:rsidRPr="00514EFA">
        <w:rPr>
          <w:rFonts w:cs="Arial"/>
        </w:rPr>
        <w:t>The study found a correlation between subjective wellbeing and library usage after controlling for a number of different factors. Library usage was associated with higher life satisfaction, higher happiness, a higher sense of purpose but was also associated with higher levels of anxiety.</w:t>
      </w:r>
    </w:p>
    <w:p w14:paraId="0BB2536B" w14:textId="77777777" w:rsidR="004120F9" w:rsidRPr="00514EFA" w:rsidRDefault="004120F9" w:rsidP="004120F9">
      <w:pPr>
        <w:rPr>
          <w:rFonts w:cs="Arial"/>
          <w:b/>
        </w:rPr>
      </w:pPr>
      <w:r w:rsidRPr="00514EFA">
        <w:rPr>
          <w:rFonts w:cs="Arial"/>
        </w:rPr>
        <w:t>Library usage was also found to be positively associated with self-reported general health after controlling for a number of confounding factors. Linking this increase in general health with the increased costs associated with poor health (due to increased GP visits) the authors estimate a saving of £27.5 to the NHS. The primary and secondary benefits estimated in this study suggest that libraries have a total value of around £750m per year.</w:t>
      </w:r>
    </w:p>
    <w:p w14:paraId="5336EA17" w14:textId="2E8FC579" w:rsidR="004120F9" w:rsidRPr="00514EFA" w:rsidRDefault="004120F9" w:rsidP="004120F9">
      <w:pPr>
        <w:rPr>
          <w:rFonts w:cs="Arial"/>
          <w:b/>
        </w:rPr>
      </w:pPr>
      <w:r w:rsidRPr="00514EFA">
        <w:rPr>
          <w:rFonts w:cs="Arial"/>
        </w:rPr>
        <w:t>In an earlier paper, Fujiwara et al (2013) looked at the impact of engagement with museums on self-reported health and subjective wellbeing using regression analysis and then attempt</w:t>
      </w:r>
      <w:r>
        <w:rPr>
          <w:rFonts w:cs="Arial"/>
        </w:rPr>
        <w:t>ed</w:t>
      </w:r>
      <w:r w:rsidRPr="00514EFA">
        <w:rPr>
          <w:rFonts w:cs="Arial"/>
        </w:rPr>
        <w:t xml:space="preserve"> to ascribe a monetary value to this impact. Like Fujiwara et al</w:t>
      </w:r>
      <w:r>
        <w:rPr>
          <w:rFonts w:cs="Arial"/>
        </w:rPr>
        <w:t>,</w:t>
      </w:r>
      <w:r w:rsidRPr="00514EFA">
        <w:rPr>
          <w:rFonts w:cs="Arial"/>
        </w:rPr>
        <w:t xml:space="preserve"> 2015 (see above) the</w:t>
      </w:r>
      <w:r>
        <w:rPr>
          <w:rFonts w:cs="Arial"/>
        </w:rPr>
        <w:t xml:space="preserve"> researchers</w:t>
      </w:r>
      <w:r w:rsidRPr="00514EFA">
        <w:rPr>
          <w:rFonts w:cs="Arial"/>
        </w:rPr>
        <w:t xml:space="preserve"> employ a Wellbeing Valuation approach to estimate the equivalent monetary value associated with an increase in </w:t>
      </w:r>
      <w:r>
        <w:rPr>
          <w:rFonts w:cs="Arial"/>
        </w:rPr>
        <w:t>wellbeing</w:t>
      </w:r>
      <w:r w:rsidRPr="00514EFA">
        <w:rPr>
          <w:rFonts w:cs="Arial"/>
        </w:rPr>
        <w:t>.</w:t>
      </w:r>
    </w:p>
    <w:p w14:paraId="7CBF5EDD" w14:textId="77777777" w:rsidR="004120F9" w:rsidRPr="00514EFA" w:rsidRDefault="004120F9" w:rsidP="004120F9">
      <w:pPr>
        <w:rPr>
          <w:rFonts w:cs="Arial"/>
          <w:b/>
        </w:rPr>
      </w:pPr>
      <w:r w:rsidRPr="00514EFA">
        <w:rPr>
          <w:rFonts w:cs="Arial"/>
        </w:rPr>
        <w:t>The models use data derived from the Taking Part Survey which provides several metrics on cultural and sport participation as well as questions on subjective wellbeing and self-reported health. The study also uses data from the BHP</w:t>
      </w:r>
      <w:r>
        <w:rPr>
          <w:rFonts w:cs="Arial"/>
        </w:rPr>
        <w:t>S</w:t>
      </w:r>
      <w:r w:rsidRPr="00514EFA">
        <w:rPr>
          <w:rFonts w:cs="Arial"/>
        </w:rPr>
        <w:t xml:space="preserve"> to produce estimates of the monetary values associated with a given increase in subjective wellbeing.</w:t>
      </w:r>
      <w:r>
        <w:rPr>
          <w:rFonts w:cs="Arial"/>
        </w:rPr>
        <w:t xml:space="preserve"> </w:t>
      </w:r>
      <w:r w:rsidRPr="00514EFA">
        <w:rPr>
          <w:rFonts w:cs="Arial"/>
        </w:rPr>
        <w:t>In addition, both surveys provide data on a wide range of personal characteristics (such as marital status, education, age</w:t>
      </w:r>
      <w:r>
        <w:rPr>
          <w:rFonts w:cs="Arial"/>
        </w:rPr>
        <w:t>,</w:t>
      </w:r>
      <w:r w:rsidRPr="00514EFA">
        <w:rPr>
          <w:rFonts w:cs="Arial"/>
        </w:rPr>
        <w:t xml:space="preserve"> etc.) so that these can be controlled for in the models. The models are estimated using Ordinary Least Squares (OLS).</w:t>
      </w:r>
    </w:p>
    <w:p w14:paraId="54A73906" w14:textId="77777777" w:rsidR="004120F9" w:rsidRPr="00514EFA" w:rsidRDefault="004120F9" w:rsidP="004120F9">
      <w:pPr>
        <w:rPr>
          <w:rFonts w:cs="Arial"/>
          <w:b/>
        </w:rPr>
      </w:pPr>
      <w:r w:rsidRPr="00514EFA">
        <w:rPr>
          <w:rFonts w:cs="Arial"/>
        </w:rPr>
        <w:t xml:space="preserve">Four different models were </w:t>
      </w:r>
      <w:r>
        <w:rPr>
          <w:rFonts w:cs="Arial"/>
        </w:rPr>
        <w:t>used for</w:t>
      </w:r>
      <w:r w:rsidRPr="00514EFA">
        <w:rPr>
          <w:rFonts w:cs="Arial"/>
        </w:rPr>
        <w:t xml:space="preserve"> four different measures of museum participation: whether participants go to museums in their spare time, whether they volunteer at museums, the frequency with which they visit museums and the amount of time spent at museums. All these factors were positively associated with wellbeing, but the results were only statistically significant for whether people visit museums in their spare time. For health, whether a person visits museums in their spare time has a positive effect while the frequency of museums visits and time spent at museums have no impact on health. Surprisingly, volunteering at a museum was negatively associated with health.</w:t>
      </w:r>
      <w:r>
        <w:rPr>
          <w:rFonts w:cs="Arial"/>
        </w:rPr>
        <w:t xml:space="preserve"> </w:t>
      </w:r>
    </w:p>
    <w:p w14:paraId="2E437505" w14:textId="77777777" w:rsidR="004120F9" w:rsidRPr="00514EFA" w:rsidRDefault="004120F9" w:rsidP="004120F9">
      <w:pPr>
        <w:rPr>
          <w:rFonts w:cs="Arial"/>
          <w:b/>
        </w:rPr>
      </w:pPr>
      <w:r w:rsidRPr="00514EFA">
        <w:rPr>
          <w:rFonts w:cs="Arial"/>
        </w:rPr>
        <w:t xml:space="preserve">The study also looked at participation in the arts on health and wellbeing. Participation in the arts, participation in sports and being an audience in the arts all had significant positive relationships with wellbeing. Participation in sports and being an audience to the arts were significantly positively associated with better health, however there was no effect of participation in the arts on health. </w:t>
      </w:r>
    </w:p>
    <w:p w14:paraId="18A2DDE8" w14:textId="4A62D5F0" w:rsidR="004120F9" w:rsidRDefault="004120F9" w:rsidP="00131F29">
      <w:r w:rsidRPr="00514EFA">
        <w:rPr>
          <w:rFonts w:cs="Arial"/>
        </w:rPr>
        <w:t xml:space="preserve">Using a Wellbeing Valuation approach (using data from the BHPS) the authors estimate values associated with visiting museums of over £3,000 per person </w:t>
      </w:r>
      <w:r>
        <w:rPr>
          <w:rFonts w:cs="Arial"/>
        </w:rPr>
        <w:t xml:space="preserve">per </w:t>
      </w:r>
      <w:r w:rsidRPr="00514EFA">
        <w:rPr>
          <w:rFonts w:cs="Arial"/>
        </w:rPr>
        <w:lastRenderedPageBreak/>
        <w:t>year. Participation in the arts and sports showed a value of around £1,500 each while being an audience to the arts was valued at over £2,000 per year.</w:t>
      </w:r>
    </w:p>
    <w:p w14:paraId="00E13885" w14:textId="2EF533B2" w:rsidR="00410E03" w:rsidRPr="00BE013E" w:rsidRDefault="00410E03" w:rsidP="00224A2D">
      <w:pPr>
        <w:rPr>
          <w:b/>
        </w:rPr>
      </w:pPr>
      <w:r w:rsidRPr="00BE4C20">
        <w:t>The role of the arts in education is another interesting area, although largely beyond the scope of this study. These engagements and experiences are, however, often place-based – in formal, informal education and cultural settings. Education facilities can therefore form part of CS&amp;H assets within a place, whilst education is a key role of many CS&amp;H organisations and venue</w:t>
      </w:r>
      <w:r>
        <w:t>s</w:t>
      </w:r>
      <w:r w:rsidRPr="00BE4C20">
        <w:t xml:space="preserve"> for educational and training activity. In a novel study </w:t>
      </w:r>
      <w:r w:rsidRPr="00BE4C20">
        <w:rPr>
          <w:color w:val="111111"/>
          <w:spacing w:val="5"/>
          <w:lang w:eastAsia="en-GB"/>
        </w:rPr>
        <w:t>in the USA</w:t>
      </w:r>
      <w:r>
        <w:rPr>
          <w:color w:val="111111"/>
          <w:spacing w:val="5"/>
          <w:lang w:eastAsia="en-GB"/>
        </w:rPr>
        <w:t>,</w:t>
      </w:r>
      <w:r w:rsidRPr="00BE4C20">
        <w:rPr>
          <w:color w:val="111111"/>
          <w:spacing w:val="5"/>
          <w:lang w:eastAsia="en-GB"/>
        </w:rPr>
        <w:t xml:space="preserve"> </w:t>
      </w:r>
      <w:r>
        <w:rPr>
          <w:color w:val="111111"/>
          <w:spacing w:val="5"/>
          <w:lang w:eastAsia="en-GB"/>
        </w:rPr>
        <w:t>a survey tested</w:t>
      </w:r>
      <w:r w:rsidRPr="00BE4C20">
        <w:rPr>
          <w:color w:val="111111"/>
          <w:spacing w:val="5"/>
          <w:lang w:eastAsia="en-GB"/>
        </w:rPr>
        <w:t xml:space="preserve"> the proposition that entrepreneurial innovators in STEM fields who actively participated in arts and crafts activity in their youth and adulthood were more successful than their less active engineering and science peers. This found a posit</w:t>
      </w:r>
      <w:r>
        <w:rPr>
          <w:color w:val="111111"/>
          <w:spacing w:val="5"/>
          <w:lang w:eastAsia="en-GB"/>
        </w:rPr>
        <w:t>ive correlation</w:t>
      </w:r>
      <w:r w:rsidRPr="00BE4C20">
        <w:rPr>
          <w:color w:val="111111"/>
          <w:spacing w:val="5"/>
          <w:lang w:eastAsia="en-GB"/>
        </w:rPr>
        <w:t xml:space="preserve">. The relationship between childhood experience and subsequent adult participation in a range of arts activities was identified some time ago (see Dobson </w:t>
      </w:r>
      <w:r w:rsidR="00EF7B42">
        <w:rPr>
          <w:color w:val="111111"/>
          <w:spacing w:val="5"/>
          <w:lang w:eastAsia="en-GB"/>
        </w:rPr>
        <w:t>&amp;</w:t>
      </w:r>
      <w:r w:rsidR="00EF7B42" w:rsidRPr="00BE4C20">
        <w:rPr>
          <w:color w:val="111111"/>
          <w:spacing w:val="5"/>
          <w:lang w:eastAsia="en-GB"/>
        </w:rPr>
        <w:t xml:space="preserve"> </w:t>
      </w:r>
      <w:r w:rsidRPr="00BE4C20">
        <w:rPr>
          <w:color w:val="111111"/>
          <w:spacing w:val="5"/>
          <w:lang w:eastAsia="en-GB"/>
        </w:rPr>
        <w:t>West 1989), with a higher importance suggested for informal/participative engagement than formal/passive</w:t>
      </w:r>
      <w:r>
        <w:rPr>
          <w:color w:val="111111"/>
          <w:spacing w:val="5"/>
          <w:lang w:eastAsia="en-GB"/>
        </w:rPr>
        <w:t xml:space="preserve">. CS&amp;H resources have a particularly important role, distinct from school/college and formal engagement (e.g. school visits), notably combined arts centres, heritage interpretation and multi-use facilities (including community sport). In the last national study of arts centres in the UK (Shaw et al, 2006), participation rates across multi-form activities were much higher than general arts participation, with a more even age distribution and higher frequency of use in both urban and rural centres. These centres also fulfilled a social role over and above their arts activity programmes </w:t>
      </w:r>
      <w:r w:rsidR="00EF7B42">
        <w:rPr>
          <w:color w:val="111111"/>
          <w:spacing w:val="5"/>
          <w:lang w:eastAsia="en-GB"/>
        </w:rPr>
        <w:t xml:space="preserve">– </w:t>
      </w:r>
      <w:r>
        <w:rPr>
          <w:color w:val="111111"/>
          <w:spacing w:val="5"/>
          <w:lang w:eastAsia="en-GB"/>
        </w:rPr>
        <w:t>14% often</w:t>
      </w:r>
      <w:r w:rsidR="00EF7B42">
        <w:rPr>
          <w:color w:val="111111"/>
          <w:spacing w:val="5"/>
          <w:lang w:eastAsia="en-GB"/>
        </w:rPr>
        <w:t xml:space="preserve"> used and 38% </w:t>
      </w:r>
      <w:r>
        <w:rPr>
          <w:color w:val="111111"/>
          <w:spacing w:val="5"/>
          <w:lang w:eastAsia="en-GB"/>
        </w:rPr>
        <w:t xml:space="preserve">occasionally used these centres for social activities, independent of any arts attendance/participation. </w:t>
      </w:r>
      <w:r w:rsidRPr="00BE013E">
        <w:rPr>
          <w:b/>
          <w:color w:val="111111"/>
          <w:spacing w:val="5"/>
          <w:lang w:eastAsia="en-GB"/>
        </w:rPr>
        <w:t>Such venues are likely to have a stronger place-shaping contribution, particularly in communities where they serve either a local or singular catchment where there may be few or no other cultural facilities (this is more prevalent in rural and more deprived areas).</w:t>
      </w:r>
    </w:p>
    <w:p w14:paraId="0DF048B9" w14:textId="48230344" w:rsidR="00410E03" w:rsidRPr="00B07D5E" w:rsidRDefault="00410E03" w:rsidP="00520273">
      <w:r>
        <w:t>An</w:t>
      </w:r>
      <w:r w:rsidRPr="00B07D5E">
        <w:t xml:space="preserve"> </w:t>
      </w:r>
      <w:r>
        <w:t xml:space="preserve">earlier </w:t>
      </w:r>
      <w:r w:rsidRPr="00B07D5E">
        <w:t>attitude survey cond</w:t>
      </w:r>
      <w:r>
        <w:t>ucted by English Heritage (MORI, 2000 in Evans &amp; Shaw, 2001)</w:t>
      </w:r>
      <w:r w:rsidRPr="00B07D5E">
        <w:t xml:space="preserve"> found that 96% to 98% of people think that heritage is important to educate adults and children about the past and that all schoolchildren should be given the opportunity to </w:t>
      </w:r>
      <w:r w:rsidR="00EF7B42">
        <w:t>f</w:t>
      </w:r>
      <w:r w:rsidRPr="00B07D5E">
        <w:t>in</w:t>
      </w:r>
      <w:r w:rsidR="00EF7B42">
        <w:t>d</w:t>
      </w:r>
      <w:r w:rsidRPr="00B07D5E">
        <w:t xml:space="preserve"> out more about England’s heritage; 88% thought that it was right that there should be public funding to preserve the heritage and 76% agreed that their lives are enriched by the heritage. </w:t>
      </w:r>
    </w:p>
    <w:p w14:paraId="0901FFFD" w14:textId="46D6F331" w:rsidR="00410E03" w:rsidRPr="006759C6" w:rsidRDefault="00410E03" w:rsidP="00520273">
      <w:r>
        <w:t xml:space="preserve">Assessing place qualities is also the subject of design and planning, often associated with accessibility </w:t>
      </w:r>
      <w:r w:rsidRPr="006759C6">
        <w:t>indicators and community safety (‘fear of crime’). Design Quality Indicators have been developed for instance by CABE (2002</w:t>
      </w:r>
      <w:r w:rsidR="00EF7B42">
        <w:t>,</w:t>
      </w:r>
      <w:r w:rsidRPr="006759C6">
        <w:t xml:space="preserve"> </w:t>
      </w:r>
      <w:hyperlink r:id="rId27" w:history="1">
        <w:r w:rsidR="00EF7B42" w:rsidRPr="00E46E78">
          <w:rPr>
            <w:rStyle w:val="Hyperlink"/>
          </w:rPr>
          <w:t>http://cic.org.uk/services/the-design-quality-indicator-dqi.php</w:t>
        </w:r>
      </w:hyperlink>
      <w:r w:rsidRPr="006759C6">
        <w:t>)</w:t>
      </w:r>
      <w:r w:rsidR="00EF7B42">
        <w:t xml:space="preserve"> </w:t>
      </w:r>
      <w:r w:rsidRPr="006759C6">
        <w:t xml:space="preserve">to measure the </w:t>
      </w:r>
      <w:r w:rsidRPr="00C80488">
        <w:t>impact</w:t>
      </w:r>
      <w:r w:rsidRPr="00246AA3">
        <w:t xml:space="preserve"> </w:t>
      </w:r>
      <w:r w:rsidRPr="006759C6">
        <w:t>of new buildings and spaces, from the perspective of users/visitors, operational staff and in the environmental/spatial context. This uses a survey-based weighted algorithm. There are also a number of street design/audit tools developed to measure accessibility levels, linkages and street quality (Evans, 2009b). This has included the value to retail and other premises owners, as well as place attractiveness (CABE, 2007)</w:t>
      </w:r>
      <w:r>
        <w:t xml:space="preserve"> and impacts on (fear of) crime</w:t>
      </w:r>
      <w:r w:rsidRPr="006759C6">
        <w:t xml:space="preserve">. </w:t>
      </w:r>
      <w:r>
        <w:t xml:space="preserve">The vitality that well-used CS&amp;H facilities can generate contributes to natural surveillance and perceptions of safety, which can make such places important spaces for a wider user group, including women, families and children and the elderly </w:t>
      </w:r>
      <w:r w:rsidR="00EF7B42">
        <w:t xml:space="preserve">– </w:t>
      </w:r>
      <w:r>
        <w:t xml:space="preserve">who experience higher concerns over street and transport safety. </w:t>
      </w:r>
    </w:p>
    <w:p w14:paraId="4E6CD2F2" w14:textId="0FBEA84D" w:rsidR="00410E03" w:rsidRDefault="00410E03" w:rsidP="00520273">
      <w:pPr>
        <w:rPr>
          <w:b/>
        </w:rPr>
      </w:pPr>
      <w:r>
        <w:rPr>
          <w:b/>
        </w:rPr>
        <w:t xml:space="preserve">Given that the concept of place-shaping draws on the practice of </w:t>
      </w:r>
      <w:r w:rsidR="00AD6B47">
        <w:rPr>
          <w:b/>
        </w:rPr>
        <w:t>placemaking</w:t>
      </w:r>
      <w:r>
        <w:rPr>
          <w:b/>
        </w:rPr>
        <w:t xml:space="preserve"> which has a prime (urban) design focus, the extent to which investment in CS&amp;H contributes to good design needs consideration. This </w:t>
      </w:r>
      <w:r>
        <w:rPr>
          <w:b/>
        </w:rPr>
        <w:lastRenderedPageBreak/>
        <w:t>has a range of effects as noted, from community safety and conviviality, property values (domestic and commercial)</w:t>
      </w:r>
      <w:r w:rsidR="00EF7B42">
        <w:rPr>
          <w:b/>
        </w:rPr>
        <w:t>,</w:t>
      </w:r>
      <w:r>
        <w:rPr>
          <w:b/>
        </w:rPr>
        <w:t>to a sense of place and belonging, community pride and positive place branding.</w:t>
      </w:r>
    </w:p>
    <w:p w14:paraId="5DA4F5FA" w14:textId="061277A8" w:rsidR="00410E03" w:rsidRPr="006759C6" w:rsidRDefault="00EF7B42" w:rsidP="00520273">
      <w:pPr>
        <w:pStyle w:val="Heading3Numbered"/>
      </w:pPr>
      <w:bookmarkStart w:id="106" w:name="_Toc467569634"/>
      <w:r w:rsidRPr="006759C6">
        <w:t>Night</w:t>
      </w:r>
      <w:r>
        <w:t>-</w:t>
      </w:r>
      <w:r w:rsidR="00410E03">
        <w:t>time E</w:t>
      </w:r>
      <w:r w:rsidR="00410E03" w:rsidRPr="006759C6">
        <w:t>conomy</w:t>
      </w:r>
      <w:bookmarkEnd w:id="106"/>
    </w:p>
    <w:p w14:paraId="1C7D4F90" w14:textId="490C1C67" w:rsidR="00410E03" w:rsidRPr="00E0381A" w:rsidRDefault="00410E03" w:rsidP="00520273">
      <w:r w:rsidRPr="006759C6">
        <w:t xml:space="preserve">CS&amp;H facilities can be an important element in the evening economy of towns and cities. The so-called night-time economy (NTE) has a substantial economic value in larger cities. </w:t>
      </w:r>
      <w:r w:rsidRPr="006759C6">
        <w:rPr>
          <w:color w:val="231F20"/>
        </w:rPr>
        <w:t>It</w:t>
      </w:r>
      <w:r w:rsidRPr="006759C6">
        <w:rPr>
          <w:color w:val="231F20"/>
          <w:spacing w:val="-7"/>
        </w:rPr>
        <w:t xml:space="preserve"> </w:t>
      </w:r>
      <w:r w:rsidRPr="006759C6">
        <w:rPr>
          <w:color w:val="231F20"/>
        </w:rPr>
        <w:t>is</w:t>
      </w:r>
      <w:r w:rsidRPr="006759C6">
        <w:rPr>
          <w:color w:val="231F20"/>
          <w:spacing w:val="-7"/>
        </w:rPr>
        <w:t xml:space="preserve"> </w:t>
      </w:r>
      <w:r w:rsidRPr="006759C6">
        <w:rPr>
          <w:color w:val="231F20"/>
        </w:rPr>
        <w:t>estim</w:t>
      </w:r>
      <w:r w:rsidRPr="006759C6">
        <w:rPr>
          <w:color w:val="231F20"/>
          <w:spacing w:val="2"/>
        </w:rPr>
        <w:t>a</w:t>
      </w:r>
      <w:r w:rsidRPr="006759C6">
        <w:rPr>
          <w:color w:val="231F20"/>
        </w:rPr>
        <w:t>ted</w:t>
      </w:r>
      <w:r w:rsidRPr="006759C6">
        <w:rPr>
          <w:color w:val="231F20"/>
          <w:spacing w:val="-18"/>
        </w:rPr>
        <w:t xml:space="preserve"> </w:t>
      </w:r>
      <w:r w:rsidRPr="006759C6">
        <w:rPr>
          <w:color w:val="231F20"/>
        </w:rPr>
        <w:t>that</w:t>
      </w:r>
      <w:r w:rsidRPr="006759C6">
        <w:rPr>
          <w:color w:val="231F20"/>
          <w:spacing w:val="-9"/>
        </w:rPr>
        <w:t xml:space="preserve"> </w:t>
      </w:r>
      <w:r w:rsidRPr="006759C6">
        <w:rPr>
          <w:color w:val="231F20"/>
        </w:rPr>
        <w:t>NTE activity</w:t>
      </w:r>
      <w:r w:rsidRPr="006759C6">
        <w:rPr>
          <w:color w:val="231F20"/>
          <w:spacing w:val="-9"/>
        </w:rPr>
        <w:t xml:space="preserve"> </w:t>
      </w:r>
      <w:r w:rsidRPr="006759C6">
        <w:rPr>
          <w:color w:val="231F20"/>
        </w:rPr>
        <w:t>contributed</w:t>
      </w:r>
      <w:r w:rsidRPr="006759C6">
        <w:rPr>
          <w:color w:val="231F20"/>
          <w:spacing w:val="-16"/>
        </w:rPr>
        <w:t xml:space="preserve"> </w:t>
      </w:r>
      <w:r w:rsidRPr="006759C6">
        <w:rPr>
          <w:color w:val="231F20"/>
        </w:rPr>
        <w:t>£66</w:t>
      </w:r>
      <w:r w:rsidRPr="006759C6">
        <w:rPr>
          <w:color w:val="231F20"/>
          <w:spacing w:val="2"/>
        </w:rPr>
        <w:t xml:space="preserve"> </w:t>
      </w:r>
      <w:r w:rsidRPr="006759C6">
        <w:rPr>
          <w:color w:val="231F20"/>
        </w:rPr>
        <w:t>billion</w:t>
      </w:r>
      <w:r w:rsidRPr="006759C6">
        <w:rPr>
          <w:color w:val="231F20"/>
          <w:spacing w:val="-7"/>
        </w:rPr>
        <w:t xml:space="preserve"> </w:t>
      </w:r>
      <w:r w:rsidRPr="006759C6">
        <w:rPr>
          <w:color w:val="231F20"/>
        </w:rPr>
        <w:t>to</w:t>
      </w:r>
      <w:r w:rsidRPr="006759C6">
        <w:rPr>
          <w:color w:val="231F20"/>
          <w:spacing w:val="-2"/>
        </w:rPr>
        <w:t xml:space="preserve"> </w:t>
      </w:r>
      <w:r w:rsidRPr="006759C6">
        <w:rPr>
          <w:color w:val="231F20"/>
        </w:rPr>
        <w:t>the</w:t>
      </w:r>
      <w:r w:rsidRPr="006759C6">
        <w:rPr>
          <w:color w:val="231F20"/>
          <w:spacing w:val="-3"/>
        </w:rPr>
        <w:t xml:space="preserve"> </w:t>
      </w:r>
      <w:r w:rsidRPr="006759C6">
        <w:rPr>
          <w:color w:val="231F20"/>
        </w:rPr>
        <w:t>UK</w:t>
      </w:r>
      <w:r w:rsidRPr="006759C6">
        <w:rPr>
          <w:color w:val="231F20"/>
          <w:spacing w:val="-1"/>
        </w:rPr>
        <w:t xml:space="preserve"> </w:t>
      </w:r>
      <w:r w:rsidRPr="006759C6">
        <w:rPr>
          <w:color w:val="231F20"/>
        </w:rPr>
        <w:t>economy</w:t>
      </w:r>
      <w:r w:rsidRPr="006759C6">
        <w:rPr>
          <w:color w:val="231F20"/>
          <w:spacing w:val="-6"/>
        </w:rPr>
        <w:t xml:space="preserve"> </w:t>
      </w:r>
      <w:r w:rsidRPr="006759C6">
        <w:rPr>
          <w:color w:val="231F20"/>
        </w:rPr>
        <w:t>in 2009,</w:t>
      </w:r>
      <w:r w:rsidRPr="006759C6">
        <w:rPr>
          <w:color w:val="231F20"/>
          <w:spacing w:val="1"/>
        </w:rPr>
        <w:t xml:space="preserve"> </w:t>
      </w:r>
      <w:r w:rsidRPr="006759C6">
        <w:rPr>
          <w:color w:val="231F20"/>
        </w:rPr>
        <w:t>employing</w:t>
      </w:r>
      <w:r w:rsidRPr="006759C6">
        <w:rPr>
          <w:color w:val="231F20"/>
          <w:spacing w:val="-6"/>
        </w:rPr>
        <w:t xml:space="preserve"> </w:t>
      </w:r>
      <w:r w:rsidRPr="006759C6">
        <w:rPr>
          <w:color w:val="231F20"/>
        </w:rPr>
        <w:t>1.3</w:t>
      </w:r>
      <w:r w:rsidRPr="006759C6">
        <w:rPr>
          <w:color w:val="231F20"/>
          <w:spacing w:val="2"/>
        </w:rPr>
        <w:t xml:space="preserve"> </w:t>
      </w:r>
      <w:r w:rsidRPr="006759C6">
        <w:rPr>
          <w:color w:val="231F20"/>
        </w:rPr>
        <w:t>million</w:t>
      </w:r>
      <w:r w:rsidRPr="006759C6">
        <w:rPr>
          <w:color w:val="231F20"/>
          <w:spacing w:val="-9"/>
        </w:rPr>
        <w:t xml:space="preserve"> </w:t>
      </w:r>
      <w:r w:rsidRPr="006759C6">
        <w:rPr>
          <w:color w:val="231F20"/>
        </w:rPr>
        <w:t xml:space="preserve">people </w:t>
      </w:r>
      <w:r w:rsidR="00D22ABB">
        <w:rPr>
          <w:color w:val="231F20"/>
        </w:rPr>
        <w:t>–</w:t>
      </w:r>
      <w:r w:rsidR="00D22ABB" w:rsidRPr="006759C6">
        <w:rPr>
          <w:color w:val="231F20"/>
        </w:rPr>
        <w:t xml:space="preserve"> </w:t>
      </w:r>
      <w:r w:rsidRPr="006759C6">
        <w:rPr>
          <w:color w:val="231F20"/>
        </w:rPr>
        <w:t>10%</w:t>
      </w:r>
      <w:r w:rsidRPr="006759C6">
        <w:rPr>
          <w:color w:val="231F20"/>
          <w:spacing w:val="-9"/>
        </w:rPr>
        <w:t xml:space="preserve"> </w:t>
      </w:r>
      <w:r w:rsidRPr="006759C6">
        <w:rPr>
          <w:color w:val="231F20"/>
        </w:rPr>
        <w:t>of</w:t>
      </w:r>
      <w:r w:rsidRPr="006759C6">
        <w:rPr>
          <w:color w:val="231F20"/>
          <w:spacing w:val="-4"/>
        </w:rPr>
        <w:t xml:space="preserve"> </w:t>
      </w:r>
      <w:r w:rsidRPr="006759C6">
        <w:rPr>
          <w:color w:val="231F20"/>
        </w:rPr>
        <w:t>all</w:t>
      </w:r>
      <w:r w:rsidRPr="006759C6">
        <w:rPr>
          <w:color w:val="231F20"/>
          <w:spacing w:val="-6"/>
        </w:rPr>
        <w:t xml:space="preserve"> </w:t>
      </w:r>
      <w:r w:rsidRPr="006759C6">
        <w:rPr>
          <w:color w:val="231F20"/>
        </w:rPr>
        <w:t>employme</w:t>
      </w:r>
      <w:r w:rsidRPr="006759C6">
        <w:rPr>
          <w:color w:val="231F20"/>
          <w:spacing w:val="2"/>
        </w:rPr>
        <w:t>n</w:t>
      </w:r>
      <w:r w:rsidRPr="006759C6">
        <w:rPr>
          <w:color w:val="231F20"/>
        </w:rPr>
        <w:t>t,</w:t>
      </w:r>
      <w:r w:rsidRPr="006759C6">
        <w:rPr>
          <w:color w:val="231F20"/>
          <w:spacing w:val="-13"/>
        </w:rPr>
        <w:t xml:space="preserve"> </w:t>
      </w:r>
      <w:r w:rsidRPr="006759C6">
        <w:rPr>
          <w:color w:val="231F20"/>
        </w:rPr>
        <w:t>8%</w:t>
      </w:r>
      <w:r w:rsidRPr="006759C6">
        <w:rPr>
          <w:color w:val="231F20"/>
          <w:spacing w:val="-4"/>
        </w:rPr>
        <w:t xml:space="preserve"> </w:t>
      </w:r>
      <w:r w:rsidRPr="006759C6">
        <w:rPr>
          <w:color w:val="231F20"/>
        </w:rPr>
        <w:t>of</w:t>
      </w:r>
      <w:r w:rsidRPr="006759C6">
        <w:rPr>
          <w:color w:val="231F20"/>
          <w:spacing w:val="-4"/>
        </w:rPr>
        <w:t xml:space="preserve"> </w:t>
      </w:r>
      <w:r w:rsidRPr="006759C6">
        <w:rPr>
          <w:color w:val="231F20"/>
        </w:rPr>
        <w:t>all</w:t>
      </w:r>
      <w:r w:rsidRPr="006759C6">
        <w:rPr>
          <w:color w:val="231F20"/>
          <w:spacing w:val="-6"/>
        </w:rPr>
        <w:t xml:space="preserve"> </w:t>
      </w:r>
      <w:r>
        <w:rPr>
          <w:color w:val="231F20"/>
        </w:rPr>
        <w:t>ﬁrms</w:t>
      </w:r>
      <w:r w:rsidRPr="006759C6">
        <w:rPr>
          <w:color w:val="231F20"/>
        </w:rPr>
        <w:t xml:space="preserve"> (Bevan </w:t>
      </w:r>
      <w:r w:rsidR="00D22ABB">
        <w:rPr>
          <w:color w:val="231F20"/>
        </w:rPr>
        <w:t>&amp;</w:t>
      </w:r>
      <w:r w:rsidR="00D22ABB" w:rsidRPr="006759C6">
        <w:rPr>
          <w:color w:val="231F20"/>
        </w:rPr>
        <w:t xml:space="preserve"> </w:t>
      </w:r>
      <w:r w:rsidRPr="006759C6">
        <w:rPr>
          <w:color w:val="231F20"/>
        </w:rPr>
        <w:t>Turnham, 2010).</w:t>
      </w:r>
      <w:r w:rsidRPr="006759C6">
        <w:t xml:space="preserve"> CS&amp;H facilities contribute to this </w:t>
      </w:r>
      <w:r w:rsidRPr="00E0381A">
        <w:t xml:space="preserve">particular sector, notably theatres and evening productions. A particular challenge since the liberalisation of opening hours and licencing has been the development of a ‘monoculture’ in town centres and entertainment areas dominated by late night drinking establishments, cubs/bars and anti-social behaviour associated with excessive alcohol consumption (‘binge drinking’). This has had the effect of making it far less attractive to wider user groups to go into town and access other amenities including cultural venues. A particular response has been the adoption of late night (or ‘nuit blanche’) festivals and museums nights, as have been practiced in Europe and North America (Evans, 2010). These events have succeeded in bringing visitors back into town/city centres and to experience these places in a different temporal environment. This has seen younger visitors to venues traditionally attracting older age groups, such as museums and galleries. </w:t>
      </w:r>
      <w:r w:rsidRPr="00E0381A">
        <w:rPr>
          <w:color w:val="231F20"/>
        </w:rPr>
        <w:t>The</w:t>
      </w:r>
      <w:r w:rsidRPr="00E0381A">
        <w:rPr>
          <w:color w:val="231F20"/>
          <w:spacing w:val="3"/>
        </w:rPr>
        <w:t xml:space="preserve"> </w:t>
      </w:r>
      <w:r w:rsidRPr="00E0381A">
        <w:rPr>
          <w:color w:val="231F20"/>
        </w:rPr>
        <w:t>temporal</w:t>
      </w:r>
      <w:r w:rsidRPr="00E0381A">
        <w:rPr>
          <w:color w:val="231F20"/>
          <w:spacing w:val="-8"/>
        </w:rPr>
        <w:t xml:space="preserve"> </w:t>
      </w:r>
      <w:r w:rsidRPr="00E0381A">
        <w:rPr>
          <w:color w:val="231F20"/>
        </w:rPr>
        <w:t>and</w:t>
      </w:r>
      <w:r w:rsidRPr="00E0381A">
        <w:rPr>
          <w:color w:val="231F20"/>
          <w:spacing w:val="2"/>
        </w:rPr>
        <w:t xml:space="preserve"> </w:t>
      </w:r>
      <w:r w:rsidRPr="00E0381A">
        <w:rPr>
          <w:color w:val="231F20"/>
        </w:rPr>
        <w:t>geographic</w:t>
      </w:r>
      <w:r w:rsidRPr="00E0381A">
        <w:rPr>
          <w:color w:val="231F20"/>
          <w:spacing w:val="-3"/>
        </w:rPr>
        <w:t xml:space="preserve"> </w:t>
      </w:r>
      <w:r w:rsidRPr="00E0381A">
        <w:rPr>
          <w:color w:val="231F20"/>
        </w:rPr>
        <w:t>spread</w:t>
      </w:r>
      <w:r w:rsidRPr="00E0381A">
        <w:rPr>
          <w:color w:val="231F20"/>
          <w:spacing w:val="-5"/>
        </w:rPr>
        <w:t xml:space="preserve"> </w:t>
      </w:r>
      <w:r w:rsidRPr="00E0381A">
        <w:rPr>
          <w:color w:val="231F20"/>
        </w:rPr>
        <w:t>of</w:t>
      </w:r>
      <w:r w:rsidRPr="00E0381A">
        <w:rPr>
          <w:color w:val="231F20"/>
          <w:spacing w:val="3"/>
        </w:rPr>
        <w:t xml:space="preserve"> </w:t>
      </w:r>
      <w:r w:rsidRPr="00E0381A">
        <w:rPr>
          <w:color w:val="231F20"/>
        </w:rPr>
        <w:t>visitor</w:t>
      </w:r>
      <w:r w:rsidRPr="00E0381A">
        <w:rPr>
          <w:color w:val="231F20"/>
          <w:spacing w:val="-4"/>
        </w:rPr>
        <w:t xml:space="preserve"> </w:t>
      </w:r>
      <w:r w:rsidRPr="00E0381A">
        <w:rPr>
          <w:color w:val="231F20"/>
        </w:rPr>
        <w:t>activ</w:t>
      </w:r>
      <w:r w:rsidRPr="00E0381A">
        <w:rPr>
          <w:color w:val="231F20"/>
          <w:spacing w:val="2"/>
        </w:rPr>
        <w:t>i</w:t>
      </w:r>
      <w:r w:rsidRPr="00E0381A">
        <w:rPr>
          <w:color w:val="231F20"/>
        </w:rPr>
        <w:t>ty</w:t>
      </w:r>
      <w:r w:rsidRPr="00E0381A">
        <w:rPr>
          <w:color w:val="231F20"/>
          <w:spacing w:val="-7"/>
        </w:rPr>
        <w:t xml:space="preserve"> </w:t>
      </w:r>
      <w:r w:rsidRPr="00E0381A">
        <w:rPr>
          <w:color w:val="231F20"/>
        </w:rPr>
        <w:t>o</w:t>
      </w:r>
      <w:r w:rsidRPr="00E0381A">
        <w:rPr>
          <w:color w:val="231F20"/>
          <w:spacing w:val="-2"/>
        </w:rPr>
        <w:t>f</w:t>
      </w:r>
      <w:r w:rsidRPr="00E0381A">
        <w:rPr>
          <w:color w:val="231F20"/>
        </w:rPr>
        <w:t>fered by</w:t>
      </w:r>
      <w:r w:rsidRPr="00E0381A">
        <w:rPr>
          <w:color w:val="231F20"/>
          <w:spacing w:val="6"/>
        </w:rPr>
        <w:t xml:space="preserve"> </w:t>
      </w:r>
      <w:r w:rsidRPr="00E0381A">
        <w:rPr>
          <w:color w:val="231F20"/>
        </w:rPr>
        <w:t>extend</w:t>
      </w:r>
      <w:r w:rsidRPr="00E0381A">
        <w:rPr>
          <w:color w:val="231F20"/>
          <w:spacing w:val="2"/>
        </w:rPr>
        <w:t>e</w:t>
      </w:r>
      <w:r w:rsidRPr="00E0381A">
        <w:rPr>
          <w:color w:val="231F20"/>
        </w:rPr>
        <w:t>d</w:t>
      </w:r>
      <w:r w:rsidRPr="00E0381A">
        <w:rPr>
          <w:color w:val="231F20"/>
          <w:spacing w:val="-1"/>
        </w:rPr>
        <w:t xml:space="preserve"> </w:t>
      </w:r>
      <w:r w:rsidRPr="00E0381A">
        <w:rPr>
          <w:color w:val="231F20"/>
        </w:rPr>
        <w:t>late</w:t>
      </w:r>
      <w:r w:rsidRPr="00E0381A">
        <w:rPr>
          <w:color w:val="231F20"/>
          <w:spacing w:val="-3"/>
        </w:rPr>
        <w:t xml:space="preserve"> </w:t>
      </w:r>
      <w:r w:rsidRPr="00E0381A">
        <w:rPr>
          <w:color w:val="231F20"/>
        </w:rPr>
        <w:t>night</w:t>
      </w:r>
      <w:r w:rsidRPr="00E0381A">
        <w:rPr>
          <w:color w:val="231F20"/>
          <w:spacing w:val="3"/>
        </w:rPr>
        <w:t xml:space="preserve"> </w:t>
      </w:r>
      <w:r w:rsidRPr="00E0381A">
        <w:rPr>
          <w:color w:val="231F20"/>
        </w:rPr>
        <w:t>cultural</w:t>
      </w:r>
      <w:r w:rsidRPr="00E0381A">
        <w:rPr>
          <w:color w:val="231F20"/>
          <w:spacing w:val="-6"/>
        </w:rPr>
        <w:t xml:space="preserve"> </w:t>
      </w:r>
      <w:r w:rsidR="00570D27">
        <w:rPr>
          <w:color w:val="231F20"/>
        </w:rPr>
        <w:t>activity</w:t>
      </w:r>
      <w:r w:rsidR="00570D27" w:rsidRPr="00E0381A">
        <w:rPr>
          <w:color w:val="231F20"/>
          <w:spacing w:val="1"/>
        </w:rPr>
        <w:t xml:space="preserve"> </w:t>
      </w:r>
      <w:r w:rsidRPr="00E0381A">
        <w:rPr>
          <w:color w:val="231F20"/>
        </w:rPr>
        <w:t>directly</w:t>
      </w:r>
      <w:r w:rsidRPr="00E0381A">
        <w:rPr>
          <w:color w:val="231F20"/>
          <w:spacing w:val="-6"/>
        </w:rPr>
        <w:t xml:space="preserve"> </w:t>
      </w:r>
      <w:r w:rsidRPr="00E0381A">
        <w:rPr>
          <w:color w:val="231F20"/>
        </w:rPr>
        <w:t>contributes</w:t>
      </w:r>
      <w:r w:rsidRPr="00E0381A">
        <w:rPr>
          <w:color w:val="231F20"/>
          <w:spacing w:val="-11"/>
        </w:rPr>
        <w:t xml:space="preserve"> </w:t>
      </w:r>
      <w:r w:rsidRPr="00E0381A">
        <w:rPr>
          <w:color w:val="231F20"/>
        </w:rPr>
        <w:t>to</w:t>
      </w:r>
      <w:r w:rsidRPr="00E0381A">
        <w:rPr>
          <w:color w:val="231F20"/>
          <w:spacing w:val="4"/>
        </w:rPr>
        <w:t xml:space="preserve"> </w:t>
      </w:r>
      <w:r w:rsidRPr="00E0381A">
        <w:rPr>
          <w:color w:val="231F20"/>
        </w:rPr>
        <w:t>this increase</w:t>
      </w:r>
      <w:r w:rsidRPr="00E0381A">
        <w:rPr>
          <w:color w:val="231F20"/>
          <w:spacing w:val="-6"/>
        </w:rPr>
        <w:t xml:space="preserve"> </w:t>
      </w:r>
      <w:r w:rsidRPr="00E0381A">
        <w:rPr>
          <w:color w:val="231F20"/>
        </w:rPr>
        <w:t>in</w:t>
      </w:r>
      <w:r w:rsidRPr="00E0381A">
        <w:rPr>
          <w:color w:val="231F20"/>
          <w:spacing w:val="3"/>
        </w:rPr>
        <w:t xml:space="preserve"> </w:t>
      </w:r>
      <w:r w:rsidRPr="00E0381A">
        <w:rPr>
          <w:color w:val="231F20"/>
        </w:rPr>
        <w:t>capacity</w:t>
      </w:r>
      <w:r w:rsidRPr="00E0381A">
        <w:rPr>
          <w:color w:val="231F20"/>
          <w:spacing w:val="-6"/>
        </w:rPr>
        <w:t xml:space="preserve"> </w:t>
      </w:r>
      <w:r w:rsidRPr="00E0381A">
        <w:rPr>
          <w:color w:val="231F20"/>
        </w:rPr>
        <w:t>and therefore</w:t>
      </w:r>
      <w:r w:rsidRPr="00E0381A">
        <w:rPr>
          <w:color w:val="231F20"/>
          <w:spacing w:val="-10"/>
        </w:rPr>
        <w:t xml:space="preserve"> </w:t>
      </w:r>
      <w:r w:rsidRPr="00E0381A">
        <w:rPr>
          <w:color w:val="231F20"/>
        </w:rPr>
        <w:t>their</w:t>
      </w:r>
      <w:r w:rsidRPr="00E0381A">
        <w:rPr>
          <w:color w:val="231F20"/>
          <w:spacing w:val="-5"/>
        </w:rPr>
        <w:t xml:space="preserve"> </w:t>
      </w:r>
      <w:r w:rsidRPr="00E0381A">
        <w:rPr>
          <w:color w:val="231F20"/>
          <w:w w:val="98"/>
        </w:rPr>
        <w:t>sustainabi</w:t>
      </w:r>
      <w:r w:rsidRPr="00E0381A">
        <w:rPr>
          <w:color w:val="231F20"/>
          <w:spacing w:val="2"/>
          <w:w w:val="98"/>
        </w:rPr>
        <w:t>l</w:t>
      </w:r>
      <w:r w:rsidRPr="00E0381A">
        <w:rPr>
          <w:color w:val="231F20"/>
          <w:w w:val="98"/>
        </w:rPr>
        <w:t>it</w:t>
      </w:r>
      <w:r w:rsidRPr="00E0381A">
        <w:rPr>
          <w:color w:val="231F20"/>
          <w:spacing w:val="-12"/>
          <w:w w:val="98"/>
        </w:rPr>
        <w:t>y</w:t>
      </w:r>
      <w:r w:rsidRPr="00E0381A">
        <w:rPr>
          <w:color w:val="231F20"/>
          <w:w w:val="98"/>
        </w:rPr>
        <w:t>.</w:t>
      </w:r>
      <w:r w:rsidRPr="00E0381A">
        <w:rPr>
          <w:color w:val="231F20"/>
          <w:spacing w:val="3"/>
          <w:w w:val="98"/>
        </w:rPr>
        <w:t xml:space="preserve"> </w:t>
      </w:r>
      <w:r w:rsidRPr="00E0381A">
        <w:rPr>
          <w:color w:val="231F20"/>
        </w:rPr>
        <w:t>Howeve</w:t>
      </w:r>
      <w:r w:rsidRPr="00E0381A">
        <w:rPr>
          <w:color w:val="231F20"/>
          <w:spacing w:val="-5"/>
        </w:rPr>
        <w:t>r</w:t>
      </w:r>
      <w:r w:rsidRPr="00E0381A">
        <w:rPr>
          <w:color w:val="231F20"/>
        </w:rPr>
        <w:t>,</w:t>
      </w:r>
      <w:r w:rsidRPr="00E0381A">
        <w:rPr>
          <w:color w:val="231F20"/>
          <w:spacing w:val="4"/>
        </w:rPr>
        <w:t xml:space="preserve"> </w:t>
      </w:r>
      <w:r w:rsidRPr="00E0381A">
        <w:rPr>
          <w:color w:val="231F20"/>
        </w:rPr>
        <w:t>the</w:t>
      </w:r>
      <w:r w:rsidRPr="00E0381A">
        <w:rPr>
          <w:color w:val="231F20"/>
          <w:spacing w:val="5"/>
        </w:rPr>
        <w:t xml:space="preserve"> </w:t>
      </w:r>
      <w:r w:rsidRPr="00E0381A">
        <w:rPr>
          <w:color w:val="231F20"/>
        </w:rPr>
        <w:t>beneﬁts</w:t>
      </w:r>
      <w:r w:rsidRPr="00E0381A">
        <w:rPr>
          <w:color w:val="231F20"/>
          <w:spacing w:val="5"/>
        </w:rPr>
        <w:t xml:space="preserve"> </w:t>
      </w:r>
      <w:r w:rsidRPr="00E0381A">
        <w:rPr>
          <w:color w:val="231F20"/>
        </w:rPr>
        <w:t>accor</w:t>
      </w:r>
      <w:r w:rsidRPr="00E0381A">
        <w:rPr>
          <w:color w:val="231F20"/>
          <w:spacing w:val="2"/>
        </w:rPr>
        <w:t>d</w:t>
      </w:r>
      <w:r w:rsidRPr="00E0381A">
        <w:rPr>
          <w:color w:val="231F20"/>
        </w:rPr>
        <w:t>ing</w:t>
      </w:r>
      <w:r w:rsidRPr="00E0381A">
        <w:rPr>
          <w:color w:val="231F20"/>
          <w:spacing w:val="-3"/>
        </w:rPr>
        <w:t xml:space="preserve"> </w:t>
      </w:r>
      <w:r w:rsidRPr="00E0381A">
        <w:rPr>
          <w:color w:val="231F20"/>
        </w:rPr>
        <w:t>to</w:t>
      </w:r>
      <w:r w:rsidRPr="00E0381A">
        <w:rPr>
          <w:color w:val="231F20"/>
          <w:spacing w:val="7"/>
        </w:rPr>
        <w:t xml:space="preserve"> </w:t>
      </w:r>
      <w:r w:rsidRPr="00E0381A">
        <w:rPr>
          <w:color w:val="231F20"/>
        </w:rPr>
        <w:t>the</w:t>
      </w:r>
      <w:r w:rsidRPr="00E0381A">
        <w:rPr>
          <w:color w:val="231F20"/>
          <w:spacing w:val="6"/>
        </w:rPr>
        <w:t xml:space="preserve"> </w:t>
      </w:r>
      <w:r w:rsidRPr="00E0381A">
        <w:rPr>
          <w:color w:val="231F20"/>
        </w:rPr>
        <w:t>survey</w:t>
      </w:r>
      <w:r w:rsidRPr="00E0381A">
        <w:rPr>
          <w:color w:val="231F20"/>
          <w:spacing w:val="6"/>
        </w:rPr>
        <w:t xml:space="preserve"> </w:t>
      </w:r>
      <w:r w:rsidRPr="00E0381A">
        <w:rPr>
          <w:color w:val="231F20"/>
        </w:rPr>
        <w:t>of</w:t>
      </w:r>
      <w:r w:rsidRPr="00E0381A">
        <w:rPr>
          <w:color w:val="231F20"/>
          <w:spacing w:val="7"/>
        </w:rPr>
        <w:t xml:space="preserve"> </w:t>
      </w:r>
      <w:r w:rsidRPr="00E0381A">
        <w:rPr>
          <w:color w:val="231F20"/>
        </w:rPr>
        <w:t>local</w:t>
      </w:r>
      <w:r w:rsidRPr="00E0381A">
        <w:rPr>
          <w:color w:val="231F20"/>
          <w:spacing w:val="3"/>
        </w:rPr>
        <w:t xml:space="preserve"> </w:t>
      </w:r>
      <w:r w:rsidRPr="00E0381A">
        <w:rPr>
          <w:color w:val="231F20"/>
        </w:rPr>
        <w:t>authorit</w:t>
      </w:r>
      <w:r w:rsidRPr="00E0381A">
        <w:rPr>
          <w:color w:val="231F20"/>
          <w:spacing w:val="2"/>
        </w:rPr>
        <w:t>i</w:t>
      </w:r>
      <w:r w:rsidRPr="00E0381A">
        <w:rPr>
          <w:color w:val="231F20"/>
        </w:rPr>
        <w:t>es</w:t>
      </w:r>
      <w:r w:rsidRPr="00E0381A">
        <w:rPr>
          <w:color w:val="231F20"/>
          <w:spacing w:val="-7"/>
        </w:rPr>
        <w:t xml:space="preserve"> </w:t>
      </w:r>
      <w:r w:rsidRPr="00E0381A">
        <w:rPr>
          <w:color w:val="231F20"/>
        </w:rPr>
        <w:t>are</w:t>
      </w:r>
      <w:r w:rsidRPr="00E0381A">
        <w:rPr>
          <w:color w:val="231F20"/>
          <w:spacing w:val="4"/>
        </w:rPr>
        <w:t xml:space="preserve"> </w:t>
      </w:r>
      <w:r w:rsidRPr="00E0381A">
        <w:rPr>
          <w:color w:val="231F20"/>
        </w:rPr>
        <w:t>also</w:t>
      </w:r>
      <w:r w:rsidRPr="00E0381A">
        <w:rPr>
          <w:color w:val="231F20"/>
          <w:spacing w:val="4"/>
        </w:rPr>
        <w:t xml:space="preserve"> </w:t>
      </w:r>
      <w:r w:rsidRPr="00E0381A">
        <w:rPr>
          <w:color w:val="231F20"/>
        </w:rPr>
        <w:t>wider</w:t>
      </w:r>
      <w:r w:rsidRPr="00E0381A">
        <w:rPr>
          <w:color w:val="231F20"/>
          <w:spacing w:val="2"/>
        </w:rPr>
        <w:t xml:space="preserve"> </w:t>
      </w:r>
      <w:r w:rsidRPr="00E0381A">
        <w:rPr>
          <w:color w:val="231F20"/>
        </w:rPr>
        <w:t>than</w:t>
      </w:r>
      <w:r w:rsidRPr="00E0381A">
        <w:rPr>
          <w:color w:val="231F20"/>
          <w:spacing w:val="8"/>
        </w:rPr>
        <w:t xml:space="preserve"> </w:t>
      </w:r>
      <w:r w:rsidRPr="00E0381A">
        <w:rPr>
          <w:color w:val="231F20"/>
        </w:rPr>
        <w:t>just the</w:t>
      </w:r>
      <w:r w:rsidRPr="00E0381A">
        <w:rPr>
          <w:color w:val="231F20"/>
          <w:spacing w:val="26"/>
        </w:rPr>
        <w:t xml:space="preserve"> </w:t>
      </w:r>
      <w:r w:rsidRPr="00E0381A">
        <w:rPr>
          <w:color w:val="231F20"/>
        </w:rPr>
        <w:t>commercial</w:t>
      </w:r>
      <w:r w:rsidRPr="00E0381A">
        <w:rPr>
          <w:color w:val="231F20"/>
          <w:spacing w:val="12"/>
        </w:rPr>
        <w:t xml:space="preserve"> </w:t>
      </w:r>
      <w:r w:rsidRPr="00E0381A">
        <w:rPr>
          <w:color w:val="231F20"/>
        </w:rPr>
        <w:t>returns</w:t>
      </w:r>
      <w:r w:rsidRPr="00E0381A">
        <w:rPr>
          <w:color w:val="231F20"/>
          <w:spacing w:val="20"/>
        </w:rPr>
        <w:t xml:space="preserve"> </w:t>
      </w:r>
      <w:r w:rsidRPr="00E0381A">
        <w:rPr>
          <w:color w:val="231F20"/>
        </w:rPr>
        <w:t>and</w:t>
      </w:r>
      <w:r w:rsidRPr="00E0381A">
        <w:rPr>
          <w:color w:val="231F20"/>
          <w:spacing w:val="27"/>
        </w:rPr>
        <w:t xml:space="preserve"> </w:t>
      </w:r>
      <w:r w:rsidRPr="00E0381A">
        <w:rPr>
          <w:color w:val="231F20"/>
        </w:rPr>
        <w:t>income</w:t>
      </w:r>
      <w:r w:rsidRPr="00E0381A">
        <w:rPr>
          <w:color w:val="231F20"/>
          <w:spacing w:val="19"/>
        </w:rPr>
        <w:t xml:space="preserve"> </w:t>
      </w:r>
      <w:r w:rsidRPr="00E0381A">
        <w:rPr>
          <w:color w:val="231F20"/>
        </w:rPr>
        <w:t>to</w:t>
      </w:r>
      <w:r w:rsidRPr="00E0381A">
        <w:rPr>
          <w:color w:val="231F20"/>
          <w:spacing w:val="28"/>
        </w:rPr>
        <w:t xml:space="preserve"> </w:t>
      </w:r>
      <w:r w:rsidRPr="00E0381A">
        <w:rPr>
          <w:color w:val="231F20"/>
        </w:rPr>
        <w:t>incumbe</w:t>
      </w:r>
      <w:r w:rsidRPr="00E0381A">
        <w:rPr>
          <w:color w:val="231F20"/>
          <w:spacing w:val="2"/>
        </w:rPr>
        <w:t>n</w:t>
      </w:r>
      <w:r w:rsidRPr="00E0381A">
        <w:rPr>
          <w:color w:val="231F20"/>
        </w:rPr>
        <w:t>t</w:t>
      </w:r>
      <w:r w:rsidRPr="00E0381A">
        <w:rPr>
          <w:color w:val="231F20"/>
          <w:spacing w:val="20"/>
        </w:rPr>
        <w:t xml:space="preserve"> </w:t>
      </w:r>
      <w:r w:rsidRPr="00E0381A">
        <w:rPr>
          <w:color w:val="231F20"/>
        </w:rPr>
        <w:t>local</w:t>
      </w:r>
      <w:r w:rsidRPr="00E0381A">
        <w:rPr>
          <w:color w:val="231F20"/>
          <w:spacing w:val="22"/>
        </w:rPr>
        <w:t xml:space="preserve"> </w:t>
      </w:r>
      <w:r w:rsidRPr="00E0381A">
        <w:rPr>
          <w:color w:val="231F20"/>
        </w:rPr>
        <w:t>authoriti</w:t>
      </w:r>
      <w:r w:rsidRPr="00E0381A">
        <w:rPr>
          <w:color w:val="231F20"/>
          <w:spacing w:val="2"/>
        </w:rPr>
        <w:t>e</w:t>
      </w:r>
      <w:r w:rsidRPr="00E0381A">
        <w:rPr>
          <w:color w:val="231F20"/>
        </w:rPr>
        <w:t>s</w:t>
      </w:r>
      <w:r w:rsidRPr="00E0381A">
        <w:rPr>
          <w:color w:val="231F20"/>
          <w:spacing w:val="12"/>
        </w:rPr>
        <w:t xml:space="preserve"> </w:t>
      </w:r>
      <w:r w:rsidRPr="00E0381A">
        <w:rPr>
          <w:color w:val="231F20"/>
        </w:rPr>
        <w:t>and</w:t>
      </w:r>
      <w:r w:rsidRPr="00E0381A">
        <w:rPr>
          <w:color w:val="231F20"/>
          <w:spacing w:val="27"/>
        </w:rPr>
        <w:t xml:space="preserve"> </w:t>
      </w:r>
      <w:r w:rsidRPr="00E0381A">
        <w:rPr>
          <w:color w:val="231F20"/>
        </w:rPr>
        <w:t>businesses,</w:t>
      </w:r>
      <w:r w:rsidRPr="00E0381A">
        <w:rPr>
          <w:color w:val="231F20"/>
          <w:spacing w:val="21"/>
        </w:rPr>
        <w:t xml:space="preserve"> </w:t>
      </w:r>
      <w:r w:rsidRPr="00E0381A">
        <w:rPr>
          <w:color w:val="231F20"/>
        </w:rPr>
        <w:t>w</w:t>
      </w:r>
      <w:r w:rsidRPr="00E0381A">
        <w:rPr>
          <w:color w:val="231F20"/>
          <w:spacing w:val="1"/>
        </w:rPr>
        <w:t>h</w:t>
      </w:r>
      <w:r w:rsidRPr="00E0381A">
        <w:rPr>
          <w:color w:val="231F20"/>
        </w:rPr>
        <w:t>o also</w:t>
      </w:r>
      <w:r w:rsidRPr="00E0381A">
        <w:rPr>
          <w:color w:val="231F20"/>
          <w:spacing w:val="3"/>
        </w:rPr>
        <w:t xml:space="preserve"> </w:t>
      </w:r>
      <w:r w:rsidRPr="00E0381A">
        <w:rPr>
          <w:color w:val="231F20"/>
        </w:rPr>
        <w:t>link</w:t>
      </w:r>
      <w:r w:rsidRPr="00E0381A">
        <w:rPr>
          <w:color w:val="231F20"/>
          <w:spacing w:val="2"/>
        </w:rPr>
        <w:t xml:space="preserve"> </w:t>
      </w:r>
      <w:r w:rsidRPr="00E0381A">
        <w:rPr>
          <w:color w:val="231F20"/>
        </w:rPr>
        <w:t>a</w:t>
      </w:r>
      <w:r w:rsidRPr="00E0381A">
        <w:rPr>
          <w:color w:val="231F20"/>
          <w:spacing w:val="6"/>
        </w:rPr>
        <w:t xml:space="preserve"> </w:t>
      </w:r>
      <w:r w:rsidRPr="00E0381A">
        <w:rPr>
          <w:color w:val="231F20"/>
        </w:rPr>
        <w:t>vibrant</w:t>
      </w:r>
      <w:r w:rsidRPr="00E0381A">
        <w:rPr>
          <w:color w:val="231F20"/>
          <w:spacing w:val="-2"/>
        </w:rPr>
        <w:t xml:space="preserve"> </w:t>
      </w:r>
      <w:r w:rsidRPr="00E0381A">
        <w:rPr>
          <w:color w:val="231F20"/>
        </w:rPr>
        <w:t>night</w:t>
      </w:r>
      <w:r w:rsidRPr="00E0381A">
        <w:rPr>
          <w:color w:val="231F20"/>
          <w:spacing w:val="4"/>
        </w:rPr>
        <w:t xml:space="preserve"> </w:t>
      </w:r>
      <w:r w:rsidRPr="00E0381A">
        <w:rPr>
          <w:color w:val="231F20"/>
        </w:rPr>
        <w:t>life</w:t>
      </w:r>
      <w:r w:rsidRPr="00E0381A">
        <w:rPr>
          <w:color w:val="231F20"/>
          <w:spacing w:val="1"/>
        </w:rPr>
        <w:t xml:space="preserve"> </w:t>
      </w:r>
      <w:r w:rsidRPr="00E0381A">
        <w:rPr>
          <w:color w:val="231F20"/>
        </w:rPr>
        <w:t>with</w:t>
      </w:r>
      <w:r w:rsidRPr="00E0381A">
        <w:rPr>
          <w:color w:val="231F20"/>
          <w:spacing w:val="2"/>
        </w:rPr>
        <w:t xml:space="preserve"> </w:t>
      </w:r>
      <w:r w:rsidRPr="00E0381A">
        <w:rPr>
          <w:color w:val="231F20"/>
        </w:rPr>
        <w:t>attracti</w:t>
      </w:r>
      <w:r w:rsidRPr="00E0381A">
        <w:rPr>
          <w:color w:val="231F20"/>
          <w:spacing w:val="3"/>
        </w:rPr>
        <w:t>o</w:t>
      </w:r>
      <w:r w:rsidRPr="00E0381A">
        <w:rPr>
          <w:color w:val="231F20"/>
        </w:rPr>
        <w:t>n</w:t>
      </w:r>
      <w:r w:rsidRPr="00E0381A">
        <w:rPr>
          <w:color w:val="231F20"/>
          <w:spacing w:val="-5"/>
        </w:rPr>
        <w:t xml:space="preserve"> </w:t>
      </w:r>
      <w:r w:rsidRPr="00E0381A">
        <w:rPr>
          <w:color w:val="231F20"/>
        </w:rPr>
        <w:t>to</w:t>
      </w:r>
      <w:r w:rsidRPr="00E0381A">
        <w:rPr>
          <w:color w:val="231F20"/>
          <w:spacing w:val="6"/>
        </w:rPr>
        <w:t xml:space="preserve"> </w:t>
      </w:r>
      <w:r w:rsidRPr="00E0381A">
        <w:rPr>
          <w:color w:val="231F20"/>
        </w:rPr>
        <w:t>residents</w:t>
      </w:r>
      <w:r w:rsidRPr="00E0381A">
        <w:rPr>
          <w:color w:val="231F20"/>
          <w:spacing w:val="-4"/>
        </w:rPr>
        <w:t xml:space="preserve"> </w:t>
      </w:r>
      <w:r w:rsidRPr="00E0381A">
        <w:rPr>
          <w:color w:val="231F20"/>
        </w:rPr>
        <w:t>and</w:t>
      </w:r>
      <w:r w:rsidRPr="00E0381A">
        <w:rPr>
          <w:color w:val="231F20"/>
          <w:spacing w:val="5"/>
        </w:rPr>
        <w:t xml:space="preserve"> </w:t>
      </w:r>
      <w:r w:rsidRPr="00E0381A">
        <w:rPr>
          <w:color w:val="231F20"/>
        </w:rPr>
        <w:t>investors</w:t>
      </w:r>
      <w:r w:rsidRPr="00E0381A">
        <w:rPr>
          <w:color w:val="231F20"/>
          <w:spacing w:val="-4"/>
        </w:rPr>
        <w:t xml:space="preserve"> </w:t>
      </w:r>
      <w:r w:rsidRPr="00E0381A">
        <w:rPr>
          <w:color w:val="231F20"/>
        </w:rPr>
        <w:t>(Roberts</w:t>
      </w:r>
      <w:r w:rsidRPr="00E0381A">
        <w:rPr>
          <w:color w:val="231F20"/>
          <w:spacing w:val="-5"/>
        </w:rPr>
        <w:t xml:space="preserve"> </w:t>
      </w:r>
      <w:r w:rsidRPr="00E0381A">
        <w:rPr>
          <w:color w:val="231F20"/>
        </w:rPr>
        <w:t>&amp;</w:t>
      </w:r>
      <w:r w:rsidRPr="00E0381A">
        <w:rPr>
          <w:color w:val="231F20"/>
          <w:spacing w:val="5"/>
        </w:rPr>
        <w:t xml:space="preserve"> </w:t>
      </w:r>
      <w:r w:rsidRPr="00E0381A">
        <w:rPr>
          <w:color w:val="231F20"/>
        </w:rPr>
        <w:t>Go</w:t>
      </w:r>
      <w:r w:rsidRPr="00E0381A">
        <w:rPr>
          <w:color w:val="231F20"/>
          <w:spacing w:val="2"/>
        </w:rPr>
        <w:t>r</w:t>
      </w:r>
      <w:r w:rsidRPr="00E0381A">
        <w:rPr>
          <w:color w:val="231F20"/>
        </w:rPr>
        <w:t>nostaeva,</w:t>
      </w:r>
      <w:r w:rsidRPr="00E0381A">
        <w:rPr>
          <w:color w:val="231F20"/>
          <w:spacing w:val="2"/>
        </w:rPr>
        <w:t xml:space="preserve"> </w:t>
      </w:r>
      <w:r w:rsidRPr="00E0381A">
        <w:rPr>
          <w:color w:val="231F20"/>
        </w:rPr>
        <w:t>2007).</w:t>
      </w:r>
      <w:r w:rsidRPr="00E0381A">
        <w:rPr>
          <w:color w:val="231F20"/>
          <w:spacing w:val="6"/>
        </w:rPr>
        <w:t xml:space="preserve"> </w:t>
      </w:r>
      <w:r w:rsidRPr="00E0381A">
        <w:rPr>
          <w:color w:val="231F20"/>
        </w:rPr>
        <w:t>Perc</w:t>
      </w:r>
      <w:r w:rsidRPr="00E0381A">
        <w:rPr>
          <w:color w:val="231F20"/>
          <w:spacing w:val="2"/>
        </w:rPr>
        <w:t>e</w:t>
      </w:r>
      <w:r w:rsidRPr="00E0381A">
        <w:rPr>
          <w:color w:val="231F20"/>
        </w:rPr>
        <w:t>ived</w:t>
      </w:r>
      <w:r w:rsidRPr="00E0381A">
        <w:rPr>
          <w:color w:val="231F20"/>
          <w:spacing w:val="-2"/>
        </w:rPr>
        <w:t xml:space="preserve"> </w:t>
      </w:r>
      <w:r w:rsidRPr="00E0381A">
        <w:rPr>
          <w:color w:val="231F20"/>
        </w:rPr>
        <w:t>beneﬁ</w:t>
      </w:r>
      <w:r w:rsidRPr="00E0381A">
        <w:rPr>
          <w:color w:val="231F20"/>
          <w:spacing w:val="2"/>
        </w:rPr>
        <w:t>t</w:t>
      </w:r>
      <w:r w:rsidRPr="00E0381A">
        <w:rPr>
          <w:color w:val="231F20"/>
        </w:rPr>
        <w:t>s</w:t>
      </w:r>
      <w:r w:rsidRPr="00E0381A">
        <w:rPr>
          <w:color w:val="231F20"/>
          <w:spacing w:val="2"/>
        </w:rPr>
        <w:t xml:space="preserve"> </w:t>
      </w:r>
      <w:r w:rsidRPr="00E0381A">
        <w:rPr>
          <w:color w:val="231F20"/>
        </w:rPr>
        <w:t>f</w:t>
      </w:r>
      <w:r w:rsidRPr="00E0381A">
        <w:rPr>
          <w:color w:val="231F20"/>
          <w:spacing w:val="2"/>
        </w:rPr>
        <w:t>r</w:t>
      </w:r>
      <w:r w:rsidRPr="00E0381A">
        <w:rPr>
          <w:color w:val="231F20"/>
        </w:rPr>
        <w:t>om</w:t>
      </w:r>
      <w:r w:rsidRPr="00E0381A">
        <w:rPr>
          <w:color w:val="231F20"/>
          <w:spacing w:val="2"/>
        </w:rPr>
        <w:t xml:space="preserve"> </w:t>
      </w:r>
      <w:r w:rsidRPr="00E0381A">
        <w:rPr>
          <w:color w:val="231F20"/>
        </w:rPr>
        <w:t>NTE</w:t>
      </w:r>
      <w:r w:rsidRPr="00E0381A">
        <w:rPr>
          <w:color w:val="231F20"/>
          <w:spacing w:val="6"/>
        </w:rPr>
        <w:t xml:space="preserve"> </w:t>
      </w:r>
      <w:r w:rsidRPr="00E0381A">
        <w:rPr>
          <w:color w:val="231F20"/>
        </w:rPr>
        <w:t>growth</w:t>
      </w:r>
      <w:r w:rsidRPr="00E0381A">
        <w:rPr>
          <w:color w:val="231F20"/>
          <w:spacing w:val="5"/>
        </w:rPr>
        <w:t xml:space="preserve"> </w:t>
      </w:r>
      <w:r w:rsidRPr="00E0381A">
        <w:rPr>
          <w:color w:val="231F20"/>
        </w:rPr>
        <w:t>i</w:t>
      </w:r>
      <w:r w:rsidRPr="00E0381A">
        <w:rPr>
          <w:color w:val="231F20"/>
          <w:spacing w:val="1"/>
        </w:rPr>
        <w:t>n</w:t>
      </w:r>
      <w:r w:rsidRPr="00E0381A">
        <w:rPr>
          <w:color w:val="231F20"/>
        </w:rPr>
        <w:t>cluded:</w:t>
      </w:r>
    </w:p>
    <w:p w14:paraId="63E6DAA0" w14:textId="556A01C5" w:rsidR="00410E03" w:rsidRPr="00E0381A" w:rsidRDefault="00410E03" w:rsidP="00F0636B">
      <w:pPr>
        <w:pStyle w:val="Bullet"/>
      </w:pPr>
      <w:r w:rsidRPr="00E0381A">
        <w:t>improvement</w:t>
      </w:r>
      <w:r w:rsidRPr="00E0381A">
        <w:rPr>
          <w:spacing w:val="-9"/>
        </w:rPr>
        <w:t xml:space="preserve"> </w:t>
      </w:r>
      <w:r w:rsidRPr="00E0381A">
        <w:t>in</w:t>
      </w:r>
      <w:r w:rsidRPr="00E0381A">
        <w:rPr>
          <w:spacing w:val="7"/>
        </w:rPr>
        <w:t xml:space="preserve"> </w:t>
      </w:r>
      <w:r w:rsidRPr="00E0381A">
        <w:t>vitality</w:t>
      </w:r>
      <w:r w:rsidRPr="00E0381A">
        <w:rPr>
          <w:spacing w:val="1"/>
        </w:rPr>
        <w:t xml:space="preserve"> </w:t>
      </w:r>
      <w:r w:rsidRPr="00E0381A">
        <w:t>of</w:t>
      </w:r>
      <w:r w:rsidRPr="00E0381A">
        <w:rPr>
          <w:spacing w:val="7"/>
        </w:rPr>
        <w:t xml:space="preserve"> </w:t>
      </w:r>
      <w:r w:rsidRPr="00E0381A">
        <w:t>the</w:t>
      </w:r>
      <w:r w:rsidRPr="00E0381A">
        <w:rPr>
          <w:spacing w:val="5"/>
        </w:rPr>
        <w:t xml:space="preserve"> </w:t>
      </w:r>
      <w:r w:rsidRPr="00E0381A">
        <w:t>area</w:t>
      </w:r>
      <w:r w:rsidRPr="00E0381A">
        <w:rPr>
          <w:spacing w:val="4"/>
        </w:rPr>
        <w:t xml:space="preserve"> </w:t>
      </w:r>
      <w:r w:rsidRPr="00E0381A">
        <w:t>(and</w:t>
      </w:r>
      <w:r w:rsidRPr="00E0381A">
        <w:rPr>
          <w:spacing w:val="4"/>
        </w:rPr>
        <w:t xml:space="preserve"> </w:t>
      </w:r>
      <w:r w:rsidRPr="00E0381A">
        <w:t>reduced</w:t>
      </w:r>
      <w:r w:rsidRPr="00E0381A">
        <w:rPr>
          <w:spacing w:val="-2"/>
        </w:rPr>
        <w:t xml:space="preserve"> </w:t>
      </w:r>
      <w:r w:rsidRPr="00E0381A">
        <w:t>cri</w:t>
      </w:r>
      <w:r w:rsidRPr="00E0381A">
        <w:rPr>
          <w:spacing w:val="2"/>
        </w:rPr>
        <w:t>m</w:t>
      </w:r>
      <w:r w:rsidRPr="00E0381A">
        <w:t>e/fear</w:t>
      </w:r>
      <w:r w:rsidRPr="00E0381A">
        <w:rPr>
          <w:spacing w:val="-10"/>
        </w:rPr>
        <w:t xml:space="preserve"> </w:t>
      </w:r>
      <w:r w:rsidRPr="00E0381A">
        <w:t>of</w:t>
      </w:r>
      <w:r w:rsidRPr="00E0381A">
        <w:rPr>
          <w:spacing w:val="7"/>
        </w:rPr>
        <w:t xml:space="preserve"> </w:t>
      </w:r>
      <w:r w:rsidRPr="00E0381A">
        <w:t>crime)</w:t>
      </w:r>
    </w:p>
    <w:p w14:paraId="2A5E163A" w14:textId="560F8E68" w:rsidR="00410E03" w:rsidRPr="00E0381A" w:rsidRDefault="00410E03" w:rsidP="00F0636B">
      <w:pPr>
        <w:pStyle w:val="Bullet"/>
      </w:pPr>
      <w:r w:rsidRPr="00E0381A">
        <w:t>attraction/expa</w:t>
      </w:r>
      <w:r w:rsidRPr="00E0381A">
        <w:rPr>
          <w:spacing w:val="3"/>
        </w:rPr>
        <w:t>n</w:t>
      </w:r>
      <w:r w:rsidRPr="00E0381A">
        <w:t>sion</w:t>
      </w:r>
      <w:r w:rsidRPr="00E0381A">
        <w:rPr>
          <w:spacing w:val="33"/>
        </w:rPr>
        <w:t xml:space="preserve"> </w:t>
      </w:r>
      <w:r w:rsidRPr="00E0381A">
        <w:t>of</w:t>
      </w:r>
      <w:r w:rsidR="00A033C6">
        <w:t xml:space="preserve"> </w:t>
      </w:r>
      <w:r w:rsidRPr="00E0381A">
        <w:t>leisure</w:t>
      </w:r>
      <w:r w:rsidR="00A033C6">
        <w:t xml:space="preserve"> </w:t>
      </w:r>
      <w:r w:rsidRPr="00E0381A">
        <w:t>venues</w:t>
      </w:r>
      <w:r w:rsidR="00A033C6">
        <w:t xml:space="preserve"> </w:t>
      </w:r>
      <w:r w:rsidRPr="00E0381A">
        <w:t>(cinemas,</w:t>
      </w:r>
      <w:r w:rsidRPr="00E0381A">
        <w:rPr>
          <w:spacing w:val="49"/>
        </w:rPr>
        <w:t xml:space="preserve"> </w:t>
      </w:r>
      <w:r w:rsidRPr="00E0381A">
        <w:t>theatres,</w:t>
      </w:r>
      <w:r w:rsidR="00A033C6">
        <w:t xml:space="preserve"> </w:t>
      </w:r>
      <w:r w:rsidRPr="00E0381A">
        <w:t>gyms,</w:t>
      </w:r>
      <w:r w:rsidR="00A033C6">
        <w:t xml:space="preserve"> </w:t>
      </w:r>
      <w:r w:rsidR="00570D27" w:rsidRPr="00E0381A">
        <w:t>cyber</w:t>
      </w:r>
      <w:r w:rsidR="00570D27">
        <w:t>-</w:t>
      </w:r>
      <w:r w:rsidRPr="00E0381A">
        <w:t>caf</w:t>
      </w:r>
      <w:r w:rsidR="00570D27">
        <w:t>é</w:t>
      </w:r>
      <w:r w:rsidRPr="00E0381A">
        <w:t>s, events)</w:t>
      </w:r>
    </w:p>
    <w:p w14:paraId="76876A56" w14:textId="2EEDE031" w:rsidR="00410E03" w:rsidRPr="00E0381A" w:rsidRDefault="00410E03" w:rsidP="00F0636B">
      <w:pPr>
        <w:pStyle w:val="Bullet"/>
      </w:pPr>
      <w:r w:rsidRPr="00E0381A">
        <w:t>new</w:t>
      </w:r>
      <w:r w:rsidRPr="00E0381A">
        <w:rPr>
          <w:spacing w:val="7"/>
        </w:rPr>
        <w:t xml:space="preserve"> </w:t>
      </w:r>
      <w:r w:rsidRPr="00E0381A">
        <w:t>residents</w:t>
      </w:r>
      <w:r w:rsidRPr="00E0381A">
        <w:rPr>
          <w:spacing w:val="-2"/>
        </w:rPr>
        <w:t xml:space="preserve"> </w:t>
      </w:r>
      <w:r w:rsidRPr="00E0381A">
        <w:t>moving</w:t>
      </w:r>
      <w:r w:rsidRPr="00E0381A">
        <w:rPr>
          <w:spacing w:val="5"/>
        </w:rPr>
        <w:t xml:space="preserve"> </w:t>
      </w:r>
      <w:r w:rsidRPr="00E0381A">
        <w:t>into</w:t>
      </w:r>
      <w:r w:rsidRPr="00E0381A">
        <w:rPr>
          <w:spacing w:val="5"/>
        </w:rPr>
        <w:t xml:space="preserve"> </w:t>
      </w:r>
      <w:r w:rsidRPr="00E0381A">
        <w:t>the</w:t>
      </w:r>
      <w:r w:rsidRPr="00E0381A">
        <w:rPr>
          <w:spacing w:val="5"/>
        </w:rPr>
        <w:t xml:space="preserve"> </w:t>
      </w:r>
      <w:r w:rsidRPr="00E0381A">
        <w:t>area</w:t>
      </w:r>
    </w:p>
    <w:p w14:paraId="44075915" w14:textId="05177296" w:rsidR="00410E03" w:rsidRPr="00E0381A" w:rsidRDefault="00410E03" w:rsidP="00F0636B">
      <w:pPr>
        <w:pStyle w:val="Bullet"/>
      </w:pPr>
      <w:r w:rsidRPr="00E0381A">
        <w:t>increased</w:t>
      </w:r>
      <w:r w:rsidRPr="00E0381A">
        <w:rPr>
          <w:spacing w:val="-4"/>
        </w:rPr>
        <w:t xml:space="preserve"> </w:t>
      </w:r>
      <w:r w:rsidRPr="00E0381A">
        <w:t>number</w:t>
      </w:r>
      <w:r w:rsidRPr="00E0381A">
        <w:rPr>
          <w:spacing w:val="5"/>
        </w:rPr>
        <w:t xml:space="preserve"> </w:t>
      </w:r>
      <w:r w:rsidRPr="00E0381A">
        <w:t>of</w:t>
      </w:r>
      <w:r w:rsidRPr="00E0381A">
        <w:rPr>
          <w:spacing w:val="7"/>
        </w:rPr>
        <w:t xml:space="preserve"> </w:t>
      </w:r>
      <w:r w:rsidRPr="00E0381A">
        <w:t>j</w:t>
      </w:r>
      <w:r w:rsidRPr="00E0381A">
        <w:rPr>
          <w:spacing w:val="1"/>
        </w:rPr>
        <w:t>o</w:t>
      </w:r>
      <w:r w:rsidRPr="00E0381A">
        <w:t>bs</w:t>
      </w:r>
    </w:p>
    <w:p w14:paraId="68F14D6C" w14:textId="0B53E11D" w:rsidR="00410E03" w:rsidRPr="00E0381A" w:rsidRDefault="00410E03" w:rsidP="00F0636B">
      <w:pPr>
        <w:pStyle w:val="Bullet"/>
      </w:pPr>
      <w:r w:rsidRPr="00E0381A">
        <w:t>greater</w:t>
      </w:r>
      <w:r w:rsidRPr="00E0381A">
        <w:rPr>
          <w:spacing w:val="1"/>
        </w:rPr>
        <w:t xml:space="preserve"> </w:t>
      </w:r>
      <w:r w:rsidRPr="00E0381A">
        <w:t>number</w:t>
      </w:r>
      <w:r w:rsidRPr="00E0381A">
        <w:rPr>
          <w:spacing w:val="5"/>
        </w:rPr>
        <w:t xml:space="preserve"> </w:t>
      </w:r>
      <w:r w:rsidRPr="00E0381A">
        <w:t>of</w:t>
      </w:r>
      <w:r w:rsidRPr="00E0381A">
        <w:rPr>
          <w:spacing w:val="7"/>
        </w:rPr>
        <w:t xml:space="preserve"> </w:t>
      </w:r>
      <w:r w:rsidRPr="00E0381A">
        <w:t>tourists</w:t>
      </w:r>
    </w:p>
    <w:p w14:paraId="0C341D6D" w14:textId="2C5DA2F7" w:rsidR="00410E03" w:rsidRPr="00E0381A" w:rsidRDefault="00410E03" w:rsidP="00F0636B">
      <w:pPr>
        <w:pStyle w:val="Bullet"/>
      </w:pPr>
      <w:r w:rsidRPr="00E0381A">
        <w:t>inward investment</w:t>
      </w:r>
      <w:r w:rsidRPr="00E0381A">
        <w:rPr>
          <w:spacing w:val="-6"/>
        </w:rPr>
        <w:t xml:space="preserve"> </w:t>
      </w:r>
      <w:r w:rsidRPr="00E0381A">
        <w:t>in</w:t>
      </w:r>
      <w:r w:rsidRPr="00E0381A">
        <w:rPr>
          <w:spacing w:val="7"/>
        </w:rPr>
        <w:t xml:space="preserve"> </w:t>
      </w:r>
      <w:r w:rsidRPr="00E0381A">
        <w:t>other</w:t>
      </w:r>
      <w:r w:rsidRPr="00E0381A">
        <w:rPr>
          <w:spacing w:val="3"/>
        </w:rPr>
        <w:t xml:space="preserve"> </w:t>
      </w:r>
      <w:r w:rsidRPr="00E0381A">
        <w:t>businesses</w:t>
      </w:r>
    </w:p>
    <w:p w14:paraId="75C42EE2" w14:textId="1B38D0FA" w:rsidR="00410E03" w:rsidRPr="00520273" w:rsidRDefault="00410E03" w:rsidP="00224A2D">
      <w:pPr>
        <w:rPr>
          <w:rFonts w:cs="Arial"/>
        </w:rPr>
      </w:pPr>
      <w:r w:rsidRPr="00520273">
        <w:rPr>
          <w:rFonts w:cs="Arial"/>
          <w:color w:val="231F20"/>
        </w:rPr>
        <w:t>The</w:t>
      </w:r>
      <w:r w:rsidRPr="00520273">
        <w:rPr>
          <w:rFonts w:cs="Arial"/>
          <w:color w:val="231F20"/>
          <w:spacing w:val="-2"/>
        </w:rPr>
        <w:t xml:space="preserve"> </w:t>
      </w:r>
      <w:r w:rsidRPr="00520273">
        <w:rPr>
          <w:rFonts w:cs="Arial"/>
          <w:color w:val="231F20"/>
        </w:rPr>
        <w:t>Greater</w:t>
      </w:r>
      <w:r w:rsidRPr="00520273">
        <w:rPr>
          <w:rFonts w:cs="Arial"/>
          <w:color w:val="231F20"/>
          <w:spacing w:val="-10"/>
        </w:rPr>
        <w:t xml:space="preserve"> </w:t>
      </w:r>
      <w:r w:rsidRPr="00520273">
        <w:rPr>
          <w:rFonts w:cs="Arial"/>
          <w:color w:val="231F20"/>
        </w:rPr>
        <w:t>London</w:t>
      </w:r>
      <w:r w:rsidRPr="00520273">
        <w:rPr>
          <w:rFonts w:cs="Arial"/>
          <w:color w:val="231F20"/>
          <w:spacing w:val="-4"/>
        </w:rPr>
        <w:t xml:space="preserve"> </w:t>
      </w:r>
      <w:r w:rsidRPr="00520273">
        <w:rPr>
          <w:rFonts w:cs="Arial"/>
          <w:color w:val="231F20"/>
        </w:rPr>
        <w:t>Authority</w:t>
      </w:r>
      <w:r w:rsidRPr="00520273">
        <w:rPr>
          <w:rFonts w:cs="Arial"/>
          <w:color w:val="231F20"/>
          <w:spacing w:val="-14"/>
        </w:rPr>
        <w:t xml:space="preserve"> </w:t>
      </w:r>
      <w:r w:rsidRPr="00520273">
        <w:rPr>
          <w:rFonts w:cs="Arial"/>
          <w:color w:val="231F20"/>
        </w:rPr>
        <w:t>study</w:t>
      </w:r>
      <w:r w:rsidRPr="00520273">
        <w:rPr>
          <w:rFonts w:cs="Arial"/>
          <w:color w:val="231F20"/>
          <w:spacing w:val="-3"/>
        </w:rPr>
        <w:t xml:space="preserve"> </w:t>
      </w:r>
      <w:r w:rsidRPr="00520273">
        <w:rPr>
          <w:rFonts w:cs="Arial"/>
          <w:color w:val="231F20"/>
        </w:rPr>
        <w:t>of</w:t>
      </w:r>
      <w:r w:rsidRPr="00520273">
        <w:rPr>
          <w:rFonts w:cs="Arial"/>
          <w:color w:val="231F20"/>
          <w:spacing w:val="-2"/>
        </w:rPr>
        <w:t xml:space="preserve"> </w:t>
      </w:r>
      <w:r w:rsidRPr="00520273">
        <w:rPr>
          <w:rFonts w:cs="Arial"/>
          <w:color w:val="231F20"/>
        </w:rPr>
        <w:t>t</w:t>
      </w:r>
      <w:r w:rsidRPr="00520273">
        <w:rPr>
          <w:rFonts w:cs="Arial"/>
          <w:color w:val="231F20"/>
          <w:spacing w:val="1"/>
        </w:rPr>
        <w:t>h</w:t>
      </w:r>
      <w:r w:rsidRPr="00520273">
        <w:rPr>
          <w:rFonts w:cs="Arial"/>
          <w:color w:val="231F20"/>
        </w:rPr>
        <w:t>e</w:t>
      </w:r>
      <w:r w:rsidRPr="00520273">
        <w:rPr>
          <w:rFonts w:cs="Arial"/>
          <w:color w:val="231F20"/>
          <w:spacing w:val="-4"/>
        </w:rPr>
        <w:t xml:space="preserve"> </w:t>
      </w:r>
      <w:r w:rsidRPr="00C80488">
        <w:rPr>
          <w:rFonts w:cs="Arial"/>
          <w:i/>
          <w:color w:val="231F20"/>
        </w:rPr>
        <w:t>Leisure</w:t>
      </w:r>
      <w:r w:rsidRPr="00C80488">
        <w:rPr>
          <w:rFonts w:cs="Arial"/>
          <w:i/>
          <w:color w:val="231F20"/>
          <w:spacing w:val="-10"/>
        </w:rPr>
        <w:t xml:space="preserve"> </w:t>
      </w:r>
      <w:r w:rsidRPr="00C80488">
        <w:rPr>
          <w:rFonts w:cs="Arial"/>
          <w:i/>
          <w:color w:val="231F20"/>
        </w:rPr>
        <w:t>Economy</w:t>
      </w:r>
      <w:r w:rsidRPr="00520273">
        <w:rPr>
          <w:rFonts w:cs="Arial"/>
          <w:color w:val="231F20"/>
          <w:spacing w:val="-7"/>
        </w:rPr>
        <w:t xml:space="preserve"> </w:t>
      </w:r>
      <w:r w:rsidRPr="00520273">
        <w:rPr>
          <w:rFonts w:cs="Arial"/>
          <w:color w:val="231F20"/>
        </w:rPr>
        <w:t>(GLA,</w:t>
      </w:r>
      <w:r w:rsidRPr="00520273">
        <w:rPr>
          <w:rFonts w:cs="Arial"/>
          <w:color w:val="231F20"/>
          <w:spacing w:val="-2"/>
        </w:rPr>
        <w:t xml:space="preserve"> </w:t>
      </w:r>
      <w:r w:rsidRPr="00520273">
        <w:rPr>
          <w:rFonts w:cs="Arial"/>
          <w:color w:val="231F20"/>
        </w:rPr>
        <w:t>2003),</w:t>
      </w:r>
      <w:r w:rsidRPr="00520273">
        <w:rPr>
          <w:rFonts w:cs="Arial"/>
          <w:color w:val="231F20"/>
          <w:spacing w:val="-4"/>
        </w:rPr>
        <w:t xml:space="preserve"> </w:t>
      </w:r>
      <w:r w:rsidRPr="00520273">
        <w:rPr>
          <w:rFonts w:cs="Arial"/>
          <w:color w:val="231F20"/>
        </w:rPr>
        <w:t>for example,</w:t>
      </w:r>
      <w:r w:rsidRPr="00520273">
        <w:rPr>
          <w:rFonts w:cs="Arial"/>
          <w:color w:val="231F20"/>
          <w:spacing w:val="-11"/>
        </w:rPr>
        <w:t xml:space="preserve"> </w:t>
      </w:r>
      <w:r w:rsidRPr="00520273">
        <w:rPr>
          <w:rFonts w:cs="Arial"/>
          <w:color w:val="231F20"/>
        </w:rPr>
        <w:t>found</w:t>
      </w:r>
      <w:r w:rsidRPr="00520273">
        <w:rPr>
          <w:rFonts w:cs="Arial"/>
          <w:color w:val="231F20"/>
          <w:spacing w:val="-1"/>
        </w:rPr>
        <w:t xml:space="preserve"> </w:t>
      </w:r>
      <w:r w:rsidRPr="00520273">
        <w:rPr>
          <w:rFonts w:cs="Arial"/>
          <w:color w:val="231F20"/>
        </w:rPr>
        <w:t>that</w:t>
      </w:r>
      <w:r w:rsidRPr="00520273">
        <w:rPr>
          <w:rFonts w:cs="Arial"/>
          <w:color w:val="231F20"/>
          <w:spacing w:val="-3"/>
        </w:rPr>
        <w:t xml:space="preserve"> </w:t>
      </w:r>
      <w:r w:rsidRPr="00520273">
        <w:rPr>
          <w:rFonts w:cs="Arial"/>
          <w:color w:val="231F20"/>
        </w:rPr>
        <w:t>on</w:t>
      </w:r>
      <w:r w:rsidRPr="00520273">
        <w:rPr>
          <w:rFonts w:cs="Arial"/>
          <w:color w:val="231F20"/>
          <w:spacing w:val="4"/>
        </w:rPr>
        <w:t xml:space="preserve"> </w:t>
      </w:r>
      <w:r w:rsidRPr="00520273">
        <w:rPr>
          <w:rFonts w:cs="Arial"/>
          <w:color w:val="231F20"/>
        </w:rPr>
        <w:t>average</w:t>
      </w:r>
      <w:r w:rsidRPr="00520273">
        <w:rPr>
          <w:rFonts w:cs="Arial"/>
          <w:color w:val="231F20"/>
          <w:spacing w:val="-8"/>
        </w:rPr>
        <w:t xml:space="preserve"> </w:t>
      </w:r>
      <w:r w:rsidRPr="00520273">
        <w:rPr>
          <w:rFonts w:cs="Arial"/>
          <w:color w:val="231F20"/>
        </w:rPr>
        <w:t>each</w:t>
      </w:r>
      <w:r w:rsidRPr="00520273">
        <w:rPr>
          <w:rFonts w:cs="Arial"/>
          <w:color w:val="231F20"/>
          <w:spacing w:val="-4"/>
        </w:rPr>
        <w:t xml:space="preserve"> </w:t>
      </w:r>
      <w:r w:rsidRPr="00520273">
        <w:rPr>
          <w:rFonts w:cs="Arial"/>
          <w:color w:val="231F20"/>
        </w:rPr>
        <w:t>ward</w:t>
      </w:r>
      <w:r w:rsidRPr="00520273">
        <w:rPr>
          <w:rFonts w:cs="Arial"/>
          <w:color w:val="231F20"/>
          <w:spacing w:val="-4"/>
        </w:rPr>
        <w:t xml:space="preserve"> </w:t>
      </w:r>
      <w:r w:rsidRPr="00520273">
        <w:rPr>
          <w:rFonts w:cs="Arial"/>
          <w:color w:val="231F20"/>
        </w:rPr>
        <w:t>had</w:t>
      </w:r>
      <w:r w:rsidRPr="00520273">
        <w:rPr>
          <w:rFonts w:cs="Arial"/>
          <w:color w:val="231F20"/>
          <w:spacing w:val="1"/>
        </w:rPr>
        <w:t xml:space="preserve"> </w:t>
      </w:r>
      <w:r w:rsidRPr="00520273">
        <w:rPr>
          <w:rFonts w:cs="Arial"/>
          <w:color w:val="231F20"/>
        </w:rPr>
        <w:t>gained</w:t>
      </w:r>
      <w:r w:rsidRPr="00520273">
        <w:rPr>
          <w:rFonts w:cs="Arial"/>
          <w:color w:val="231F20"/>
          <w:spacing w:val="-2"/>
        </w:rPr>
        <w:t xml:space="preserve"> </w:t>
      </w:r>
      <w:r w:rsidRPr="00520273">
        <w:rPr>
          <w:rFonts w:cs="Arial"/>
          <w:color w:val="231F20"/>
        </w:rPr>
        <w:t>20</w:t>
      </w:r>
      <w:r w:rsidRPr="00520273">
        <w:rPr>
          <w:rFonts w:cs="Arial"/>
          <w:color w:val="231F20"/>
          <w:spacing w:val="3"/>
        </w:rPr>
        <w:t xml:space="preserve"> </w:t>
      </w:r>
      <w:r w:rsidRPr="00520273">
        <w:rPr>
          <w:rFonts w:cs="Arial"/>
          <w:color w:val="231F20"/>
        </w:rPr>
        <w:t>bar</w:t>
      </w:r>
      <w:r w:rsidRPr="00520273">
        <w:rPr>
          <w:rFonts w:cs="Arial"/>
          <w:color w:val="231F20"/>
          <w:spacing w:val="-2"/>
        </w:rPr>
        <w:t xml:space="preserve"> </w:t>
      </w:r>
      <w:r w:rsidRPr="00520273">
        <w:rPr>
          <w:rFonts w:cs="Arial"/>
          <w:color w:val="231F20"/>
        </w:rPr>
        <w:t>j</w:t>
      </w:r>
      <w:r w:rsidRPr="00520273">
        <w:rPr>
          <w:rFonts w:cs="Arial"/>
          <w:color w:val="231F20"/>
          <w:spacing w:val="1"/>
        </w:rPr>
        <w:t>o</w:t>
      </w:r>
      <w:r w:rsidRPr="00520273">
        <w:rPr>
          <w:rFonts w:cs="Arial"/>
          <w:color w:val="231F20"/>
        </w:rPr>
        <w:t>bs</w:t>
      </w:r>
      <w:r w:rsidRPr="00520273">
        <w:rPr>
          <w:rFonts w:cs="Arial"/>
          <w:color w:val="231F20"/>
          <w:spacing w:val="-3"/>
        </w:rPr>
        <w:t xml:space="preserve"> </w:t>
      </w:r>
      <w:r w:rsidRPr="00520273">
        <w:rPr>
          <w:rFonts w:cs="Arial"/>
          <w:color w:val="231F20"/>
        </w:rPr>
        <w:t>bet</w:t>
      </w:r>
      <w:r w:rsidRPr="00520273">
        <w:rPr>
          <w:rFonts w:cs="Arial"/>
          <w:color w:val="231F20"/>
          <w:spacing w:val="2"/>
        </w:rPr>
        <w:t>w</w:t>
      </w:r>
      <w:r w:rsidRPr="00520273">
        <w:rPr>
          <w:rFonts w:cs="Arial"/>
          <w:color w:val="231F20"/>
        </w:rPr>
        <w:t>een</w:t>
      </w:r>
      <w:r w:rsidRPr="00520273">
        <w:rPr>
          <w:rFonts w:cs="Arial"/>
          <w:color w:val="231F20"/>
          <w:spacing w:val="-6"/>
        </w:rPr>
        <w:t xml:space="preserve"> </w:t>
      </w:r>
      <w:r w:rsidRPr="00520273">
        <w:rPr>
          <w:rFonts w:cs="Arial"/>
          <w:color w:val="231F20"/>
        </w:rPr>
        <w:t>1995</w:t>
      </w:r>
      <w:r w:rsidRPr="00520273">
        <w:rPr>
          <w:rFonts w:cs="Arial"/>
          <w:color w:val="231F20"/>
          <w:spacing w:val="4"/>
        </w:rPr>
        <w:t xml:space="preserve"> </w:t>
      </w:r>
      <w:r w:rsidRPr="00520273">
        <w:rPr>
          <w:rFonts w:cs="Arial"/>
          <w:color w:val="231F20"/>
        </w:rPr>
        <w:t>and 2000 (an</w:t>
      </w:r>
      <w:r w:rsidRPr="00520273">
        <w:rPr>
          <w:rFonts w:cs="Arial"/>
          <w:color w:val="231F20"/>
          <w:spacing w:val="16"/>
        </w:rPr>
        <w:t xml:space="preserve"> </w:t>
      </w:r>
      <w:r w:rsidRPr="00520273">
        <w:rPr>
          <w:rFonts w:cs="Arial"/>
          <w:color w:val="231F20"/>
        </w:rPr>
        <w:t>increase</w:t>
      </w:r>
      <w:r w:rsidRPr="00520273">
        <w:rPr>
          <w:rFonts w:cs="Arial"/>
          <w:color w:val="231F20"/>
          <w:spacing w:val="9"/>
        </w:rPr>
        <w:t xml:space="preserve"> </w:t>
      </w:r>
      <w:r w:rsidRPr="00520273">
        <w:rPr>
          <w:rFonts w:cs="Arial"/>
          <w:color w:val="231F20"/>
        </w:rPr>
        <w:t>of</w:t>
      </w:r>
      <w:r w:rsidRPr="00520273">
        <w:rPr>
          <w:rFonts w:cs="Arial"/>
          <w:color w:val="231F20"/>
          <w:spacing w:val="18"/>
        </w:rPr>
        <w:t xml:space="preserve"> </w:t>
      </w:r>
      <w:r w:rsidRPr="00520273">
        <w:rPr>
          <w:rFonts w:cs="Arial"/>
          <w:color w:val="231F20"/>
        </w:rPr>
        <w:t>12%)</w:t>
      </w:r>
      <w:r w:rsidRPr="00520273">
        <w:rPr>
          <w:rFonts w:cs="Arial"/>
          <w:color w:val="231F20"/>
          <w:spacing w:val="12"/>
        </w:rPr>
        <w:t xml:space="preserve"> </w:t>
      </w:r>
      <w:r w:rsidRPr="00520273">
        <w:rPr>
          <w:rFonts w:cs="Arial"/>
          <w:color w:val="231F20"/>
        </w:rPr>
        <w:t>and</w:t>
      </w:r>
      <w:r w:rsidRPr="00520273">
        <w:rPr>
          <w:rFonts w:cs="Arial"/>
          <w:color w:val="231F20"/>
          <w:spacing w:val="18"/>
        </w:rPr>
        <w:t xml:space="preserve"> </w:t>
      </w:r>
      <w:r w:rsidRPr="00520273">
        <w:rPr>
          <w:rFonts w:cs="Arial"/>
          <w:color w:val="231F20"/>
        </w:rPr>
        <w:t>restaurant</w:t>
      </w:r>
      <w:r w:rsidRPr="00520273">
        <w:rPr>
          <w:rFonts w:cs="Arial"/>
          <w:color w:val="231F20"/>
          <w:spacing w:val="6"/>
        </w:rPr>
        <w:t xml:space="preserve"> </w:t>
      </w:r>
      <w:r w:rsidRPr="00520273">
        <w:rPr>
          <w:rFonts w:cs="Arial"/>
          <w:color w:val="231F20"/>
        </w:rPr>
        <w:t>jobs</w:t>
      </w:r>
      <w:r w:rsidRPr="00520273">
        <w:rPr>
          <w:rFonts w:cs="Arial"/>
          <w:color w:val="231F20"/>
          <w:spacing w:val="17"/>
        </w:rPr>
        <w:t xml:space="preserve"> </w:t>
      </w:r>
      <w:r w:rsidRPr="00520273">
        <w:rPr>
          <w:rFonts w:cs="Arial"/>
          <w:color w:val="231F20"/>
        </w:rPr>
        <w:t>i</w:t>
      </w:r>
      <w:r w:rsidRPr="00520273">
        <w:rPr>
          <w:rFonts w:cs="Arial"/>
          <w:color w:val="231F20"/>
          <w:spacing w:val="1"/>
        </w:rPr>
        <w:t>n</w:t>
      </w:r>
      <w:r w:rsidRPr="00520273">
        <w:rPr>
          <w:rFonts w:cs="Arial"/>
          <w:color w:val="231F20"/>
        </w:rPr>
        <w:t>creased</w:t>
      </w:r>
      <w:r w:rsidRPr="00520273">
        <w:rPr>
          <w:rFonts w:cs="Arial"/>
          <w:color w:val="231F20"/>
          <w:spacing w:val="6"/>
        </w:rPr>
        <w:t xml:space="preserve"> </w:t>
      </w:r>
      <w:r w:rsidRPr="00520273">
        <w:rPr>
          <w:rFonts w:cs="Arial"/>
          <w:color w:val="231F20"/>
        </w:rPr>
        <w:t>by</w:t>
      </w:r>
      <w:r w:rsidRPr="00520273">
        <w:rPr>
          <w:rFonts w:cs="Arial"/>
          <w:color w:val="231F20"/>
          <w:spacing w:val="21"/>
        </w:rPr>
        <w:t xml:space="preserve"> </w:t>
      </w:r>
      <w:r w:rsidRPr="00520273">
        <w:rPr>
          <w:rFonts w:cs="Arial"/>
          <w:color w:val="231F20"/>
        </w:rPr>
        <w:t>28%,</w:t>
      </w:r>
      <w:r w:rsidRPr="00520273">
        <w:rPr>
          <w:rFonts w:cs="Arial"/>
          <w:color w:val="231F20"/>
          <w:spacing w:val="17"/>
        </w:rPr>
        <w:t xml:space="preserve"> </w:t>
      </w:r>
      <w:r w:rsidRPr="00520273">
        <w:rPr>
          <w:rFonts w:cs="Arial"/>
          <w:color w:val="231F20"/>
        </w:rPr>
        <w:t>presenting</w:t>
      </w:r>
      <w:r w:rsidRPr="00520273">
        <w:rPr>
          <w:rFonts w:cs="Arial"/>
          <w:color w:val="231F20"/>
          <w:spacing w:val="5"/>
        </w:rPr>
        <w:t xml:space="preserve"> </w:t>
      </w:r>
      <w:r w:rsidRPr="00520273">
        <w:rPr>
          <w:rFonts w:cs="Arial"/>
          <w:color w:val="231F20"/>
        </w:rPr>
        <w:t>one</w:t>
      </w:r>
      <w:r w:rsidRPr="00520273">
        <w:rPr>
          <w:rFonts w:cs="Arial"/>
          <w:color w:val="231F20"/>
          <w:spacing w:val="18"/>
        </w:rPr>
        <w:t xml:space="preserve"> </w:t>
      </w:r>
      <w:r w:rsidRPr="00520273">
        <w:rPr>
          <w:rFonts w:cs="Arial"/>
          <w:color w:val="231F20"/>
        </w:rPr>
        <w:t>of</w:t>
      </w:r>
      <w:r w:rsidRPr="00520273">
        <w:rPr>
          <w:rFonts w:cs="Arial"/>
          <w:color w:val="231F20"/>
          <w:spacing w:val="18"/>
        </w:rPr>
        <w:t xml:space="preserve"> </w:t>
      </w:r>
      <w:r w:rsidRPr="00520273">
        <w:rPr>
          <w:rFonts w:cs="Arial"/>
          <w:color w:val="231F20"/>
        </w:rPr>
        <w:t>London</w:t>
      </w:r>
      <w:r w:rsidRPr="00520273">
        <w:rPr>
          <w:rFonts w:cs="Arial"/>
        </w:rPr>
        <w:t xml:space="preserve">’s </w:t>
      </w:r>
      <w:r w:rsidRPr="00520273">
        <w:rPr>
          <w:rFonts w:cs="Arial"/>
          <w:color w:val="231F20"/>
        </w:rPr>
        <w:t>‘best</w:t>
      </w:r>
      <w:r w:rsidR="00A033C6" w:rsidRPr="00520273">
        <w:rPr>
          <w:rFonts w:cs="Arial"/>
          <w:color w:val="231F20"/>
        </w:rPr>
        <w:t xml:space="preserve"> </w:t>
      </w:r>
      <w:r w:rsidRPr="00520273">
        <w:rPr>
          <w:rFonts w:cs="Arial"/>
          <w:color w:val="231F20"/>
        </w:rPr>
        <w:t>sources</w:t>
      </w:r>
      <w:r w:rsidR="00A033C6" w:rsidRPr="00520273">
        <w:rPr>
          <w:rFonts w:cs="Arial"/>
          <w:color w:val="231F20"/>
        </w:rPr>
        <w:t xml:space="preserve"> </w:t>
      </w:r>
      <w:r w:rsidRPr="00520273">
        <w:rPr>
          <w:rFonts w:cs="Arial"/>
          <w:color w:val="231F20"/>
        </w:rPr>
        <w:t>of</w:t>
      </w:r>
      <w:r w:rsidR="00A033C6" w:rsidRPr="00520273">
        <w:rPr>
          <w:rFonts w:cs="Arial"/>
          <w:color w:val="231F20"/>
        </w:rPr>
        <w:t xml:space="preserve"> </w:t>
      </w:r>
      <w:r w:rsidRPr="00520273">
        <w:rPr>
          <w:rFonts w:cs="Arial"/>
          <w:color w:val="231F20"/>
        </w:rPr>
        <w:t>employm</w:t>
      </w:r>
      <w:r w:rsidRPr="00520273">
        <w:rPr>
          <w:rFonts w:cs="Arial"/>
          <w:color w:val="231F20"/>
          <w:spacing w:val="2"/>
        </w:rPr>
        <w:t>e</w:t>
      </w:r>
      <w:r w:rsidRPr="00520273">
        <w:rPr>
          <w:rFonts w:cs="Arial"/>
          <w:color w:val="231F20"/>
        </w:rPr>
        <w:t>nt</w:t>
      </w:r>
      <w:r w:rsidR="00A033C6" w:rsidRPr="00520273">
        <w:rPr>
          <w:rFonts w:cs="Arial"/>
          <w:color w:val="231F20"/>
        </w:rPr>
        <w:t xml:space="preserve"> </w:t>
      </w:r>
      <w:r w:rsidRPr="00520273">
        <w:rPr>
          <w:rFonts w:cs="Arial"/>
          <w:color w:val="231F20"/>
        </w:rPr>
        <w:t>growth’.</w:t>
      </w:r>
      <w:r w:rsidR="00A033C6" w:rsidRPr="00520273">
        <w:rPr>
          <w:rFonts w:cs="Arial"/>
          <w:color w:val="231F20"/>
        </w:rPr>
        <w:t xml:space="preserve"> </w:t>
      </w:r>
      <w:r w:rsidRPr="00520273">
        <w:rPr>
          <w:rFonts w:cs="Arial"/>
          <w:color w:val="231F20"/>
        </w:rPr>
        <w:t>Atten</w:t>
      </w:r>
      <w:r w:rsidRPr="00520273">
        <w:rPr>
          <w:rFonts w:cs="Arial"/>
          <w:color w:val="231F20"/>
          <w:spacing w:val="2"/>
        </w:rPr>
        <w:t>d</w:t>
      </w:r>
      <w:r w:rsidRPr="00520273">
        <w:rPr>
          <w:rFonts w:cs="Arial"/>
          <w:color w:val="231F20"/>
        </w:rPr>
        <w:t>ance</w:t>
      </w:r>
      <w:r w:rsidRPr="00520273">
        <w:rPr>
          <w:rFonts w:cs="Arial"/>
          <w:color w:val="231F20"/>
          <w:spacing w:val="49"/>
        </w:rPr>
        <w:t xml:space="preserve"> </w:t>
      </w:r>
      <w:r w:rsidRPr="00520273">
        <w:rPr>
          <w:rFonts w:cs="Arial"/>
          <w:color w:val="231F20"/>
        </w:rPr>
        <w:t>at non-alcohol-</w:t>
      </w:r>
      <w:r w:rsidRPr="00520273">
        <w:rPr>
          <w:rFonts w:cs="Arial"/>
          <w:color w:val="231F20"/>
          <w:spacing w:val="3"/>
        </w:rPr>
        <w:t>b</w:t>
      </w:r>
      <w:r w:rsidRPr="00520273">
        <w:rPr>
          <w:rFonts w:cs="Arial"/>
          <w:color w:val="231F20"/>
        </w:rPr>
        <w:t>ased</w:t>
      </w:r>
      <w:r w:rsidRPr="00520273">
        <w:rPr>
          <w:rFonts w:cs="Arial"/>
          <w:color w:val="231F20"/>
          <w:spacing w:val="38"/>
        </w:rPr>
        <w:t xml:space="preserve"> </w:t>
      </w:r>
      <w:r w:rsidRPr="00520273">
        <w:rPr>
          <w:rFonts w:cs="Arial"/>
          <w:color w:val="231F20"/>
        </w:rPr>
        <w:t>venues also</w:t>
      </w:r>
      <w:r w:rsidRPr="00520273">
        <w:rPr>
          <w:rFonts w:cs="Arial"/>
        </w:rPr>
        <w:t xml:space="preserve"> </w:t>
      </w:r>
      <w:r w:rsidRPr="00520273">
        <w:rPr>
          <w:rFonts w:cs="Arial"/>
          <w:color w:val="231F20"/>
        </w:rPr>
        <w:t>recorded</w:t>
      </w:r>
      <w:r w:rsidRPr="00520273">
        <w:rPr>
          <w:rFonts w:cs="Arial"/>
          <w:color w:val="231F20"/>
          <w:spacing w:val="1"/>
        </w:rPr>
        <w:t xml:space="preserve"> </w:t>
      </w:r>
      <w:r w:rsidRPr="00520273">
        <w:rPr>
          <w:rFonts w:cs="Arial"/>
          <w:color w:val="231F20"/>
        </w:rPr>
        <w:t>an</w:t>
      </w:r>
      <w:r w:rsidRPr="00520273">
        <w:rPr>
          <w:rFonts w:cs="Arial"/>
          <w:color w:val="231F20"/>
          <w:spacing w:val="12"/>
        </w:rPr>
        <w:t xml:space="preserve"> </w:t>
      </w:r>
      <w:r w:rsidRPr="00520273">
        <w:rPr>
          <w:rFonts w:cs="Arial"/>
          <w:color w:val="231F20"/>
        </w:rPr>
        <w:t>increase</w:t>
      </w:r>
      <w:r w:rsidRPr="00520273">
        <w:rPr>
          <w:rFonts w:cs="Arial"/>
          <w:color w:val="231F20"/>
          <w:spacing w:val="2"/>
        </w:rPr>
        <w:t xml:space="preserve"> </w:t>
      </w:r>
      <w:r w:rsidRPr="00520273">
        <w:rPr>
          <w:rFonts w:cs="Arial"/>
          <w:color w:val="231F20"/>
        </w:rPr>
        <w:t>of</w:t>
      </w:r>
      <w:r w:rsidRPr="00520273">
        <w:rPr>
          <w:rFonts w:cs="Arial"/>
          <w:color w:val="231F20"/>
          <w:spacing w:val="12"/>
        </w:rPr>
        <w:t xml:space="preserve"> </w:t>
      </w:r>
      <w:r w:rsidRPr="00520273">
        <w:rPr>
          <w:rFonts w:cs="Arial"/>
          <w:color w:val="231F20"/>
        </w:rPr>
        <w:t>25%. For our purposes, isolating evening economic activity attributed to CS&amp;H assets may be possible although this may require some judgements over the timing of programmes/facility opening</w:t>
      </w:r>
      <w:r w:rsidR="00970BBE">
        <w:rPr>
          <w:rFonts w:cs="Arial"/>
          <w:color w:val="231F20"/>
        </w:rPr>
        <w:t>,</w:t>
      </w:r>
      <w:r w:rsidRPr="00520273">
        <w:rPr>
          <w:rFonts w:cs="Arial"/>
          <w:color w:val="231F20"/>
        </w:rPr>
        <w:t xml:space="preserve"> etc.</w:t>
      </w:r>
    </w:p>
    <w:p w14:paraId="0AD2B6F9" w14:textId="0DCAF0E6" w:rsidR="00410E03" w:rsidRPr="00520273" w:rsidRDefault="00410E03" w:rsidP="00520273">
      <w:pPr>
        <w:rPr>
          <w:rFonts w:cs="Arial"/>
          <w:sz w:val="28"/>
        </w:rPr>
      </w:pPr>
      <w:r w:rsidRPr="00520273">
        <w:rPr>
          <w:rFonts w:eastAsiaTheme="minorHAnsi" w:cs="Arial"/>
          <w:color w:val="231F20"/>
        </w:rPr>
        <w:t xml:space="preserve">Total attendances at these late night events and festivals events range from the smaller 40,000 to 100,000, and mega-events from 1 million (Lisbon, Lyon, Toronto) to 2 million (Paris, Rome). Their scale has developed rapidly on an annual basis. Paris first attracted 500,000 in 2002 and now attracts 2 million; 40,000 visited Dublin’s first all-night culture festival in 2006 and over 100,000 in </w:t>
      </w:r>
      <w:r w:rsidRPr="00520273">
        <w:rPr>
          <w:rFonts w:eastAsiaTheme="minorHAnsi" w:cs="Arial"/>
          <w:color w:val="231F20"/>
        </w:rPr>
        <w:lastRenderedPageBreak/>
        <w:t>2008; Rome saw 1 million in 2005 and receives 2 million today; Toronto attracted 425,000 in 2006 and over 1 million in 2008. This expansion reflects the</w:t>
      </w:r>
      <w:r w:rsidR="00A033C6" w:rsidRPr="00520273">
        <w:rPr>
          <w:rFonts w:eastAsiaTheme="minorHAnsi" w:cs="Arial"/>
          <w:color w:val="231F20"/>
        </w:rPr>
        <w:t xml:space="preserve"> </w:t>
      </w:r>
      <w:r w:rsidRPr="00520273">
        <w:rPr>
          <w:rFonts w:eastAsiaTheme="minorHAnsi" w:cs="Arial"/>
          <w:color w:val="231F20"/>
        </w:rPr>
        <w:t>growing number of events, venues and geographic area covered, but also the success in</w:t>
      </w:r>
      <w:r w:rsidRPr="00520273">
        <w:rPr>
          <w:rFonts w:eastAsiaTheme="minorHAnsi" w:cs="Arial"/>
          <w:color w:val="000000"/>
        </w:rPr>
        <w:t xml:space="preserve"> </w:t>
      </w:r>
      <w:r w:rsidRPr="00520273">
        <w:rPr>
          <w:rFonts w:eastAsiaTheme="minorHAnsi" w:cs="Arial"/>
          <w:color w:val="231F20"/>
        </w:rPr>
        <w:t>marketing and generation of excitement around what has become a ‘must see’ event.</w:t>
      </w:r>
      <w:r w:rsidRPr="00520273">
        <w:rPr>
          <w:rFonts w:eastAsiaTheme="minorHAnsi" w:cs="Arial"/>
          <w:color w:val="000000"/>
        </w:rPr>
        <w:t xml:space="preserve"> </w:t>
      </w:r>
      <w:r w:rsidRPr="00520273">
        <w:rPr>
          <w:rFonts w:eastAsiaTheme="minorHAnsi" w:cs="Arial"/>
          <w:color w:val="231F20"/>
        </w:rPr>
        <w:t>Some visitor surveys have been undertaken (in Evans, 2011). Satisfaction with the quality of these events was high – Rome 90% (42% ‘Excellent’, 48% ‘Good’) and Dublin 94% (65% ‘Very’ and 29% ‘Somewhat Satisfied’). Nearly half of the visitors to this event participated in two or more activities and nearly 80% travelled by foot or public transport. Visitors to these late night events are primarily local residents</w:t>
      </w:r>
      <w:r w:rsidR="00970BBE">
        <w:rPr>
          <w:rFonts w:eastAsiaTheme="minorHAnsi" w:cs="Arial"/>
          <w:color w:val="231F20"/>
        </w:rPr>
        <w:t xml:space="preserve"> and</w:t>
      </w:r>
      <w:r w:rsidR="00970BBE" w:rsidRPr="00520273">
        <w:rPr>
          <w:rFonts w:eastAsiaTheme="minorHAnsi" w:cs="Arial"/>
          <w:color w:val="231F20"/>
        </w:rPr>
        <w:t xml:space="preserve"> </w:t>
      </w:r>
      <w:r w:rsidRPr="00520273">
        <w:rPr>
          <w:rFonts w:eastAsiaTheme="minorHAnsi" w:cs="Arial"/>
          <w:color w:val="231F20"/>
        </w:rPr>
        <w:t>‘domestic’</w:t>
      </w:r>
      <w:r w:rsidR="00970BBE">
        <w:rPr>
          <w:rFonts w:eastAsiaTheme="minorHAnsi" w:cs="Arial"/>
          <w:color w:val="231F20"/>
        </w:rPr>
        <w:t xml:space="preserve"> visitors</w:t>
      </w:r>
      <w:r w:rsidRPr="00520273">
        <w:rPr>
          <w:rFonts w:eastAsiaTheme="minorHAnsi" w:cs="Arial"/>
          <w:color w:val="231F20"/>
        </w:rPr>
        <w:t xml:space="preserve"> (whether staying overnight or not) with a growing international tourist or visitor</w:t>
      </w:r>
      <w:r w:rsidR="00970BBE">
        <w:rPr>
          <w:rFonts w:eastAsiaTheme="minorHAnsi" w:cs="Arial"/>
          <w:color w:val="231F20"/>
        </w:rPr>
        <w:t>;</w:t>
      </w:r>
      <w:r w:rsidRPr="00520273">
        <w:rPr>
          <w:rFonts w:eastAsiaTheme="minorHAnsi" w:cs="Arial"/>
          <w:color w:val="231F20"/>
        </w:rPr>
        <w:t xml:space="preserve"> while Dublin’s Culture Festival attracts 100,000 visitors, 75% of these are from Ireland (62% from Dublin), but the remainder are from the UK/Europe and the USA. </w:t>
      </w:r>
      <w:r w:rsidRPr="00520273">
        <w:rPr>
          <w:rFonts w:eastAsiaTheme="minorHAnsi" w:cs="Arial"/>
          <w:b/>
          <w:color w:val="231F20"/>
        </w:rPr>
        <w:t>It seems clear that the night time cultural economy benefits from the place-shaping effects that CS&amp;H evening activities provide, with tangible economic, cultural and social benefits. Late night festivals have spread in the UK as a result, particularly building on local cultural assets (e.g. Stoke, Leeds).</w:t>
      </w:r>
    </w:p>
    <w:p w14:paraId="4152255D" w14:textId="63DD6BC9" w:rsidR="00410E03" w:rsidRDefault="00410E03" w:rsidP="00520273">
      <w:pPr>
        <w:pStyle w:val="Heading3Numbered"/>
      </w:pPr>
      <w:bookmarkStart w:id="107" w:name="_Toc467569635"/>
      <w:r>
        <w:t>City Branding and Creative City indices</w:t>
      </w:r>
      <w:bookmarkEnd w:id="107"/>
    </w:p>
    <w:p w14:paraId="07702F64" w14:textId="3D8867D8" w:rsidR="00410E03" w:rsidRDefault="00410E03" w:rsidP="00520273">
      <w:r>
        <w:t xml:space="preserve">The field of branding has also developed models of city and place branding linked to destination marketing, which uses a range of indices to rank places. These rely on surveys of visitors, property and business owners and marketing organisations, as well as the application of network analysis and visual audits (see Zenker &amp; Braun, 2014). Place indices are popular ways of ranking cities and places internationally and follow the trend for ranking cities (e.g. World/Global, Business Location, Quality of Life, Sustainable) including cultural and creative cities. In London’s </w:t>
      </w:r>
      <w:r w:rsidRPr="0076121D">
        <w:rPr>
          <w:i/>
        </w:rPr>
        <w:t>Cultural Audit</w:t>
      </w:r>
      <w:r>
        <w:t xml:space="preserve"> (GLA, 2008), the city was compared with several world cities in terms of a quantified range of cultural facilities, public and commercial, and this exercise is being updated to include more international cities. Creative City ranking was also a product of Florida’s (2002) Creative Class analysis which used his combined indices based on MSA level data analysis. Creative City indices and ranking have been </w:t>
      </w:r>
      <w:r w:rsidRPr="008638AD">
        <w:t>developed first largely qualitatively through Landry’s set of elements and qualities</w:t>
      </w:r>
      <w:r w:rsidR="00447143" w:rsidRPr="008638AD">
        <w:t xml:space="preserve"> (based on 10 ‘domains’)</w:t>
      </w:r>
      <w:r w:rsidRPr="008638AD">
        <w:t xml:space="preserve"> that distinguish a successful creative city (see Evans, 2015b). A group in Australia have developed a more systematic </w:t>
      </w:r>
      <w:r w:rsidR="00A37293" w:rsidRPr="008638AD">
        <w:t xml:space="preserve">Creative City Index </w:t>
      </w:r>
      <w:r w:rsidRPr="008638AD">
        <w:t>(CCI, 2012) drawing on world city and cultural indices, i.e.</w:t>
      </w:r>
    </w:p>
    <w:p w14:paraId="0C546263" w14:textId="2C86D56E" w:rsidR="00410E03" w:rsidRPr="00520273" w:rsidRDefault="00410E03" w:rsidP="00F0636B">
      <w:pPr>
        <w:pStyle w:val="Bullet"/>
        <w:rPr>
          <w:rFonts w:eastAsiaTheme="minorHAnsi"/>
        </w:rPr>
      </w:pPr>
      <w:r w:rsidRPr="00C80488">
        <w:rPr>
          <w:i/>
        </w:rPr>
        <w:t>Creative Stocks: creativity and culture-based</w:t>
      </w:r>
      <w:r w:rsidR="00A37293">
        <w:rPr>
          <w:i/>
        </w:rPr>
        <w:t xml:space="preserve"> – </w:t>
      </w:r>
      <w:r w:rsidRPr="00520273">
        <w:rPr>
          <w:rFonts w:eastAsiaTheme="minorHAnsi"/>
        </w:rPr>
        <w:t xml:space="preserve">This index, exemplified by the work of Richard Florida et al, is based on the premise that a ‘creative class’ of migrants is drawn to cities by cultural attractors and by societies that value diversity, openness and tolerance. These </w:t>
      </w:r>
      <w:r w:rsidR="00A37293" w:rsidRPr="00520273">
        <w:rPr>
          <w:rFonts w:eastAsiaTheme="minorHAnsi"/>
        </w:rPr>
        <w:t>ind</w:t>
      </w:r>
      <w:r w:rsidR="00A37293">
        <w:rPr>
          <w:rFonts w:eastAsiaTheme="minorHAnsi"/>
        </w:rPr>
        <w:t>ic</w:t>
      </w:r>
      <w:r w:rsidR="00A37293" w:rsidRPr="00520273">
        <w:rPr>
          <w:rFonts w:eastAsiaTheme="minorHAnsi"/>
        </w:rPr>
        <w:t xml:space="preserve">es </w:t>
      </w:r>
      <w:r w:rsidRPr="00520273">
        <w:rPr>
          <w:rFonts w:eastAsiaTheme="minorHAnsi"/>
        </w:rPr>
        <w:t xml:space="preserve">also strive to measure the vibrancy of the creative sectors in terms of output, employment, participation and talent. This is a </w:t>
      </w:r>
      <w:r w:rsidRPr="00520273">
        <w:rPr>
          <w:rFonts w:eastAsiaTheme="minorHAnsi"/>
          <w:i/>
          <w:iCs/>
        </w:rPr>
        <w:t xml:space="preserve">stocks </w:t>
      </w:r>
      <w:r w:rsidRPr="00520273">
        <w:rPr>
          <w:rFonts w:eastAsiaTheme="minorHAnsi"/>
        </w:rPr>
        <w:t xml:space="preserve">approach, even though the point is to attract mobile </w:t>
      </w:r>
      <w:r w:rsidRPr="00520273">
        <w:rPr>
          <w:rFonts w:eastAsiaTheme="minorHAnsi"/>
          <w:bCs/>
          <w:i/>
        </w:rPr>
        <w:t>inflowing stocks</w:t>
      </w:r>
      <w:r w:rsidRPr="00520273">
        <w:rPr>
          <w:rFonts w:eastAsiaTheme="minorHAnsi"/>
          <w:b/>
          <w:bCs/>
        </w:rPr>
        <w:t xml:space="preserve"> </w:t>
      </w:r>
      <w:r w:rsidRPr="00520273">
        <w:rPr>
          <w:rFonts w:eastAsiaTheme="minorHAnsi"/>
        </w:rPr>
        <w:t>of talent and intellectual capital.</w:t>
      </w:r>
    </w:p>
    <w:p w14:paraId="6FAE7AE7" w14:textId="3B30CC6A" w:rsidR="00410E03" w:rsidRPr="00520273" w:rsidRDefault="00410E03" w:rsidP="00F0636B">
      <w:pPr>
        <w:pStyle w:val="Bullet"/>
        <w:rPr>
          <w:rFonts w:eastAsiaTheme="minorHAnsi"/>
        </w:rPr>
      </w:pPr>
      <w:r w:rsidRPr="00C80488">
        <w:rPr>
          <w:rFonts w:eastAsiaTheme="minorHAnsi"/>
          <w:bCs/>
          <w:i/>
        </w:rPr>
        <w:t>Creative Flows</w:t>
      </w:r>
      <w:r w:rsidRPr="00C80488">
        <w:rPr>
          <w:rFonts w:eastAsiaTheme="minorHAnsi"/>
          <w:i/>
        </w:rPr>
        <w:t xml:space="preserve">: indices that focus more broadly </w:t>
      </w:r>
      <w:r w:rsidRPr="00C80488">
        <w:rPr>
          <w:rFonts w:eastAsiaTheme="minorHAnsi"/>
          <w:bCs/>
          <w:i/>
        </w:rPr>
        <w:t>on world status, global integration, and ICTs</w:t>
      </w:r>
      <w:r w:rsidR="00A37293">
        <w:rPr>
          <w:rFonts w:eastAsiaTheme="minorHAnsi"/>
          <w:bCs/>
          <w:i/>
        </w:rPr>
        <w:t xml:space="preserve"> – </w:t>
      </w:r>
      <w:r w:rsidR="00A37293" w:rsidRPr="00520273">
        <w:rPr>
          <w:rFonts w:eastAsiaTheme="minorHAnsi"/>
        </w:rPr>
        <w:t>Ind</w:t>
      </w:r>
      <w:r w:rsidR="00A37293">
        <w:rPr>
          <w:rFonts w:eastAsiaTheme="minorHAnsi"/>
        </w:rPr>
        <w:t>ic</w:t>
      </w:r>
      <w:r w:rsidR="00A37293" w:rsidRPr="00520273">
        <w:rPr>
          <w:rFonts w:eastAsiaTheme="minorHAnsi"/>
        </w:rPr>
        <w:t xml:space="preserve">es </w:t>
      </w:r>
      <w:r w:rsidRPr="00520273">
        <w:rPr>
          <w:rFonts w:eastAsiaTheme="minorHAnsi"/>
        </w:rPr>
        <w:t xml:space="preserve">in this class, exemplified by the Global Power Cities Index, tend to include comparable (though less detailed) ‘creative’ indicators as a subset, while expanding to cover a wider pool of city attractors, including business activity, liveability, the environment, transportation and accessibility, and technology. This wider scope tends to shift the focal point from culture and creativity towards city infrastructure and basic services, innovation and technology performance, and </w:t>
      </w:r>
      <w:r w:rsidRPr="00520273">
        <w:rPr>
          <w:rFonts w:eastAsiaTheme="minorHAnsi"/>
        </w:rPr>
        <w:lastRenderedPageBreak/>
        <w:t xml:space="preserve">international exchange and network formation. This is a </w:t>
      </w:r>
      <w:r w:rsidRPr="00520273">
        <w:rPr>
          <w:rFonts w:eastAsiaTheme="minorHAnsi"/>
          <w:i/>
          <w:iCs/>
        </w:rPr>
        <w:t xml:space="preserve">flows </w:t>
      </w:r>
      <w:r w:rsidRPr="00520273">
        <w:rPr>
          <w:rFonts w:eastAsiaTheme="minorHAnsi"/>
        </w:rPr>
        <w:t xml:space="preserve">approach since it measures a city by the magnitude of </w:t>
      </w:r>
      <w:r w:rsidRPr="00520273">
        <w:rPr>
          <w:rFonts w:eastAsiaTheme="minorHAnsi"/>
          <w:bCs/>
        </w:rPr>
        <w:t>connections that flow between cities</w:t>
      </w:r>
      <w:r w:rsidRPr="00520273">
        <w:rPr>
          <w:rFonts w:eastAsiaTheme="minorHAnsi"/>
        </w:rPr>
        <w:t>.</w:t>
      </w:r>
    </w:p>
    <w:p w14:paraId="10AE405C" w14:textId="5A1EC670" w:rsidR="00410E03" w:rsidRPr="00520273" w:rsidRDefault="00410E03" w:rsidP="00131F29">
      <w:pPr>
        <w:rPr>
          <w:rFonts w:eastAsiaTheme="minorHAnsi" w:cs="Arial"/>
        </w:rPr>
      </w:pPr>
      <w:r w:rsidRPr="00520273">
        <w:rPr>
          <w:rFonts w:cs="Arial"/>
        </w:rPr>
        <w:t xml:space="preserve">The CCI index synthesises these and groups city data </w:t>
      </w:r>
      <w:r w:rsidRPr="00520273">
        <w:rPr>
          <w:rFonts w:eastAsiaTheme="minorHAnsi" w:cs="Arial"/>
        </w:rPr>
        <w:t>into eight categories of sub-indexes, producing city indicators and ranking, applied in this case to six cities (including Cardiff and London)</w:t>
      </w:r>
      <w:r w:rsidR="00A37293">
        <w:rPr>
          <w:rFonts w:eastAsiaTheme="minorHAnsi" w:cs="Arial"/>
        </w:rPr>
        <w:t>:</w:t>
      </w:r>
    </w:p>
    <w:p w14:paraId="6191265A" w14:textId="69AF9EE9" w:rsidR="00410E03" w:rsidRPr="00520273" w:rsidRDefault="00410E03" w:rsidP="00F0636B">
      <w:pPr>
        <w:pStyle w:val="Bullet"/>
        <w:rPr>
          <w:rFonts w:eastAsiaTheme="minorHAnsi"/>
        </w:rPr>
      </w:pPr>
      <w:r w:rsidRPr="00520273">
        <w:rPr>
          <w:rFonts w:eastAsiaTheme="minorHAnsi"/>
        </w:rPr>
        <w:t xml:space="preserve">1. Creative industries scale, scope </w:t>
      </w:r>
      <w:r w:rsidR="00A37293">
        <w:rPr>
          <w:rFonts w:eastAsiaTheme="minorHAnsi"/>
        </w:rPr>
        <w:t>and</w:t>
      </w:r>
      <w:r w:rsidR="00A37293" w:rsidRPr="00520273">
        <w:rPr>
          <w:rFonts w:eastAsiaTheme="minorHAnsi"/>
        </w:rPr>
        <w:t xml:space="preserve"> </w:t>
      </w:r>
      <w:r w:rsidRPr="00520273">
        <w:rPr>
          <w:rFonts w:eastAsiaTheme="minorHAnsi"/>
        </w:rPr>
        <w:t>employment</w:t>
      </w:r>
    </w:p>
    <w:p w14:paraId="18793CE4" w14:textId="77777777" w:rsidR="00410E03" w:rsidRPr="00520273" w:rsidRDefault="00410E03" w:rsidP="00F0636B">
      <w:pPr>
        <w:pStyle w:val="Bullet"/>
        <w:rPr>
          <w:rFonts w:eastAsiaTheme="minorHAnsi"/>
        </w:rPr>
      </w:pPr>
      <w:r w:rsidRPr="00520273">
        <w:rPr>
          <w:rFonts w:eastAsiaTheme="minorHAnsi"/>
        </w:rPr>
        <w:t>2. Micro-productivity</w:t>
      </w:r>
    </w:p>
    <w:p w14:paraId="7E21A368" w14:textId="117043E3" w:rsidR="00410E03" w:rsidRPr="00520273" w:rsidRDefault="00410E03" w:rsidP="00F0636B">
      <w:pPr>
        <w:pStyle w:val="Bullet"/>
        <w:rPr>
          <w:rFonts w:eastAsiaTheme="minorHAnsi"/>
        </w:rPr>
      </w:pPr>
      <w:r w:rsidRPr="00520273">
        <w:rPr>
          <w:rFonts w:eastAsiaTheme="minorHAnsi"/>
        </w:rPr>
        <w:t xml:space="preserve">3. Attractions </w:t>
      </w:r>
      <w:r w:rsidR="00A37293">
        <w:rPr>
          <w:rFonts w:eastAsiaTheme="minorHAnsi"/>
        </w:rPr>
        <w:t>and</w:t>
      </w:r>
      <w:r w:rsidR="00A37293" w:rsidRPr="00520273">
        <w:rPr>
          <w:rFonts w:eastAsiaTheme="minorHAnsi"/>
        </w:rPr>
        <w:t xml:space="preserve"> </w:t>
      </w:r>
      <w:r w:rsidRPr="00520273">
        <w:rPr>
          <w:rFonts w:eastAsiaTheme="minorHAnsi"/>
        </w:rPr>
        <w:t>economy of attention</w:t>
      </w:r>
    </w:p>
    <w:p w14:paraId="6B86CFE7" w14:textId="1AE91CE1" w:rsidR="00410E03" w:rsidRPr="00520273" w:rsidRDefault="00410E03" w:rsidP="00F0636B">
      <w:pPr>
        <w:pStyle w:val="Bullet"/>
        <w:rPr>
          <w:rFonts w:eastAsiaTheme="minorHAnsi"/>
        </w:rPr>
      </w:pPr>
      <w:r w:rsidRPr="00520273">
        <w:rPr>
          <w:rFonts w:eastAsiaTheme="minorHAnsi"/>
        </w:rPr>
        <w:t xml:space="preserve">4. Participation </w:t>
      </w:r>
      <w:r w:rsidR="00A37293">
        <w:rPr>
          <w:rFonts w:eastAsiaTheme="minorHAnsi"/>
        </w:rPr>
        <w:t>and</w:t>
      </w:r>
      <w:r w:rsidR="00A37293" w:rsidRPr="00520273">
        <w:rPr>
          <w:rFonts w:eastAsiaTheme="minorHAnsi"/>
        </w:rPr>
        <w:t xml:space="preserve"> </w:t>
      </w:r>
      <w:r w:rsidRPr="00520273">
        <w:rPr>
          <w:rFonts w:eastAsiaTheme="minorHAnsi"/>
        </w:rPr>
        <w:t>expenditure</w:t>
      </w:r>
    </w:p>
    <w:p w14:paraId="2DE2CC2D" w14:textId="77777777" w:rsidR="00410E03" w:rsidRPr="00520273" w:rsidRDefault="00410E03" w:rsidP="00F0636B">
      <w:pPr>
        <w:pStyle w:val="Bullet"/>
        <w:rPr>
          <w:rFonts w:eastAsiaTheme="minorHAnsi"/>
        </w:rPr>
      </w:pPr>
      <w:r w:rsidRPr="00520273">
        <w:rPr>
          <w:rFonts w:eastAsiaTheme="minorHAnsi"/>
        </w:rPr>
        <w:t>5. Public support</w:t>
      </w:r>
    </w:p>
    <w:p w14:paraId="70BFAC8B" w14:textId="7C05AD2A" w:rsidR="00410E03" w:rsidRPr="00520273" w:rsidRDefault="00410E03" w:rsidP="00F0636B">
      <w:pPr>
        <w:pStyle w:val="Bullet"/>
        <w:rPr>
          <w:rFonts w:eastAsiaTheme="minorHAnsi"/>
        </w:rPr>
      </w:pPr>
      <w:r w:rsidRPr="00520273">
        <w:rPr>
          <w:rFonts w:eastAsiaTheme="minorHAnsi"/>
        </w:rPr>
        <w:t xml:space="preserve">6. Human capital </w:t>
      </w:r>
      <w:r w:rsidR="00A37293">
        <w:rPr>
          <w:rFonts w:eastAsiaTheme="minorHAnsi"/>
        </w:rPr>
        <w:t>and</w:t>
      </w:r>
      <w:r w:rsidR="00A37293" w:rsidRPr="00520273">
        <w:rPr>
          <w:rFonts w:eastAsiaTheme="minorHAnsi"/>
        </w:rPr>
        <w:t xml:space="preserve"> </w:t>
      </w:r>
      <w:r w:rsidRPr="00520273">
        <w:rPr>
          <w:rFonts w:eastAsiaTheme="minorHAnsi"/>
        </w:rPr>
        <w:t>research</w:t>
      </w:r>
    </w:p>
    <w:p w14:paraId="044B344E" w14:textId="77777777" w:rsidR="00410E03" w:rsidRPr="00520273" w:rsidRDefault="00410E03" w:rsidP="00F0636B">
      <w:pPr>
        <w:pStyle w:val="Bullet"/>
        <w:rPr>
          <w:rFonts w:eastAsiaTheme="minorHAnsi"/>
        </w:rPr>
      </w:pPr>
      <w:r w:rsidRPr="00520273">
        <w:rPr>
          <w:rFonts w:eastAsiaTheme="minorHAnsi"/>
        </w:rPr>
        <w:t>7. Global integration</w:t>
      </w:r>
    </w:p>
    <w:p w14:paraId="542245B6" w14:textId="00D124C4" w:rsidR="00410E03" w:rsidRPr="00520273" w:rsidRDefault="00410E03" w:rsidP="00F0636B">
      <w:pPr>
        <w:pStyle w:val="Bullet"/>
        <w:rPr>
          <w:rFonts w:eastAsiaTheme="minorHAnsi"/>
        </w:rPr>
      </w:pPr>
      <w:r w:rsidRPr="00520273">
        <w:rPr>
          <w:rFonts w:eastAsiaTheme="minorHAnsi"/>
        </w:rPr>
        <w:t xml:space="preserve">8. Openness, tolerance </w:t>
      </w:r>
      <w:r w:rsidR="00A37293">
        <w:rPr>
          <w:rFonts w:eastAsiaTheme="minorHAnsi"/>
        </w:rPr>
        <w:t>and</w:t>
      </w:r>
      <w:r w:rsidR="00A37293" w:rsidRPr="00520273">
        <w:rPr>
          <w:rFonts w:eastAsiaTheme="minorHAnsi"/>
        </w:rPr>
        <w:t xml:space="preserve"> </w:t>
      </w:r>
      <w:r w:rsidRPr="00520273">
        <w:rPr>
          <w:rFonts w:eastAsiaTheme="minorHAnsi"/>
        </w:rPr>
        <w:t>diversity</w:t>
      </w:r>
    </w:p>
    <w:p w14:paraId="483FEA3F" w14:textId="05362BD7" w:rsidR="00410E03" w:rsidRPr="00520273" w:rsidRDefault="00410E03" w:rsidP="00224A2D">
      <w:pPr>
        <w:rPr>
          <w:rFonts w:cs="Arial"/>
        </w:rPr>
      </w:pPr>
      <w:r w:rsidRPr="00520273">
        <w:rPr>
          <w:rFonts w:cs="Arial"/>
        </w:rPr>
        <w:t xml:space="preserve">The extent to which the </w:t>
      </w:r>
      <w:r w:rsidR="00A37293" w:rsidRPr="00520273">
        <w:rPr>
          <w:rFonts w:cs="Arial"/>
        </w:rPr>
        <w:t xml:space="preserve">Creative City Index </w:t>
      </w:r>
      <w:r w:rsidRPr="00520273">
        <w:rPr>
          <w:rFonts w:cs="Arial"/>
        </w:rPr>
        <w:t>approach may be adapted to place-shaping effects needs consideration. This would be closer to the first type of index, above, but expanded to include key amenity factors provided by CS&amp;H assets.</w:t>
      </w:r>
    </w:p>
    <w:p w14:paraId="439E112E" w14:textId="5FB6D6C0" w:rsidR="00410E03" w:rsidRPr="00EF750E" w:rsidRDefault="00410E03" w:rsidP="00520273">
      <w:pPr>
        <w:pStyle w:val="Heading2Numbered"/>
      </w:pPr>
      <w:bookmarkStart w:id="108" w:name="_Toc467569636"/>
      <w:r>
        <w:t>Towards a Conceptual Fram</w:t>
      </w:r>
      <w:r w:rsidRPr="00EF750E">
        <w:t>ework</w:t>
      </w:r>
      <w:bookmarkEnd w:id="108"/>
    </w:p>
    <w:p w14:paraId="2205DF30" w14:textId="77777777" w:rsidR="00410E03" w:rsidRDefault="00410E03" w:rsidP="00520273">
      <w:r>
        <w:t xml:space="preserve">As already noted, one of the fundamental challenges in establishing relationships between CS&amp;H assets and place-shaping – and between CS&amp;H activity and impacts generally – is the weak link between population-based data and provision/CS&amp;H assets. The former is the basis for most participation, attendance, attitudinal surveys, but it is not generally place-based. On the other hand, CS&amp;H organisations and clusters have been measured locally (transactions, multipliers, surveys) in terms of economic and some social impacts, but not in most cases in relation to a discrete or measurable population group or wider geographic area. </w:t>
      </w:r>
    </w:p>
    <w:p w14:paraId="5732579F" w14:textId="4F78D825" w:rsidR="00410E03" w:rsidRDefault="00410E03" w:rsidP="00520273">
      <w:r>
        <w:t>As we have summarised above, e</w:t>
      </w:r>
      <w:r w:rsidRPr="00061455">
        <w:t>vidence and literature ranges from the more</w:t>
      </w:r>
      <w:r>
        <w:t xml:space="preserve"> linear hedonic price studies (</w:t>
      </w:r>
      <w:r w:rsidRPr="00061455">
        <w:t>amenity, property, place/regeneration)</w:t>
      </w:r>
      <w:r>
        <w:t xml:space="preserve"> and economic impact/footprint studies,</w:t>
      </w:r>
      <w:r w:rsidRPr="00061455">
        <w:t xml:space="preserve"> </w:t>
      </w:r>
      <w:r>
        <w:t xml:space="preserve">to the multi-dimensional effects in terms of social and economic impacts. </w:t>
      </w:r>
      <w:r w:rsidRPr="00F86D2B">
        <w:rPr>
          <w:b/>
        </w:rPr>
        <w:t xml:space="preserve">The latter includes the relationship </w:t>
      </w:r>
      <w:r w:rsidR="00583A38">
        <w:rPr>
          <w:b/>
        </w:rPr>
        <w:t>–</w:t>
      </w:r>
      <w:r w:rsidR="00583A38" w:rsidRPr="00F86D2B">
        <w:rPr>
          <w:b/>
        </w:rPr>
        <w:t xml:space="preserve"> </w:t>
      </w:r>
      <w:r w:rsidRPr="00F86D2B">
        <w:rPr>
          <w:b/>
        </w:rPr>
        <w:t>under-researched but potentially fruitful (</w:t>
      </w:r>
      <w:r w:rsidR="00583A38">
        <w:rPr>
          <w:b/>
        </w:rPr>
        <w:t>see</w:t>
      </w:r>
      <w:r>
        <w:rPr>
          <w:b/>
        </w:rPr>
        <w:t xml:space="preserve"> </w:t>
      </w:r>
      <w:r w:rsidRPr="00F86D2B">
        <w:rPr>
          <w:b/>
        </w:rPr>
        <w:t>NESTA, Markusen</w:t>
      </w:r>
      <w:r w:rsidR="00583A38">
        <w:rPr>
          <w:b/>
        </w:rPr>
        <w:t>,</w:t>
      </w:r>
      <w:r w:rsidRPr="00F86D2B">
        <w:rPr>
          <w:b/>
        </w:rPr>
        <w:t xml:space="preserve"> etc.) </w:t>
      </w:r>
      <w:r w:rsidR="00583A38">
        <w:rPr>
          <w:b/>
        </w:rPr>
        <w:t>–</w:t>
      </w:r>
      <w:r w:rsidR="00583A38" w:rsidRPr="00F86D2B">
        <w:rPr>
          <w:b/>
        </w:rPr>
        <w:t xml:space="preserve"> </w:t>
      </w:r>
      <w:r w:rsidRPr="00F86D2B">
        <w:rPr>
          <w:b/>
        </w:rPr>
        <w:t>and the effects generated by CS&amp;H assets/clusters and activity on the creative economy and the wider economy at expanding scales</w:t>
      </w:r>
      <w:r>
        <w:t>. This includes processes of co-location/proximity, innovation spillovers and consequent growth (of firms, investment, participation levels/demand, spending). Another set of change effects are the social and environmental benefits which CS&amp;H assets can make to local quality of life/wellbeing, a sense of place and place-shaping, including public realm/safety and design.</w:t>
      </w:r>
    </w:p>
    <w:p w14:paraId="736487ED" w14:textId="77777777" w:rsidR="00410E03" w:rsidRDefault="00410E03" w:rsidP="00520273">
      <w:r>
        <w:t xml:space="preserve">Two basic requirements need to be met in order to assess and distinguish the contribution that culture makes to place-shaping. Firstly the identification of CS&amp;H assets at varying scales both as a comparative and independent variable against which to measure various place-shaping effects; and secondly, the effects that can be associated with place-shaping. Once identified and in some cases more specifically defined, data sources for each set will be needed, including investment and infrastructure resources. It needs to be accepted at the outset that </w:t>
      </w:r>
      <w:r>
        <w:lastRenderedPageBreak/>
        <w:t>much evidence in the literature of place-shaping effects associated with CS&amp;H assets has drawn on primary and customised research data collection. Primary research data may be used, however, in subsequent (‘synthetic’) modelling provided an acceptable statistical base is available (e.g. output averages for CS&amp;H asset types).</w:t>
      </w:r>
    </w:p>
    <w:p w14:paraId="72856E9A" w14:textId="6A08E6CB" w:rsidR="00410E03" w:rsidRDefault="00410E03" w:rsidP="00520273">
      <w:r>
        <w:t>In terms of robust data, this suggests the following routes:</w:t>
      </w:r>
    </w:p>
    <w:p w14:paraId="5195002C" w14:textId="0D05FDFF" w:rsidR="00410E03" w:rsidRPr="00520273" w:rsidRDefault="00410E03" w:rsidP="00F0636B">
      <w:pPr>
        <w:pStyle w:val="Bullet"/>
      </w:pPr>
      <w:r w:rsidRPr="00520273">
        <w:t>Define and specify data sources on CS&amp;H assets including investment flows and infrastructure value(ations)</w:t>
      </w:r>
      <w:r w:rsidRPr="00520273">
        <w:rPr>
          <w:i/>
        </w:rPr>
        <w:t>, cf.</w:t>
      </w:r>
      <w:r w:rsidRPr="00520273">
        <w:t xml:space="preserve"> Physical Asset Mapping (CASE, 2010) and also see Points of Interest (POI, OS), land-use types and classifications (including as used by funders)</w:t>
      </w:r>
      <w:r w:rsidR="00E10960">
        <w:t>.</w:t>
      </w:r>
    </w:p>
    <w:p w14:paraId="665AF6A7" w14:textId="3A6D97C2" w:rsidR="00410E03" w:rsidRPr="00520273" w:rsidRDefault="00410E03" w:rsidP="00F0636B">
      <w:pPr>
        <w:pStyle w:val="Bullet"/>
      </w:pPr>
      <w:r w:rsidRPr="00520273">
        <w:t>Model clusters of CS&amp;H assets (1) aggregated at various scales (see</w:t>
      </w:r>
      <w:r w:rsidR="00C20D5D">
        <w:t xml:space="preserve"> section </w:t>
      </w:r>
      <w:r w:rsidR="00C20D5D">
        <w:fldChar w:fldCharType="begin"/>
      </w:r>
      <w:r w:rsidR="00C20D5D">
        <w:instrText xml:space="preserve"> REF _Ref464199231 \r \h </w:instrText>
      </w:r>
      <w:r w:rsidR="00511EC8">
        <w:instrText xml:space="preserve"> \* MERGEFORMAT </w:instrText>
      </w:r>
      <w:r w:rsidR="00C20D5D">
        <w:fldChar w:fldCharType="separate"/>
      </w:r>
      <w:r w:rsidR="00F0636B">
        <w:t>6.3</w:t>
      </w:r>
      <w:r w:rsidR="00C20D5D">
        <w:fldChar w:fldCharType="end"/>
      </w:r>
      <w:r w:rsidR="00C20D5D">
        <w:t xml:space="preserve"> </w:t>
      </w:r>
      <w:r w:rsidRPr="00520273">
        <w:t>above)</w:t>
      </w:r>
      <w:r w:rsidR="00E10960">
        <w:t>.</w:t>
      </w:r>
    </w:p>
    <w:p w14:paraId="2B2AF95A" w14:textId="23BCE1C8" w:rsidR="00410E03" w:rsidRPr="00520273" w:rsidRDefault="00410E03" w:rsidP="00131F29">
      <w:pPr>
        <w:rPr>
          <w:b/>
          <w:i/>
        </w:rPr>
      </w:pPr>
      <w:r w:rsidRPr="00520273">
        <w:rPr>
          <w:b/>
        </w:rPr>
        <w:t xml:space="preserve">Data on CS&amp;H assets will provide the </w:t>
      </w:r>
      <w:r w:rsidRPr="00520273">
        <w:rPr>
          <w:b/>
          <w:i/>
        </w:rPr>
        <w:t xml:space="preserve">independent variable </w:t>
      </w:r>
      <w:r w:rsidRPr="00520273">
        <w:rPr>
          <w:b/>
        </w:rPr>
        <w:t>in any regression analysis modelling</w:t>
      </w:r>
      <w:r w:rsidR="00E10960">
        <w:rPr>
          <w:b/>
        </w:rPr>
        <w:t>.</w:t>
      </w:r>
    </w:p>
    <w:p w14:paraId="3D5A6E5F" w14:textId="202E77E5" w:rsidR="00410E03" w:rsidRPr="00520273" w:rsidRDefault="00410E03" w:rsidP="00F0636B">
      <w:pPr>
        <w:pStyle w:val="Bullet"/>
      </w:pPr>
      <w:r w:rsidRPr="00520273">
        <w:t>Scope change effects – correlated and potentially causally linked to CS&amp;H assets, new and established</w:t>
      </w:r>
      <w:r w:rsidR="00E10960">
        <w:t>.</w:t>
      </w:r>
    </w:p>
    <w:p w14:paraId="792C98B8" w14:textId="1382FB1E" w:rsidR="00410E03" w:rsidRPr="00520273" w:rsidRDefault="00410E03" w:rsidP="00410E03">
      <w:pPr>
        <w:rPr>
          <w:rFonts w:cs="Arial"/>
          <w:b/>
        </w:rPr>
      </w:pPr>
      <w:r w:rsidRPr="00520273">
        <w:rPr>
          <w:rFonts w:cs="Arial"/>
          <w:b/>
        </w:rPr>
        <w:t xml:space="preserve">Data on change effects will provide a range of </w:t>
      </w:r>
      <w:r w:rsidRPr="00520273">
        <w:rPr>
          <w:rFonts w:cs="Arial"/>
          <w:b/>
          <w:i/>
        </w:rPr>
        <w:t>dependent variables</w:t>
      </w:r>
      <w:r w:rsidRPr="00520273">
        <w:rPr>
          <w:rFonts w:cs="Arial"/>
          <w:b/>
        </w:rPr>
        <w:t xml:space="preserve"> that might be attributed to CS&amp;H assets and therefore a predictor of CS&amp;H investment impacts</w:t>
      </w:r>
      <w:r w:rsidR="00E10960">
        <w:rPr>
          <w:rFonts w:cs="Arial"/>
          <w:b/>
        </w:rPr>
        <w:t>.</w:t>
      </w:r>
    </w:p>
    <w:p w14:paraId="351DF6FF" w14:textId="3619D0C5" w:rsidR="00C17BF2" w:rsidRDefault="00C17BF2" w:rsidP="00F0636B">
      <w:pPr>
        <w:pStyle w:val="Heading1Numbered"/>
        <w:rPr>
          <w:rFonts w:eastAsia="Calibri"/>
        </w:rPr>
      </w:pPr>
      <w:bookmarkStart w:id="109" w:name="_Ref460315918"/>
      <w:bookmarkStart w:id="110" w:name="_Ref460315921"/>
      <w:bookmarkStart w:id="111" w:name="_Toc467569637"/>
      <w:r>
        <w:rPr>
          <w:rFonts w:eastAsia="Calibri"/>
        </w:rPr>
        <w:lastRenderedPageBreak/>
        <w:t>Appendix II – Quantitative Analysis options</w:t>
      </w:r>
      <w:bookmarkEnd w:id="109"/>
      <w:bookmarkEnd w:id="110"/>
      <w:bookmarkEnd w:id="111"/>
    </w:p>
    <w:p w14:paraId="246A4A14" w14:textId="7DFB46F0" w:rsidR="00C17BF2" w:rsidRPr="00520273" w:rsidRDefault="00C17BF2" w:rsidP="00C17BF2">
      <w:pPr>
        <w:rPr>
          <w:rFonts w:cs="Tahoma"/>
        </w:rPr>
      </w:pPr>
      <w:r w:rsidRPr="00520273">
        <w:rPr>
          <w:rFonts w:cs="Tahoma"/>
        </w:rPr>
        <w:t xml:space="preserve">This </w:t>
      </w:r>
      <w:r w:rsidR="00E17DB0">
        <w:rPr>
          <w:rFonts w:cs="Tahoma"/>
        </w:rPr>
        <w:t>section</w:t>
      </w:r>
      <w:r w:rsidR="00E17DB0" w:rsidRPr="00520273">
        <w:rPr>
          <w:rFonts w:cs="Tahoma"/>
        </w:rPr>
        <w:t xml:space="preserve"> </w:t>
      </w:r>
      <w:r w:rsidRPr="00520273">
        <w:rPr>
          <w:rFonts w:cs="Tahoma"/>
        </w:rPr>
        <w:t>presents key options for the quantitative analysis which were identified in the early stages of the study. It was suggested that these options were not mutually exclusive and all were feasible from a modelling point of view.</w:t>
      </w:r>
    </w:p>
    <w:p w14:paraId="709A27F2" w14:textId="793BFF4F" w:rsidR="00C17BF2" w:rsidRPr="00520273" w:rsidRDefault="00C17BF2" w:rsidP="00C17BF2">
      <w:pPr>
        <w:rPr>
          <w:rFonts w:cs="Tahoma"/>
        </w:rPr>
      </w:pPr>
      <w:r w:rsidRPr="00520273">
        <w:rPr>
          <w:rFonts w:cs="Tahoma"/>
        </w:rPr>
        <w:t>However, once available data had been collated and reviewed, it was decided with the</w:t>
      </w:r>
      <w:r w:rsidR="002A635D">
        <w:rPr>
          <w:rFonts w:cs="Tahoma"/>
        </w:rPr>
        <w:t xml:space="preserve"> project</w:t>
      </w:r>
      <w:r w:rsidRPr="00520273">
        <w:rPr>
          <w:rFonts w:cs="Tahoma"/>
        </w:rPr>
        <w:t xml:space="preserve"> </w:t>
      </w:r>
      <w:r w:rsidR="002A635D">
        <w:rPr>
          <w:rFonts w:cs="Tahoma"/>
        </w:rPr>
        <w:t>s</w:t>
      </w:r>
      <w:r w:rsidR="002A635D" w:rsidRPr="00520273">
        <w:rPr>
          <w:rFonts w:cs="Tahoma"/>
        </w:rPr>
        <w:t xml:space="preserve">teering </w:t>
      </w:r>
      <w:r w:rsidR="002A635D">
        <w:rPr>
          <w:rFonts w:cs="Tahoma"/>
        </w:rPr>
        <w:t>g</w:t>
      </w:r>
      <w:r w:rsidR="002A635D" w:rsidRPr="00520273">
        <w:rPr>
          <w:rFonts w:cs="Tahoma"/>
        </w:rPr>
        <w:t xml:space="preserve">roup </w:t>
      </w:r>
      <w:r w:rsidRPr="00520273">
        <w:rPr>
          <w:rFonts w:cs="Tahoma"/>
        </w:rPr>
        <w:t>that Option 1 presented the most feasible and deliverable option.</w:t>
      </w:r>
    </w:p>
    <w:p w14:paraId="191BBB0B" w14:textId="5D0FDED7" w:rsidR="00C17BF2" w:rsidRPr="00520273" w:rsidRDefault="00C17BF2" w:rsidP="00C17BF2">
      <w:pPr>
        <w:rPr>
          <w:rFonts w:cs="Tahoma"/>
        </w:rPr>
      </w:pPr>
      <w:r w:rsidRPr="00520273">
        <w:rPr>
          <w:rFonts w:cs="Tahoma"/>
        </w:rPr>
        <w:t>Options 2 and 3 might be considered for future work and may contribute further to the evidence base regarding the existence and nature of the impact ecosystem (discussed in section</w:t>
      </w:r>
      <w:r w:rsidR="002A635D">
        <w:rPr>
          <w:rFonts w:cs="Tahoma"/>
        </w:rPr>
        <w:t xml:space="preserve"> </w:t>
      </w:r>
      <w:r w:rsidR="00131F29" w:rsidRPr="00520273">
        <w:rPr>
          <w:rFonts w:cs="Tahoma"/>
        </w:rPr>
        <w:fldChar w:fldCharType="begin"/>
      </w:r>
      <w:r w:rsidR="00131F29" w:rsidRPr="00520273">
        <w:rPr>
          <w:rFonts w:cs="Tahoma"/>
        </w:rPr>
        <w:instrText xml:space="preserve"> REF _Ref460320332 \r \h </w:instrText>
      </w:r>
      <w:r w:rsidR="00E17DB0">
        <w:rPr>
          <w:rFonts w:cs="Tahoma"/>
        </w:rPr>
        <w:instrText xml:space="preserve"> \* MERGEFORMAT </w:instrText>
      </w:r>
      <w:r w:rsidR="00131F29" w:rsidRPr="00520273">
        <w:rPr>
          <w:rFonts w:cs="Tahoma"/>
        </w:rPr>
      </w:r>
      <w:r w:rsidR="00131F29" w:rsidRPr="00520273">
        <w:rPr>
          <w:rFonts w:cs="Tahoma"/>
        </w:rPr>
        <w:fldChar w:fldCharType="separate"/>
      </w:r>
      <w:r w:rsidR="00F0636B">
        <w:rPr>
          <w:rFonts w:cs="Tahoma"/>
        </w:rPr>
        <w:t></w:t>
      </w:r>
      <w:r w:rsidR="00131F29" w:rsidRPr="00520273">
        <w:rPr>
          <w:rFonts w:cs="Tahoma"/>
        </w:rPr>
        <w:fldChar w:fldCharType="end"/>
      </w:r>
      <w:r w:rsidR="00131F29" w:rsidRPr="00520273">
        <w:rPr>
          <w:rFonts w:cs="Tahoma"/>
        </w:rPr>
        <w:t>, p.</w:t>
      </w:r>
      <w:r w:rsidR="00131F29" w:rsidRPr="00520273">
        <w:rPr>
          <w:rFonts w:cs="Tahoma"/>
        </w:rPr>
        <w:fldChar w:fldCharType="begin"/>
      </w:r>
      <w:r w:rsidR="00131F29" w:rsidRPr="00520273">
        <w:rPr>
          <w:rFonts w:cs="Tahoma"/>
        </w:rPr>
        <w:instrText xml:space="preserve"> PAGEREF _Ref460320332 \h </w:instrText>
      </w:r>
      <w:r w:rsidR="00131F29" w:rsidRPr="00520273">
        <w:rPr>
          <w:rFonts w:cs="Tahoma"/>
        </w:rPr>
      </w:r>
      <w:r w:rsidR="00131F29" w:rsidRPr="00520273">
        <w:rPr>
          <w:rFonts w:cs="Tahoma"/>
        </w:rPr>
        <w:fldChar w:fldCharType="separate"/>
      </w:r>
      <w:r w:rsidR="00F0636B">
        <w:rPr>
          <w:rFonts w:cs="Tahoma"/>
          <w:noProof/>
        </w:rPr>
        <w:t>8</w:t>
      </w:r>
      <w:r w:rsidR="00131F29" w:rsidRPr="00520273">
        <w:rPr>
          <w:rFonts w:cs="Tahoma"/>
        </w:rPr>
        <w:fldChar w:fldCharType="end"/>
      </w:r>
      <w:r w:rsidRPr="00520273">
        <w:rPr>
          <w:rFonts w:cs="Tahoma"/>
        </w:rPr>
        <w:t>).</w:t>
      </w:r>
    </w:p>
    <w:p w14:paraId="64FB65C0" w14:textId="77777777" w:rsidR="00C17BF2" w:rsidRPr="00245955" w:rsidRDefault="00C17BF2" w:rsidP="00F0636B">
      <w:pPr>
        <w:pStyle w:val="Heading2Numbered"/>
      </w:pPr>
      <w:bookmarkStart w:id="112" w:name="_Toc417910967"/>
      <w:bookmarkStart w:id="113" w:name="_Toc467569638"/>
      <w:r w:rsidRPr="00245955">
        <w:t>Option 1: exploring direct causal links between CS&amp;H infrastructure and competitiveness</w:t>
      </w:r>
      <w:bookmarkEnd w:id="112"/>
      <w:bookmarkEnd w:id="113"/>
    </w:p>
    <w:p w14:paraId="1B7B53E3" w14:textId="77777777" w:rsidR="00C17BF2" w:rsidRPr="00397F94" w:rsidRDefault="00C17BF2" w:rsidP="00C17BF2">
      <w:pPr>
        <w:rPr>
          <w:rFonts w:cs="Tahoma"/>
        </w:rPr>
      </w:pPr>
      <w:r w:rsidRPr="00397F94">
        <w:rPr>
          <w:rFonts w:cs="Tahoma"/>
        </w:rPr>
        <w:t xml:space="preserve">Option 1 would test the hypothesis that </w:t>
      </w:r>
      <w:r w:rsidRPr="00397F94">
        <w:rPr>
          <w:rFonts w:cs="Tahoma"/>
          <w:b/>
        </w:rPr>
        <w:t>there are direct causal links between concentrations of culture, sport and heritage (CS&amp;H) infrastructure and/or investment in CS&amp;H infrastructure and indicators of competitiveness</w:t>
      </w:r>
      <w:r w:rsidRPr="00397F94">
        <w:rPr>
          <w:rFonts w:cs="Tahoma"/>
        </w:rPr>
        <w:t xml:space="preserve">. We use here as an example, business concentration or immigration of creative industries. However, other indicators may be used depending on data availability and/or meaningfulness (e.g. immigration of highly qualified individuals). </w:t>
      </w:r>
    </w:p>
    <w:p w14:paraId="654DFCD6" w14:textId="44EBBBC0" w:rsidR="00C17BF2" w:rsidRDefault="00C17BF2" w:rsidP="00C17BF2">
      <w:pPr>
        <w:rPr>
          <w:rFonts w:cs="Tahoma"/>
        </w:rPr>
      </w:pPr>
      <w:r w:rsidRPr="00397F94">
        <w:rPr>
          <w:rFonts w:cs="Tahoma"/>
        </w:rPr>
        <w:t xml:space="preserve">An econometric testing of that type would use as a dependent variable a business indicator to be determined (e.g. density of creative businesses, migration of creative businesses etc.) and a set of independent variables traditionally used to determine business location decisions. One of the independent variables would be concentration of CS&amp;H infrastructure and/or investment in CS&amp;H infrastructure and business concentration. This would allow us to test whether concentration of CS&amp;H infrastructure and/or investment in CS&amp;H infrastructure and business concentration has a </w:t>
      </w:r>
      <w:r w:rsidRPr="00397F94">
        <w:rPr>
          <w:rFonts w:cs="Tahoma"/>
          <w:i/>
        </w:rPr>
        <w:t>direct</w:t>
      </w:r>
      <w:r w:rsidRPr="00397F94">
        <w:rPr>
          <w:rFonts w:cs="Tahoma"/>
        </w:rPr>
        <w:t xml:space="preserve"> statistically significant impact on business location (and therefore on local/regional competitiveness).</w:t>
      </w:r>
      <w:r w:rsidR="00A033C6">
        <w:rPr>
          <w:rFonts w:cs="Tahoma"/>
        </w:rPr>
        <w:t xml:space="preserve"> </w:t>
      </w:r>
    </w:p>
    <w:p w14:paraId="4317DF71" w14:textId="77777777" w:rsidR="00511EC8" w:rsidRPr="00397F94" w:rsidRDefault="00511EC8" w:rsidP="00C17BF2">
      <w:pPr>
        <w:rPr>
          <w:rFonts w:cs="Tahoma"/>
        </w:rPr>
      </w:pPr>
    </w:p>
    <w:p w14:paraId="7BE9819E" w14:textId="77777777" w:rsidR="00C17BF2" w:rsidRDefault="00C17BF2" w:rsidP="00C17BF2">
      <w:pPr>
        <w:rPr>
          <w:rFonts w:cs="Arial"/>
        </w:rPr>
      </w:pPr>
      <w:r>
        <w:rPr>
          <w:rFonts w:cs="Arial"/>
          <w:noProof/>
          <w:lang w:eastAsia="en-GB"/>
        </w:rPr>
        <w:lastRenderedPageBreak/>
        <w:drawing>
          <wp:inline distT="0" distB="0" distL="0" distR="0" wp14:anchorId="40C87C6D" wp14:editId="665A48C6">
            <wp:extent cx="4954270" cy="16922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4270" cy="1692275"/>
                    </a:xfrm>
                    <a:prstGeom prst="rect">
                      <a:avLst/>
                    </a:prstGeom>
                    <a:noFill/>
                    <a:ln>
                      <a:noFill/>
                    </a:ln>
                  </pic:spPr>
                </pic:pic>
              </a:graphicData>
            </a:graphic>
          </wp:inline>
        </w:drawing>
      </w:r>
    </w:p>
    <w:p w14:paraId="39A29016" w14:textId="77777777" w:rsidR="002A635D" w:rsidRDefault="002A635D" w:rsidP="00C17BF2">
      <w:pPr>
        <w:rPr>
          <w:rFonts w:cs="Arial"/>
        </w:rPr>
      </w:pPr>
    </w:p>
    <w:p w14:paraId="481E8F79" w14:textId="228E860D" w:rsidR="00C17BF2" w:rsidRPr="00397F94" w:rsidRDefault="00C17BF2" w:rsidP="00C17BF2">
      <w:r w:rsidRPr="00397F94">
        <w:t xml:space="preserve">In a nutshell, this approach would use previous (established in the economics literature) regression models to explain business location by adding to these models one variable on concentration of / investment in CS&amp;H infrastructure. </w:t>
      </w:r>
    </w:p>
    <w:p w14:paraId="6CE9F4AE" w14:textId="77777777" w:rsidR="00C17BF2" w:rsidRPr="00245955" w:rsidRDefault="00C17BF2" w:rsidP="00F0636B">
      <w:pPr>
        <w:pStyle w:val="Heading2Numbered"/>
      </w:pPr>
      <w:bookmarkStart w:id="114" w:name="_Toc417910968"/>
      <w:bookmarkStart w:id="115" w:name="_Toc467569639"/>
      <w:r w:rsidRPr="00245955">
        <w:t>Option 2: exploring indirect causal links between CS &amp; H infrastructure and competitiveness</w:t>
      </w:r>
      <w:bookmarkEnd w:id="114"/>
      <w:bookmarkEnd w:id="115"/>
    </w:p>
    <w:p w14:paraId="665C9DC9" w14:textId="0B01DF27" w:rsidR="00C17BF2" w:rsidRPr="00397F94" w:rsidRDefault="00C17BF2" w:rsidP="00C17BF2">
      <w:pPr>
        <w:rPr>
          <w:rFonts w:cs="Tahoma"/>
        </w:rPr>
      </w:pPr>
      <w:r w:rsidRPr="00397F94">
        <w:rPr>
          <w:rFonts w:cs="Tahoma"/>
        </w:rPr>
        <w:t>Concentration of, and investment in, CS&amp;H infrastructure has multiple short and long term impacts on urban spaces (and local and regional social economies). Some of these impacts are likely to affect pull (</w:t>
      </w:r>
      <w:r w:rsidR="002A635D">
        <w:rPr>
          <w:rFonts w:cs="Tahoma"/>
        </w:rPr>
        <w:t xml:space="preserve">and </w:t>
      </w:r>
      <w:r w:rsidRPr="00397F94">
        <w:rPr>
          <w:rFonts w:cs="Tahoma"/>
        </w:rPr>
        <w:t>push) factors of businesses. Some of these links have already been explored in previous quant</w:t>
      </w:r>
      <w:r w:rsidR="002D3798">
        <w:rPr>
          <w:rFonts w:cs="Tahoma"/>
        </w:rPr>
        <w:t>it</w:t>
      </w:r>
      <w:r w:rsidRPr="00397F94">
        <w:rPr>
          <w:rFonts w:cs="Tahoma"/>
        </w:rPr>
        <w:t xml:space="preserve">ative analyses, to an extent. </w:t>
      </w:r>
    </w:p>
    <w:p w14:paraId="0A1E1B7D" w14:textId="77777777" w:rsidR="00C17BF2" w:rsidRPr="00397F94" w:rsidRDefault="00C17BF2" w:rsidP="00C17BF2">
      <w:pPr>
        <w:rPr>
          <w:rFonts w:cs="Tahoma"/>
        </w:rPr>
      </w:pPr>
      <w:r w:rsidRPr="00397F94">
        <w:rPr>
          <w:rFonts w:cs="Tahoma"/>
        </w:rPr>
        <w:t xml:space="preserve">In a situation whereby no </w:t>
      </w:r>
      <w:r w:rsidRPr="00397F94">
        <w:rPr>
          <w:rFonts w:cs="Tahoma"/>
          <w:i/>
        </w:rPr>
        <w:t>direct</w:t>
      </w:r>
      <w:r w:rsidRPr="00397F94">
        <w:rPr>
          <w:rFonts w:cs="Tahoma"/>
        </w:rPr>
        <w:t xml:space="preserve"> causal link can be established (either due to lack of appropriate data or due to non-statistically significant results) option 2 would test the hypothesis that </w:t>
      </w:r>
      <w:r w:rsidRPr="00397F94">
        <w:rPr>
          <w:rFonts w:cs="Tahoma"/>
          <w:b/>
        </w:rPr>
        <w:t xml:space="preserve">there are </w:t>
      </w:r>
      <w:r w:rsidRPr="00397F94">
        <w:rPr>
          <w:rFonts w:cs="Tahoma"/>
          <w:b/>
          <w:i/>
        </w:rPr>
        <w:t>indirect</w:t>
      </w:r>
      <w:r w:rsidRPr="00397F94">
        <w:rPr>
          <w:rFonts w:cs="Tahoma"/>
          <w:b/>
        </w:rPr>
        <w:t xml:space="preserve"> causal links between the impacts of CS&amp;H infrastructure on social economies (e.g. well-being, criminality, health etc.) and business location decisions</w:t>
      </w:r>
      <w:r w:rsidRPr="00397F94">
        <w:rPr>
          <w:rFonts w:cs="Tahoma"/>
        </w:rPr>
        <w:t xml:space="preserve">. </w:t>
      </w:r>
    </w:p>
    <w:p w14:paraId="40113A5D" w14:textId="77777777" w:rsidR="00C17BF2" w:rsidRDefault="00C17BF2" w:rsidP="00C17BF2">
      <w:pPr>
        <w:rPr>
          <w:rFonts w:cs="Tahoma"/>
        </w:rPr>
      </w:pPr>
      <w:r w:rsidRPr="00397F94">
        <w:rPr>
          <w:rFonts w:cs="Tahoma"/>
        </w:rPr>
        <w:t xml:space="preserve">As with option 1, the dependent variable will be a business indicator to be determined, but the independent variables added (to established regression models) would be key selected impacts of CS&amp;H infrastructure. </w:t>
      </w:r>
    </w:p>
    <w:p w14:paraId="5289CE45" w14:textId="77777777" w:rsidR="00511EC8" w:rsidRPr="00397F94" w:rsidRDefault="00511EC8" w:rsidP="00C17BF2">
      <w:pPr>
        <w:rPr>
          <w:rFonts w:cs="Tahoma"/>
        </w:rPr>
      </w:pPr>
    </w:p>
    <w:p w14:paraId="6FF8E536" w14:textId="77777777" w:rsidR="00C17BF2" w:rsidRDefault="00C17BF2" w:rsidP="00C17BF2">
      <w:pPr>
        <w:rPr>
          <w:rFonts w:cs="Arial"/>
        </w:rPr>
      </w:pPr>
      <w:r>
        <w:rPr>
          <w:rFonts w:cs="Arial"/>
          <w:noProof/>
          <w:lang w:eastAsia="en-GB"/>
        </w:rPr>
        <w:drawing>
          <wp:inline distT="0" distB="0" distL="0" distR="0" wp14:anchorId="30A6B257" wp14:editId="0614885A">
            <wp:extent cx="5254625" cy="162433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4625" cy="1624330"/>
                    </a:xfrm>
                    <a:prstGeom prst="rect">
                      <a:avLst/>
                    </a:prstGeom>
                    <a:noFill/>
                    <a:ln>
                      <a:noFill/>
                    </a:ln>
                  </pic:spPr>
                </pic:pic>
              </a:graphicData>
            </a:graphic>
          </wp:inline>
        </w:drawing>
      </w:r>
    </w:p>
    <w:p w14:paraId="15BCA90E" w14:textId="77777777" w:rsidR="009543F0" w:rsidRDefault="009543F0" w:rsidP="00C17BF2">
      <w:pPr>
        <w:rPr>
          <w:rFonts w:cs="Arial"/>
        </w:rPr>
      </w:pPr>
    </w:p>
    <w:p w14:paraId="3A7E4A3E" w14:textId="1A037BF4" w:rsidR="00C17BF2" w:rsidRPr="00397F94" w:rsidRDefault="00C17BF2" w:rsidP="00C17BF2">
      <w:pPr>
        <w:rPr>
          <w:rFonts w:cs="Tahoma"/>
        </w:rPr>
      </w:pPr>
      <w:r w:rsidRPr="00397F94">
        <w:rPr>
          <w:rFonts w:cs="Tahoma"/>
        </w:rPr>
        <w:t>For example, since it is established that concentration of CS&amp;H infrastructure affects well-being indicators, then determining a causal link between business location (or concentration, migration</w:t>
      </w:r>
      <w:r w:rsidR="009543F0">
        <w:rPr>
          <w:rFonts w:cs="Tahoma"/>
        </w:rPr>
        <w:t>,</w:t>
      </w:r>
      <w:r w:rsidRPr="00397F94">
        <w:rPr>
          <w:rFonts w:cs="Tahoma"/>
        </w:rPr>
        <w:t xml:space="preserve"> etc.) and well-being would bring to the light the indirect link between sports and cultural infrastructure and local/regional competitiveness.</w:t>
      </w:r>
      <w:r w:rsidR="00A033C6">
        <w:rPr>
          <w:rFonts w:cs="Tahoma"/>
        </w:rPr>
        <w:t xml:space="preserve"> </w:t>
      </w:r>
      <w:r w:rsidRPr="00397F94">
        <w:rPr>
          <w:rFonts w:cs="Tahoma"/>
        </w:rPr>
        <w:t xml:space="preserve"> </w:t>
      </w:r>
    </w:p>
    <w:p w14:paraId="19F30FA8" w14:textId="112365DB" w:rsidR="00C17BF2" w:rsidRPr="00397F94" w:rsidRDefault="00C17BF2" w:rsidP="00C17BF2">
      <w:pPr>
        <w:rPr>
          <w:rFonts w:cs="Tahoma"/>
        </w:rPr>
      </w:pPr>
      <w:r w:rsidRPr="00397F94">
        <w:rPr>
          <w:rFonts w:cs="Tahoma"/>
        </w:rPr>
        <w:lastRenderedPageBreak/>
        <w:t xml:space="preserve">The challenge for this approach will be that (unless creating a composite indicator reflecting numerous socio-economic indicators) numerous models may need to be run </w:t>
      </w:r>
      <w:r w:rsidR="009543F0">
        <w:rPr>
          <w:rFonts w:cs="Tahoma"/>
        </w:rPr>
        <w:t>to</w:t>
      </w:r>
      <w:r w:rsidR="009543F0" w:rsidRPr="00397F94">
        <w:rPr>
          <w:rFonts w:cs="Tahoma"/>
        </w:rPr>
        <w:t xml:space="preserve"> </w:t>
      </w:r>
      <w:r w:rsidRPr="00397F94">
        <w:rPr>
          <w:rFonts w:cs="Tahoma"/>
        </w:rPr>
        <w:t>elicit the links between business location and respective socio-economic conditions.</w:t>
      </w:r>
      <w:r w:rsidR="00A033C6">
        <w:rPr>
          <w:rFonts w:cs="Tahoma"/>
        </w:rPr>
        <w:t xml:space="preserve"> </w:t>
      </w:r>
      <w:r w:rsidRPr="00397F94">
        <w:rPr>
          <w:rFonts w:cs="Tahoma"/>
        </w:rPr>
        <w:t xml:space="preserve"> </w:t>
      </w:r>
    </w:p>
    <w:p w14:paraId="1CAC5F6C" w14:textId="77777777" w:rsidR="00C17BF2" w:rsidRPr="00245955" w:rsidRDefault="00C17BF2" w:rsidP="00F0636B">
      <w:pPr>
        <w:pStyle w:val="Heading2Numbered"/>
      </w:pPr>
      <w:bookmarkStart w:id="116" w:name="_Toc417910969"/>
      <w:bookmarkStart w:id="117" w:name="_Toc467569640"/>
      <w:r w:rsidRPr="00245955">
        <w:t>Option 3: exploring indirect causal links between CS &amp; H infrastructure and competitiveness through a two-stage approach</w:t>
      </w:r>
      <w:bookmarkEnd w:id="116"/>
      <w:bookmarkEnd w:id="117"/>
    </w:p>
    <w:p w14:paraId="1BD57F57" w14:textId="69B896F0" w:rsidR="00C17BF2" w:rsidRPr="00397F94" w:rsidRDefault="00C17BF2" w:rsidP="00C17BF2">
      <w:pPr>
        <w:rPr>
          <w:rFonts w:cs="Tahoma"/>
        </w:rPr>
      </w:pPr>
      <w:r w:rsidRPr="00397F94">
        <w:rPr>
          <w:rFonts w:cs="Tahoma"/>
        </w:rPr>
        <w:t>Option 3 would be an enhanced version of option 2. If deemed that the quant</w:t>
      </w:r>
      <w:r w:rsidR="009543F0">
        <w:rPr>
          <w:rFonts w:cs="Tahoma"/>
        </w:rPr>
        <w:t>it</w:t>
      </w:r>
      <w:r w:rsidRPr="00397F94">
        <w:rPr>
          <w:rFonts w:cs="Tahoma"/>
        </w:rPr>
        <w:t xml:space="preserve">ative evidence on the links between CS&amp;H infrastructure (concentration and/or investment) and key socio-economic impacts affecting business location (concentration) are not sufficiently determined at a national scale, then this option would aim to test the following hypotheses: </w:t>
      </w:r>
    </w:p>
    <w:p w14:paraId="6882DC8F" w14:textId="77777777" w:rsidR="00C17BF2" w:rsidRPr="00397F94" w:rsidRDefault="00C17BF2" w:rsidP="00F0636B">
      <w:pPr>
        <w:pStyle w:val="Bullet"/>
      </w:pPr>
      <w:r w:rsidRPr="00397F94">
        <w:t xml:space="preserve">Firstly, that </w:t>
      </w:r>
      <w:r w:rsidRPr="00C17BF2">
        <w:t>there are causal links between CS&amp;H infrastructure and key socio-economic impacts, and</w:t>
      </w:r>
    </w:p>
    <w:p w14:paraId="7F543D60" w14:textId="77777777" w:rsidR="00C17BF2" w:rsidRPr="00397F94" w:rsidRDefault="00C17BF2" w:rsidP="00F0636B">
      <w:pPr>
        <w:pStyle w:val="Bullet"/>
      </w:pPr>
      <w:r w:rsidRPr="00397F94">
        <w:t xml:space="preserve">Secondly (as per Option 2) that </w:t>
      </w:r>
      <w:r w:rsidRPr="00C17BF2">
        <w:t>there are causal links between these impacts and concentration (migration etc.) of businesses</w:t>
      </w:r>
    </w:p>
    <w:p w14:paraId="5DC38D80" w14:textId="77777777" w:rsidR="00C17BF2" w:rsidRDefault="00C17BF2" w:rsidP="00C17BF2">
      <w:pPr>
        <w:rPr>
          <w:rFonts w:cs="Arial"/>
        </w:rPr>
      </w:pPr>
      <w:r>
        <w:rPr>
          <w:rFonts w:cs="Arial"/>
        </w:rPr>
        <w:t xml:space="preserve"> </w:t>
      </w:r>
    </w:p>
    <w:p w14:paraId="32184AA2" w14:textId="77777777" w:rsidR="00C17BF2" w:rsidRDefault="00C17BF2" w:rsidP="00C17BF2">
      <w:pPr>
        <w:rPr>
          <w:rFonts w:asciiTheme="minorHAnsi" w:hAnsiTheme="minorHAnsi" w:cstheme="minorBidi"/>
        </w:rPr>
      </w:pPr>
      <w:r>
        <w:rPr>
          <w:noProof/>
          <w:lang w:eastAsia="en-GB"/>
        </w:rPr>
        <w:drawing>
          <wp:inline distT="0" distB="0" distL="0" distR="0" wp14:anchorId="5CBFA8E1" wp14:editId="3FBEA4D1">
            <wp:extent cx="5090795" cy="18967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0795" cy="1896745"/>
                    </a:xfrm>
                    <a:prstGeom prst="rect">
                      <a:avLst/>
                    </a:prstGeom>
                    <a:noFill/>
                    <a:ln>
                      <a:noFill/>
                    </a:ln>
                  </pic:spPr>
                </pic:pic>
              </a:graphicData>
            </a:graphic>
          </wp:inline>
        </w:drawing>
      </w:r>
    </w:p>
    <w:p w14:paraId="698366ED" w14:textId="77777777" w:rsidR="009543F0" w:rsidRDefault="009543F0" w:rsidP="00C17BF2">
      <w:pPr>
        <w:rPr>
          <w:rFonts w:asciiTheme="minorHAnsi" w:hAnsiTheme="minorHAnsi" w:cstheme="minorBidi"/>
        </w:rPr>
      </w:pPr>
    </w:p>
    <w:p w14:paraId="68F3E83D" w14:textId="77777777" w:rsidR="00C17BF2" w:rsidRPr="00397F94" w:rsidRDefault="00C17BF2" w:rsidP="00C17BF2">
      <w:pPr>
        <w:rPr>
          <w:rFonts w:cs="Tahoma"/>
        </w:rPr>
      </w:pPr>
      <w:r w:rsidRPr="00397F94">
        <w:rPr>
          <w:rFonts w:cs="Tahoma"/>
        </w:rPr>
        <w:t xml:space="preserve">For example, if there is a causal link between concentration of sports and cultural infrastructure and criminality levels, and there is also a causal link between criminality levels and business location decisions, then there is a strong case for suggesting that CS&amp;H infrastructure may affect business location decisions and thus local and regional competitiveness. This approach is thus an indirect way of eliciting possible routes through which sports and cultural infrastructure affect economic outcomes for local areas or regions. </w:t>
      </w:r>
    </w:p>
    <w:p w14:paraId="70215F9F" w14:textId="77777777" w:rsidR="00C17BF2" w:rsidRDefault="00C17BF2" w:rsidP="00C17BF2"/>
    <w:p w14:paraId="4B5E5371" w14:textId="77777777" w:rsidR="00C17BF2" w:rsidRDefault="00C17BF2" w:rsidP="00C17BF2"/>
    <w:p w14:paraId="7CB3F97A" w14:textId="77777777" w:rsidR="00C17BF2" w:rsidRDefault="00C17BF2" w:rsidP="00C17BF2">
      <w:pPr>
        <w:pStyle w:val="Heading1"/>
        <w:pageBreakBefore w:val="0"/>
        <w:pBdr>
          <w:bottom w:val="none" w:sz="0" w:space="0" w:color="auto"/>
        </w:pBdr>
        <w:spacing w:before="360" w:after="120"/>
        <w:jc w:val="both"/>
      </w:pPr>
      <w:r>
        <w:br w:type="page"/>
      </w:r>
    </w:p>
    <w:p w14:paraId="534DABDD" w14:textId="082A7555" w:rsidR="00AF1E6B" w:rsidRPr="00AF1E6B" w:rsidRDefault="00AF1E6B" w:rsidP="00AF1E6B">
      <w:pPr>
        <w:pStyle w:val="Heading1Numbered"/>
        <w:rPr>
          <w:lang w:val="en-US"/>
        </w:rPr>
      </w:pPr>
      <w:bookmarkStart w:id="118" w:name="_Toc467569641"/>
      <w:bookmarkStart w:id="119" w:name="_Ref460316349"/>
      <w:bookmarkStart w:id="120" w:name="_Ref460316353"/>
      <w:bookmarkStart w:id="121" w:name="_Ref464204652"/>
      <w:bookmarkStart w:id="122" w:name="_Ref464204674"/>
      <w:r w:rsidRPr="00AF1E6B">
        <w:rPr>
          <w:lang w:val="en-US"/>
        </w:rPr>
        <w:lastRenderedPageBreak/>
        <w:t xml:space="preserve">Appendix </w:t>
      </w:r>
      <w:r w:rsidR="00EE41B4">
        <w:rPr>
          <w:lang w:val="en-US"/>
        </w:rPr>
        <w:t>III</w:t>
      </w:r>
      <w:r>
        <w:rPr>
          <w:lang w:val="en-US"/>
        </w:rPr>
        <w:t xml:space="preserve"> –</w:t>
      </w:r>
      <w:r w:rsidRPr="00AF1E6B">
        <w:rPr>
          <w:lang w:val="en-US"/>
        </w:rPr>
        <w:t xml:space="preserve"> Correlation analysis</w:t>
      </w:r>
      <w:bookmarkEnd w:id="118"/>
    </w:p>
    <w:p w14:paraId="65C72E6D" w14:textId="281FBE97" w:rsidR="00AF1E6B" w:rsidRDefault="00AF1E6B" w:rsidP="005567B2">
      <w:r>
        <w:t>This section presents findings from an initial exploration of the relationships between CS&amp;H assets and investment and local economic performance. This analysis was undertaken in order</w:t>
      </w:r>
      <w:r w:rsidRPr="00C973B0">
        <w:t xml:space="preserve"> to determine whether any </w:t>
      </w:r>
      <w:r>
        <w:t xml:space="preserve">correlation is at play </w:t>
      </w:r>
      <w:r w:rsidRPr="00C973B0">
        <w:t xml:space="preserve">between CS&amp;H infrastructure indicators and </w:t>
      </w:r>
      <w:r>
        <w:t>economic</w:t>
      </w:r>
      <w:r w:rsidRPr="00C973B0">
        <w:t xml:space="preserve"> indicators</w:t>
      </w:r>
      <w:r>
        <w:t xml:space="preserve">, </w:t>
      </w:r>
      <w:r w:rsidRPr="00C973B0">
        <w:t xml:space="preserve">effectively testing whether </w:t>
      </w:r>
      <w:r>
        <w:t xml:space="preserve">the first of our quantitative analysis options (see section </w:t>
      </w:r>
      <w:r>
        <w:fldChar w:fldCharType="begin"/>
      </w:r>
      <w:r>
        <w:instrText xml:space="preserve"> REF _Ref460315918 \r \h </w:instrText>
      </w:r>
      <w:r w:rsidR="005567B2">
        <w:instrText xml:space="preserve"> \* MERGEFORMAT </w:instrText>
      </w:r>
      <w:r>
        <w:fldChar w:fldCharType="separate"/>
      </w:r>
      <w:r w:rsidR="00F0636B">
        <w:t>7:</w:t>
      </w:r>
      <w:r>
        <w:fldChar w:fldCharType="end"/>
      </w:r>
      <w:r>
        <w:t>, p.</w:t>
      </w:r>
      <w:r>
        <w:fldChar w:fldCharType="begin"/>
      </w:r>
      <w:r>
        <w:instrText xml:space="preserve"> PAGEREF _Ref460315918 \h </w:instrText>
      </w:r>
      <w:r>
        <w:fldChar w:fldCharType="separate"/>
      </w:r>
      <w:r w:rsidR="00F0636B">
        <w:rPr>
          <w:noProof/>
        </w:rPr>
        <w:t>82</w:t>
      </w:r>
      <w:r>
        <w:fldChar w:fldCharType="end"/>
      </w:r>
      <w:r>
        <w:t>)</w:t>
      </w:r>
      <w:r w:rsidRPr="00C973B0">
        <w:t xml:space="preserve"> </w:t>
      </w:r>
      <w:r>
        <w:t>would be likely to yield meaningful results</w:t>
      </w:r>
      <w:r w:rsidRPr="00C973B0">
        <w:t xml:space="preserve">. </w:t>
      </w:r>
    </w:p>
    <w:p w14:paraId="254CF014" w14:textId="4CFA2D98" w:rsidR="00AF1E6B" w:rsidRPr="00C973B0" w:rsidRDefault="00AF1E6B" w:rsidP="005567B2">
      <w:r>
        <w:t>Correlations were run between key variables to examine whether relationships exist. Note that correlations were run on static data (i.e. in one year). To test relationships over time, regression analysis is needed.</w:t>
      </w:r>
    </w:p>
    <w:p w14:paraId="13A2F900" w14:textId="42CB000F" w:rsidR="00AF1E6B" w:rsidRDefault="00AF1E6B" w:rsidP="005567B2">
      <w:r>
        <w:t>Initial correlations were run for 2013 using local authorities as the unit of analysis, in order to test whether simple relationships exist. Correlations were re-tested for 2006 where initial findings suggested a strong relationship.</w:t>
      </w:r>
    </w:p>
    <w:p w14:paraId="51B6CDE9" w14:textId="5B6E9767" w:rsidR="00AC62D7" w:rsidRDefault="00AC62D7" w:rsidP="00F0636B">
      <w:pPr>
        <w:pStyle w:val="Heading2Numbered"/>
      </w:pPr>
      <w:bookmarkStart w:id="123" w:name="_Toc467569642"/>
      <w:r>
        <w:t>Key findings</w:t>
      </w:r>
      <w:bookmarkEnd w:id="123"/>
    </w:p>
    <w:p w14:paraId="75571B14" w14:textId="1D9B2258" w:rsidR="00AF1E6B" w:rsidRDefault="00AC62D7" w:rsidP="005567B2">
      <w:r>
        <w:fldChar w:fldCharType="begin"/>
      </w:r>
      <w:r>
        <w:instrText xml:space="preserve"> REF _Ref464211866 \h </w:instrText>
      </w:r>
      <w:r>
        <w:fldChar w:fldCharType="separate"/>
      </w:r>
      <w:r w:rsidR="00F0636B">
        <w:t xml:space="preserve">Table </w:t>
      </w:r>
      <w:r w:rsidR="00F0636B">
        <w:rPr>
          <w:noProof/>
        </w:rPr>
        <w:t>10</w:t>
      </w:r>
      <w:r>
        <w:fldChar w:fldCharType="end"/>
      </w:r>
      <w:r>
        <w:t xml:space="preserve"> </w:t>
      </w:r>
      <w:r w:rsidR="00AF1E6B">
        <w:t>shows the results for correlations between indicators of competitiveness and CS&amp;H investment in 2013.</w:t>
      </w:r>
    </w:p>
    <w:p w14:paraId="5520CB4A" w14:textId="77777777" w:rsidR="00AC62D7" w:rsidRDefault="00AC62D7" w:rsidP="005567B2"/>
    <w:p w14:paraId="64756153" w14:textId="01FA6CCA" w:rsidR="00AC62D7" w:rsidRDefault="00AC62D7" w:rsidP="00F0636B">
      <w:pPr>
        <w:pStyle w:val="Caption"/>
      </w:pPr>
      <w:bookmarkStart w:id="124" w:name="_Ref464211866"/>
      <w:bookmarkStart w:id="125" w:name="_Toc467569665"/>
      <w:r>
        <w:t xml:space="preserve">Table </w:t>
      </w:r>
      <w:r w:rsidR="003D0350">
        <w:fldChar w:fldCharType="begin"/>
      </w:r>
      <w:r w:rsidR="003D0350">
        <w:instrText xml:space="preserve"> SEQ Table \* ARABIC </w:instrText>
      </w:r>
      <w:r w:rsidR="003D0350">
        <w:fldChar w:fldCharType="separate"/>
      </w:r>
      <w:r w:rsidR="00F0636B">
        <w:rPr>
          <w:noProof/>
        </w:rPr>
        <w:t>10</w:t>
      </w:r>
      <w:r w:rsidR="003D0350">
        <w:rPr>
          <w:noProof/>
        </w:rPr>
        <w:fldChar w:fldCharType="end"/>
      </w:r>
      <w:bookmarkEnd w:id="124"/>
      <w:r>
        <w:t xml:space="preserve">: </w:t>
      </w:r>
      <w:r w:rsidR="0016776E">
        <w:t>Selected c</w:t>
      </w:r>
      <w:r w:rsidRPr="00AC62D7">
        <w:t>orrelations between CS&amp;H investment</w:t>
      </w:r>
      <w:r>
        <w:t xml:space="preserve"> and economic indicators</w:t>
      </w:r>
      <w:r w:rsidRPr="00AC62D7">
        <w:t>, 2013</w:t>
      </w:r>
      <w:bookmarkEnd w:id="125"/>
    </w:p>
    <w:tbl>
      <w:tblPr>
        <w:tblStyle w:val="TableGrid"/>
        <w:tblW w:w="0" w:type="auto"/>
        <w:tblLayout w:type="fixed"/>
        <w:tblLook w:val="04A0" w:firstRow="1" w:lastRow="0" w:firstColumn="1" w:lastColumn="0" w:noHBand="0" w:noVBand="1"/>
      </w:tblPr>
      <w:tblGrid>
        <w:gridCol w:w="2376"/>
        <w:gridCol w:w="799"/>
        <w:gridCol w:w="799"/>
        <w:gridCol w:w="800"/>
        <w:gridCol w:w="799"/>
        <w:gridCol w:w="799"/>
        <w:gridCol w:w="800"/>
        <w:gridCol w:w="799"/>
        <w:gridCol w:w="799"/>
        <w:gridCol w:w="800"/>
      </w:tblGrid>
      <w:tr w:rsidR="00AC62D7" w:rsidRPr="00AC62D7" w14:paraId="26AA8E0C" w14:textId="77777777" w:rsidTr="00F0636B">
        <w:trPr>
          <w:cantSplit/>
          <w:trHeight w:val="2131"/>
        </w:trPr>
        <w:tc>
          <w:tcPr>
            <w:tcW w:w="2376" w:type="dxa"/>
            <w:hideMark/>
          </w:tcPr>
          <w:p w14:paraId="6BD0BC8B" w14:textId="77777777" w:rsidR="00AC62D7" w:rsidRPr="00F0636B" w:rsidRDefault="00AC62D7" w:rsidP="00F0636B">
            <w:pPr>
              <w:spacing w:before="40" w:after="40"/>
              <w:ind w:left="0"/>
              <w:rPr>
                <w:sz w:val="18"/>
                <w:szCs w:val="18"/>
              </w:rPr>
            </w:pPr>
          </w:p>
        </w:tc>
        <w:tc>
          <w:tcPr>
            <w:tcW w:w="799" w:type="dxa"/>
            <w:textDirection w:val="btLr"/>
            <w:vAlign w:val="bottom"/>
            <w:hideMark/>
          </w:tcPr>
          <w:p w14:paraId="41DDFF48" w14:textId="77777777" w:rsidR="00AC62D7" w:rsidRPr="00F0636B" w:rsidRDefault="00AC62D7" w:rsidP="00F0636B">
            <w:pPr>
              <w:spacing w:before="0"/>
              <w:ind w:left="113" w:right="113"/>
              <w:rPr>
                <w:sz w:val="18"/>
                <w:szCs w:val="18"/>
              </w:rPr>
            </w:pPr>
            <w:r w:rsidRPr="00F0636B">
              <w:rPr>
                <w:sz w:val="18"/>
                <w:szCs w:val="18"/>
              </w:rPr>
              <w:t>Total number of firms</w:t>
            </w:r>
          </w:p>
        </w:tc>
        <w:tc>
          <w:tcPr>
            <w:tcW w:w="799" w:type="dxa"/>
            <w:textDirection w:val="btLr"/>
            <w:vAlign w:val="bottom"/>
            <w:hideMark/>
          </w:tcPr>
          <w:p w14:paraId="7C973E73" w14:textId="77777777" w:rsidR="00AC62D7" w:rsidRPr="00F0636B" w:rsidRDefault="00AC62D7" w:rsidP="00F0636B">
            <w:pPr>
              <w:spacing w:before="0"/>
              <w:ind w:left="113" w:right="113"/>
              <w:rPr>
                <w:sz w:val="18"/>
                <w:szCs w:val="18"/>
              </w:rPr>
            </w:pPr>
            <w:r w:rsidRPr="00F0636B">
              <w:rPr>
                <w:sz w:val="18"/>
                <w:szCs w:val="18"/>
              </w:rPr>
              <w:t>Total turnover of all firms</w:t>
            </w:r>
          </w:p>
        </w:tc>
        <w:tc>
          <w:tcPr>
            <w:tcW w:w="800" w:type="dxa"/>
            <w:textDirection w:val="btLr"/>
            <w:vAlign w:val="bottom"/>
            <w:hideMark/>
          </w:tcPr>
          <w:p w14:paraId="5143C50D" w14:textId="77777777" w:rsidR="00AC62D7" w:rsidRPr="00F0636B" w:rsidRDefault="00AC62D7" w:rsidP="00F0636B">
            <w:pPr>
              <w:spacing w:before="0"/>
              <w:ind w:left="113" w:right="113"/>
              <w:rPr>
                <w:sz w:val="18"/>
                <w:szCs w:val="18"/>
              </w:rPr>
            </w:pPr>
            <w:r w:rsidRPr="00F0636B">
              <w:rPr>
                <w:sz w:val="18"/>
                <w:szCs w:val="18"/>
              </w:rPr>
              <w:t>Turnover growth rate of all firms</w:t>
            </w:r>
          </w:p>
        </w:tc>
        <w:tc>
          <w:tcPr>
            <w:tcW w:w="799" w:type="dxa"/>
            <w:textDirection w:val="btLr"/>
            <w:vAlign w:val="bottom"/>
            <w:hideMark/>
          </w:tcPr>
          <w:p w14:paraId="2FEB668E" w14:textId="77777777" w:rsidR="00AC62D7" w:rsidRPr="00F0636B" w:rsidRDefault="00AC62D7" w:rsidP="00F0636B">
            <w:pPr>
              <w:spacing w:before="0"/>
              <w:ind w:left="113" w:right="113"/>
              <w:rPr>
                <w:sz w:val="18"/>
                <w:szCs w:val="18"/>
              </w:rPr>
            </w:pPr>
            <w:r w:rsidRPr="00F0636B">
              <w:rPr>
                <w:sz w:val="18"/>
                <w:szCs w:val="18"/>
              </w:rPr>
              <w:t>Number of creative industries firms</w:t>
            </w:r>
          </w:p>
        </w:tc>
        <w:tc>
          <w:tcPr>
            <w:tcW w:w="799" w:type="dxa"/>
            <w:textDirection w:val="btLr"/>
            <w:vAlign w:val="bottom"/>
            <w:hideMark/>
          </w:tcPr>
          <w:p w14:paraId="74CA1F76" w14:textId="77777777" w:rsidR="00AC62D7" w:rsidRPr="00F0636B" w:rsidRDefault="00AC62D7" w:rsidP="00F0636B">
            <w:pPr>
              <w:spacing w:before="0"/>
              <w:ind w:left="113" w:right="113"/>
              <w:rPr>
                <w:sz w:val="18"/>
                <w:szCs w:val="18"/>
              </w:rPr>
            </w:pPr>
            <w:r w:rsidRPr="00F0636B">
              <w:rPr>
                <w:sz w:val="18"/>
                <w:szCs w:val="18"/>
              </w:rPr>
              <w:t>Creative industries firms per capita</w:t>
            </w:r>
          </w:p>
        </w:tc>
        <w:tc>
          <w:tcPr>
            <w:tcW w:w="800" w:type="dxa"/>
            <w:textDirection w:val="btLr"/>
            <w:vAlign w:val="bottom"/>
            <w:hideMark/>
          </w:tcPr>
          <w:p w14:paraId="0925F5D2" w14:textId="77777777" w:rsidR="00AC62D7" w:rsidRPr="00F0636B" w:rsidRDefault="00AC62D7" w:rsidP="00F0636B">
            <w:pPr>
              <w:spacing w:before="0"/>
              <w:ind w:left="113" w:right="113"/>
              <w:rPr>
                <w:sz w:val="18"/>
                <w:szCs w:val="18"/>
              </w:rPr>
            </w:pPr>
            <w:r w:rsidRPr="00F0636B">
              <w:rPr>
                <w:sz w:val="18"/>
                <w:szCs w:val="18"/>
              </w:rPr>
              <w:t>Creative industries firms LQ</w:t>
            </w:r>
          </w:p>
        </w:tc>
        <w:tc>
          <w:tcPr>
            <w:tcW w:w="799" w:type="dxa"/>
            <w:textDirection w:val="btLr"/>
            <w:vAlign w:val="bottom"/>
            <w:hideMark/>
          </w:tcPr>
          <w:p w14:paraId="105427D3" w14:textId="77777777" w:rsidR="00AC62D7" w:rsidRPr="00F0636B" w:rsidRDefault="00AC62D7" w:rsidP="00F0636B">
            <w:pPr>
              <w:spacing w:before="0"/>
              <w:ind w:left="113" w:right="113"/>
              <w:rPr>
                <w:sz w:val="18"/>
                <w:szCs w:val="18"/>
              </w:rPr>
            </w:pPr>
            <w:r w:rsidRPr="00F0636B">
              <w:rPr>
                <w:sz w:val="18"/>
                <w:szCs w:val="18"/>
              </w:rPr>
              <w:t>Net migration of creative industries firms</w:t>
            </w:r>
          </w:p>
        </w:tc>
        <w:tc>
          <w:tcPr>
            <w:tcW w:w="799" w:type="dxa"/>
            <w:textDirection w:val="btLr"/>
            <w:vAlign w:val="bottom"/>
            <w:hideMark/>
          </w:tcPr>
          <w:p w14:paraId="0788756A" w14:textId="77777777" w:rsidR="00AC62D7" w:rsidRPr="00F0636B" w:rsidRDefault="00AC62D7" w:rsidP="00F0636B">
            <w:pPr>
              <w:spacing w:before="0"/>
              <w:ind w:left="113" w:right="113"/>
              <w:rPr>
                <w:sz w:val="18"/>
                <w:szCs w:val="18"/>
              </w:rPr>
            </w:pPr>
            <w:r w:rsidRPr="00F0636B">
              <w:rPr>
                <w:sz w:val="18"/>
                <w:szCs w:val="18"/>
              </w:rPr>
              <w:t>Turnover of creative industries firms</w:t>
            </w:r>
          </w:p>
        </w:tc>
        <w:tc>
          <w:tcPr>
            <w:tcW w:w="800" w:type="dxa"/>
            <w:textDirection w:val="btLr"/>
            <w:vAlign w:val="bottom"/>
            <w:hideMark/>
          </w:tcPr>
          <w:p w14:paraId="190D19FC" w14:textId="77777777" w:rsidR="00AC62D7" w:rsidRPr="00F0636B" w:rsidRDefault="00AC62D7" w:rsidP="00F0636B">
            <w:pPr>
              <w:spacing w:before="0"/>
              <w:ind w:left="113" w:right="113"/>
              <w:rPr>
                <w:sz w:val="18"/>
                <w:szCs w:val="18"/>
              </w:rPr>
            </w:pPr>
            <w:r w:rsidRPr="00F0636B">
              <w:rPr>
                <w:sz w:val="18"/>
                <w:szCs w:val="18"/>
              </w:rPr>
              <w:t>Turnover growth rate of creative industries firms</w:t>
            </w:r>
          </w:p>
        </w:tc>
      </w:tr>
      <w:tr w:rsidR="00AC62D7" w:rsidRPr="00AC62D7" w14:paraId="214F75C9" w14:textId="77777777" w:rsidTr="00F0636B">
        <w:trPr>
          <w:trHeight w:val="285"/>
        </w:trPr>
        <w:tc>
          <w:tcPr>
            <w:tcW w:w="2376" w:type="dxa"/>
            <w:noWrap/>
            <w:hideMark/>
          </w:tcPr>
          <w:p w14:paraId="7818305B" w14:textId="77777777" w:rsidR="00AC62D7" w:rsidRPr="00F0636B" w:rsidRDefault="00AC62D7" w:rsidP="00F0636B">
            <w:pPr>
              <w:spacing w:before="40" w:after="40"/>
              <w:ind w:left="0"/>
              <w:rPr>
                <w:sz w:val="18"/>
                <w:szCs w:val="18"/>
              </w:rPr>
            </w:pPr>
            <w:r w:rsidRPr="00F0636B">
              <w:rPr>
                <w:sz w:val="18"/>
                <w:szCs w:val="18"/>
              </w:rPr>
              <w:t>Total CS&amp;H investment</w:t>
            </w:r>
          </w:p>
        </w:tc>
        <w:tc>
          <w:tcPr>
            <w:tcW w:w="799" w:type="dxa"/>
            <w:noWrap/>
            <w:vAlign w:val="center"/>
            <w:hideMark/>
          </w:tcPr>
          <w:p w14:paraId="530416A2" w14:textId="77777777" w:rsidR="00AC62D7" w:rsidRPr="00F0636B" w:rsidRDefault="00AC62D7" w:rsidP="00F0636B">
            <w:pPr>
              <w:spacing w:before="40" w:after="40"/>
              <w:ind w:left="0"/>
              <w:jc w:val="right"/>
              <w:rPr>
                <w:sz w:val="18"/>
                <w:szCs w:val="18"/>
              </w:rPr>
            </w:pPr>
            <w:r w:rsidRPr="00F0636B">
              <w:rPr>
                <w:sz w:val="18"/>
                <w:szCs w:val="18"/>
              </w:rPr>
              <w:t>0.78</w:t>
            </w:r>
          </w:p>
        </w:tc>
        <w:tc>
          <w:tcPr>
            <w:tcW w:w="799" w:type="dxa"/>
            <w:noWrap/>
            <w:vAlign w:val="center"/>
            <w:hideMark/>
          </w:tcPr>
          <w:p w14:paraId="5EE51D31" w14:textId="77777777" w:rsidR="00AC62D7" w:rsidRPr="00F0636B" w:rsidRDefault="00AC62D7" w:rsidP="00F0636B">
            <w:pPr>
              <w:spacing w:before="40" w:after="40"/>
              <w:ind w:left="0"/>
              <w:jc w:val="right"/>
              <w:rPr>
                <w:sz w:val="18"/>
                <w:szCs w:val="18"/>
              </w:rPr>
            </w:pPr>
            <w:r w:rsidRPr="00F0636B">
              <w:rPr>
                <w:sz w:val="18"/>
                <w:szCs w:val="18"/>
              </w:rPr>
              <w:t>0.43</w:t>
            </w:r>
          </w:p>
        </w:tc>
        <w:tc>
          <w:tcPr>
            <w:tcW w:w="800" w:type="dxa"/>
            <w:noWrap/>
            <w:vAlign w:val="center"/>
            <w:hideMark/>
          </w:tcPr>
          <w:p w14:paraId="169DC090" w14:textId="77777777" w:rsidR="00AC62D7" w:rsidRPr="00F0636B" w:rsidRDefault="00AC62D7" w:rsidP="00F0636B">
            <w:pPr>
              <w:spacing w:before="40" w:after="40"/>
              <w:ind w:left="0"/>
              <w:jc w:val="right"/>
              <w:rPr>
                <w:sz w:val="18"/>
                <w:szCs w:val="18"/>
              </w:rPr>
            </w:pPr>
            <w:r w:rsidRPr="00F0636B">
              <w:rPr>
                <w:sz w:val="18"/>
                <w:szCs w:val="18"/>
              </w:rPr>
              <w:t>0.04</w:t>
            </w:r>
          </w:p>
        </w:tc>
        <w:tc>
          <w:tcPr>
            <w:tcW w:w="799" w:type="dxa"/>
            <w:noWrap/>
            <w:vAlign w:val="center"/>
            <w:hideMark/>
          </w:tcPr>
          <w:p w14:paraId="3CF10D09" w14:textId="77777777" w:rsidR="00AC62D7" w:rsidRPr="00F0636B" w:rsidRDefault="00AC62D7" w:rsidP="00F0636B">
            <w:pPr>
              <w:spacing w:before="40" w:after="40"/>
              <w:ind w:left="0"/>
              <w:jc w:val="right"/>
              <w:rPr>
                <w:sz w:val="18"/>
                <w:szCs w:val="18"/>
              </w:rPr>
            </w:pPr>
            <w:r w:rsidRPr="00F0636B">
              <w:rPr>
                <w:sz w:val="18"/>
                <w:szCs w:val="18"/>
              </w:rPr>
              <w:t>0.64</w:t>
            </w:r>
          </w:p>
        </w:tc>
        <w:tc>
          <w:tcPr>
            <w:tcW w:w="799" w:type="dxa"/>
            <w:noWrap/>
            <w:vAlign w:val="center"/>
            <w:hideMark/>
          </w:tcPr>
          <w:p w14:paraId="068DD901" w14:textId="77777777" w:rsidR="00AC62D7" w:rsidRPr="00F0636B" w:rsidRDefault="00AC62D7" w:rsidP="00F0636B">
            <w:pPr>
              <w:spacing w:before="40" w:after="40"/>
              <w:ind w:left="0"/>
              <w:jc w:val="right"/>
              <w:rPr>
                <w:sz w:val="18"/>
                <w:szCs w:val="18"/>
              </w:rPr>
            </w:pPr>
            <w:r w:rsidRPr="00F0636B">
              <w:rPr>
                <w:sz w:val="18"/>
                <w:szCs w:val="18"/>
              </w:rPr>
              <w:t>0.09</w:t>
            </w:r>
          </w:p>
        </w:tc>
        <w:tc>
          <w:tcPr>
            <w:tcW w:w="800" w:type="dxa"/>
            <w:noWrap/>
            <w:vAlign w:val="center"/>
            <w:hideMark/>
          </w:tcPr>
          <w:p w14:paraId="0ACAC0D3" w14:textId="77777777" w:rsidR="00AC62D7" w:rsidRPr="00F0636B" w:rsidRDefault="00AC62D7" w:rsidP="00F0636B">
            <w:pPr>
              <w:spacing w:before="40" w:after="40"/>
              <w:ind w:left="0"/>
              <w:jc w:val="right"/>
              <w:rPr>
                <w:sz w:val="18"/>
                <w:szCs w:val="18"/>
              </w:rPr>
            </w:pPr>
            <w:r w:rsidRPr="00F0636B">
              <w:rPr>
                <w:sz w:val="18"/>
                <w:szCs w:val="18"/>
              </w:rPr>
              <w:t>-0.07</w:t>
            </w:r>
          </w:p>
        </w:tc>
        <w:tc>
          <w:tcPr>
            <w:tcW w:w="799" w:type="dxa"/>
            <w:noWrap/>
            <w:vAlign w:val="center"/>
            <w:hideMark/>
          </w:tcPr>
          <w:p w14:paraId="1F5420BE" w14:textId="77777777" w:rsidR="00AC62D7" w:rsidRPr="00F0636B" w:rsidRDefault="00AC62D7" w:rsidP="00F0636B">
            <w:pPr>
              <w:spacing w:before="40" w:after="40"/>
              <w:ind w:left="0"/>
              <w:jc w:val="right"/>
              <w:rPr>
                <w:sz w:val="18"/>
                <w:szCs w:val="18"/>
              </w:rPr>
            </w:pPr>
            <w:r w:rsidRPr="00F0636B">
              <w:rPr>
                <w:sz w:val="18"/>
                <w:szCs w:val="18"/>
              </w:rPr>
              <w:t>-0.38</w:t>
            </w:r>
          </w:p>
        </w:tc>
        <w:tc>
          <w:tcPr>
            <w:tcW w:w="799" w:type="dxa"/>
            <w:noWrap/>
            <w:vAlign w:val="center"/>
            <w:hideMark/>
          </w:tcPr>
          <w:p w14:paraId="7978D470" w14:textId="77777777" w:rsidR="00AC62D7" w:rsidRPr="00F0636B" w:rsidRDefault="00AC62D7" w:rsidP="00F0636B">
            <w:pPr>
              <w:spacing w:before="40" w:after="40"/>
              <w:ind w:left="0"/>
              <w:jc w:val="right"/>
              <w:rPr>
                <w:sz w:val="18"/>
                <w:szCs w:val="18"/>
              </w:rPr>
            </w:pPr>
            <w:r w:rsidRPr="00F0636B">
              <w:rPr>
                <w:sz w:val="18"/>
                <w:szCs w:val="18"/>
              </w:rPr>
              <w:t>0.42</w:t>
            </w:r>
          </w:p>
        </w:tc>
        <w:tc>
          <w:tcPr>
            <w:tcW w:w="800" w:type="dxa"/>
            <w:noWrap/>
            <w:vAlign w:val="center"/>
            <w:hideMark/>
          </w:tcPr>
          <w:p w14:paraId="2B7ACE77" w14:textId="77777777" w:rsidR="00AC62D7" w:rsidRPr="00F0636B" w:rsidRDefault="00AC62D7" w:rsidP="00F0636B">
            <w:pPr>
              <w:spacing w:before="40" w:after="40"/>
              <w:ind w:left="0"/>
              <w:jc w:val="right"/>
              <w:rPr>
                <w:sz w:val="18"/>
                <w:szCs w:val="18"/>
              </w:rPr>
            </w:pPr>
            <w:r w:rsidRPr="00F0636B">
              <w:rPr>
                <w:sz w:val="18"/>
                <w:szCs w:val="18"/>
              </w:rPr>
              <w:t>0.3</w:t>
            </w:r>
          </w:p>
        </w:tc>
      </w:tr>
      <w:tr w:rsidR="00AC62D7" w:rsidRPr="00AC62D7" w14:paraId="0EE065BF" w14:textId="77777777" w:rsidTr="00F0636B">
        <w:trPr>
          <w:trHeight w:val="285"/>
        </w:trPr>
        <w:tc>
          <w:tcPr>
            <w:tcW w:w="2376" w:type="dxa"/>
            <w:noWrap/>
            <w:hideMark/>
          </w:tcPr>
          <w:p w14:paraId="00666F99" w14:textId="77777777" w:rsidR="00AC62D7" w:rsidRPr="00F0636B" w:rsidRDefault="00AC62D7" w:rsidP="00F0636B">
            <w:pPr>
              <w:spacing w:before="40" w:after="40"/>
              <w:ind w:left="0"/>
              <w:rPr>
                <w:sz w:val="18"/>
                <w:szCs w:val="18"/>
              </w:rPr>
            </w:pPr>
            <w:r w:rsidRPr="00F0636B">
              <w:rPr>
                <w:sz w:val="18"/>
                <w:szCs w:val="18"/>
              </w:rPr>
              <w:t>CS&amp;H investment, lagged one year</w:t>
            </w:r>
          </w:p>
        </w:tc>
        <w:tc>
          <w:tcPr>
            <w:tcW w:w="799" w:type="dxa"/>
            <w:noWrap/>
            <w:vAlign w:val="center"/>
            <w:hideMark/>
          </w:tcPr>
          <w:p w14:paraId="74D3F04F" w14:textId="77777777" w:rsidR="00AC62D7" w:rsidRPr="00F0636B" w:rsidRDefault="00AC62D7" w:rsidP="00F0636B">
            <w:pPr>
              <w:spacing w:before="40" w:after="40"/>
              <w:ind w:left="0"/>
              <w:jc w:val="right"/>
              <w:rPr>
                <w:sz w:val="18"/>
                <w:szCs w:val="18"/>
              </w:rPr>
            </w:pPr>
            <w:r w:rsidRPr="00F0636B">
              <w:rPr>
                <w:sz w:val="18"/>
                <w:szCs w:val="18"/>
              </w:rPr>
              <w:t>0.78</w:t>
            </w:r>
          </w:p>
        </w:tc>
        <w:tc>
          <w:tcPr>
            <w:tcW w:w="799" w:type="dxa"/>
            <w:noWrap/>
            <w:vAlign w:val="center"/>
            <w:hideMark/>
          </w:tcPr>
          <w:p w14:paraId="01B6FB98" w14:textId="77777777" w:rsidR="00AC62D7" w:rsidRPr="00F0636B" w:rsidRDefault="00AC62D7" w:rsidP="00F0636B">
            <w:pPr>
              <w:spacing w:before="40" w:after="40"/>
              <w:ind w:left="0"/>
              <w:jc w:val="right"/>
              <w:rPr>
                <w:sz w:val="18"/>
                <w:szCs w:val="18"/>
              </w:rPr>
            </w:pPr>
            <w:r w:rsidRPr="00F0636B">
              <w:rPr>
                <w:sz w:val="18"/>
                <w:szCs w:val="18"/>
              </w:rPr>
              <w:t>0.41</w:t>
            </w:r>
          </w:p>
        </w:tc>
        <w:tc>
          <w:tcPr>
            <w:tcW w:w="800" w:type="dxa"/>
            <w:noWrap/>
            <w:vAlign w:val="center"/>
            <w:hideMark/>
          </w:tcPr>
          <w:p w14:paraId="63DE9F81" w14:textId="77777777" w:rsidR="00AC62D7" w:rsidRPr="00F0636B" w:rsidRDefault="00AC62D7" w:rsidP="00F0636B">
            <w:pPr>
              <w:spacing w:before="40" w:after="40"/>
              <w:ind w:left="0"/>
              <w:jc w:val="right"/>
              <w:rPr>
                <w:sz w:val="18"/>
                <w:szCs w:val="18"/>
              </w:rPr>
            </w:pPr>
            <w:r w:rsidRPr="00F0636B">
              <w:rPr>
                <w:sz w:val="18"/>
                <w:szCs w:val="18"/>
              </w:rPr>
              <w:t>0.03</w:t>
            </w:r>
          </w:p>
        </w:tc>
        <w:tc>
          <w:tcPr>
            <w:tcW w:w="799" w:type="dxa"/>
            <w:noWrap/>
            <w:vAlign w:val="center"/>
            <w:hideMark/>
          </w:tcPr>
          <w:p w14:paraId="6E99F4ED" w14:textId="77777777" w:rsidR="00AC62D7" w:rsidRPr="00F0636B" w:rsidRDefault="00AC62D7" w:rsidP="00F0636B">
            <w:pPr>
              <w:spacing w:before="40" w:after="40"/>
              <w:ind w:left="0"/>
              <w:jc w:val="right"/>
              <w:rPr>
                <w:sz w:val="18"/>
                <w:szCs w:val="18"/>
              </w:rPr>
            </w:pPr>
            <w:r w:rsidRPr="00F0636B">
              <w:rPr>
                <w:sz w:val="18"/>
                <w:szCs w:val="18"/>
              </w:rPr>
              <w:t>0.65</w:t>
            </w:r>
          </w:p>
        </w:tc>
        <w:tc>
          <w:tcPr>
            <w:tcW w:w="799" w:type="dxa"/>
            <w:noWrap/>
            <w:vAlign w:val="center"/>
            <w:hideMark/>
          </w:tcPr>
          <w:p w14:paraId="23560982" w14:textId="77777777" w:rsidR="00AC62D7" w:rsidRPr="00F0636B" w:rsidRDefault="00AC62D7" w:rsidP="00F0636B">
            <w:pPr>
              <w:spacing w:before="40" w:after="40"/>
              <w:ind w:left="0"/>
              <w:jc w:val="right"/>
              <w:rPr>
                <w:sz w:val="18"/>
                <w:szCs w:val="18"/>
              </w:rPr>
            </w:pPr>
            <w:r w:rsidRPr="00F0636B">
              <w:rPr>
                <w:sz w:val="18"/>
                <w:szCs w:val="18"/>
              </w:rPr>
              <w:t>0.08</w:t>
            </w:r>
          </w:p>
        </w:tc>
        <w:tc>
          <w:tcPr>
            <w:tcW w:w="800" w:type="dxa"/>
            <w:noWrap/>
            <w:vAlign w:val="center"/>
            <w:hideMark/>
          </w:tcPr>
          <w:p w14:paraId="36B778CC" w14:textId="77777777" w:rsidR="00AC62D7" w:rsidRPr="00F0636B" w:rsidRDefault="00AC62D7" w:rsidP="00F0636B">
            <w:pPr>
              <w:spacing w:before="40" w:after="40"/>
              <w:ind w:left="0"/>
              <w:jc w:val="right"/>
              <w:rPr>
                <w:sz w:val="18"/>
                <w:szCs w:val="18"/>
              </w:rPr>
            </w:pPr>
            <w:r w:rsidRPr="00F0636B">
              <w:rPr>
                <w:sz w:val="18"/>
                <w:szCs w:val="18"/>
              </w:rPr>
              <w:t>-0.08</w:t>
            </w:r>
          </w:p>
        </w:tc>
        <w:tc>
          <w:tcPr>
            <w:tcW w:w="799" w:type="dxa"/>
            <w:noWrap/>
            <w:vAlign w:val="center"/>
            <w:hideMark/>
          </w:tcPr>
          <w:p w14:paraId="37A20945" w14:textId="77777777" w:rsidR="00AC62D7" w:rsidRPr="00F0636B" w:rsidRDefault="00AC62D7" w:rsidP="00F0636B">
            <w:pPr>
              <w:spacing w:before="40" w:after="40"/>
              <w:ind w:left="0"/>
              <w:jc w:val="right"/>
              <w:rPr>
                <w:sz w:val="18"/>
                <w:szCs w:val="18"/>
              </w:rPr>
            </w:pPr>
            <w:r w:rsidRPr="00F0636B">
              <w:rPr>
                <w:sz w:val="18"/>
                <w:szCs w:val="18"/>
              </w:rPr>
              <w:t>-0.33</w:t>
            </w:r>
          </w:p>
        </w:tc>
        <w:tc>
          <w:tcPr>
            <w:tcW w:w="799" w:type="dxa"/>
            <w:noWrap/>
            <w:vAlign w:val="center"/>
            <w:hideMark/>
          </w:tcPr>
          <w:p w14:paraId="5E4A69C4" w14:textId="77777777" w:rsidR="00AC62D7" w:rsidRPr="00F0636B" w:rsidRDefault="00AC62D7" w:rsidP="00F0636B">
            <w:pPr>
              <w:spacing w:before="40" w:after="40"/>
              <w:ind w:left="0"/>
              <w:jc w:val="right"/>
              <w:rPr>
                <w:sz w:val="18"/>
                <w:szCs w:val="18"/>
              </w:rPr>
            </w:pPr>
            <w:r w:rsidRPr="00F0636B">
              <w:rPr>
                <w:sz w:val="18"/>
                <w:szCs w:val="18"/>
              </w:rPr>
              <w:t>0.43</w:t>
            </w:r>
          </w:p>
        </w:tc>
        <w:tc>
          <w:tcPr>
            <w:tcW w:w="800" w:type="dxa"/>
            <w:noWrap/>
            <w:vAlign w:val="center"/>
            <w:hideMark/>
          </w:tcPr>
          <w:p w14:paraId="67C86BE7" w14:textId="77777777" w:rsidR="00AC62D7" w:rsidRPr="00F0636B" w:rsidRDefault="00AC62D7" w:rsidP="00F0636B">
            <w:pPr>
              <w:spacing w:before="40" w:after="40"/>
              <w:ind w:left="0"/>
              <w:jc w:val="right"/>
              <w:rPr>
                <w:sz w:val="18"/>
                <w:szCs w:val="18"/>
              </w:rPr>
            </w:pPr>
            <w:r w:rsidRPr="00F0636B">
              <w:rPr>
                <w:sz w:val="18"/>
                <w:szCs w:val="18"/>
              </w:rPr>
              <w:t>0.3</w:t>
            </w:r>
          </w:p>
        </w:tc>
      </w:tr>
      <w:tr w:rsidR="00AC62D7" w:rsidRPr="00AC62D7" w14:paraId="72E92AD7" w14:textId="77777777" w:rsidTr="00F0636B">
        <w:trPr>
          <w:trHeight w:val="285"/>
        </w:trPr>
        <w:tc>
          <w:tcPr>
            <w:tcW w:w="2376" w:type="dxa"/>
            <w:noWrap/>
            <w:hideMark/>
          </w:tcPr>
          <w:p w14:paraId="51AC0848" w14:textId="77777777" w:rsidR="00AC62D7" w:rsidRPr="00F0636B" w:rsidRDefault="00AC62D7" w:rsidP="00F0636B">
            <w:pPr>
              <w:spacing w:before="40" w:after="40"/>
              <w:ind w:left="0"/>
              <w:rPr>
                <w:sz w:val="18"/>
                <w:szCs w:val="18"/>
              </w:rPr>
            </w:pPr>
            <w:r w:rsidRPr="00F0636B">
              <w:rPr>
                <w:sz w:val="18"/>
                <w:szCs w:val="18"/>
              </w:rPr>
              <w:t>CS&amp;H investment, lagged two years</w:t>
            </w:r>
          </w:p>
        </w:tc>
        <w:tc>
          <w:tcPr>
            <w:tcW w:w="799" w:type="dxa"/>
            <w:noWrap/>
            <w:vAlign w:val="center"/>
            <w:hideMark/>
          </w:tcPr>
          <w:p w14:paraId="4FC69F53" w14:textId="77777777" w:rsidR="00AC62D7" w:rsidRPr="00F0636B" w:rsidRDefault="00AC62D7" w:rsidP="00F0636B">
            <w:pPr>
              <w:spacing w:before="40" w:after="40"/>
              <w:ind w:left="0"/>
              <w:jc w:val="right"/>
              <w:rPr>
                <w:sz w:val="18"/>
                <w:szCs w:val="18"/>
              </w:rPr>
            </w:pPr>
            <w:r w:rsidRPr="00F0636B">
              <w:rPr>
                <w:sz w:val="18"/>
                <w:szCs w:val="18"/>
              </w:rPr>
              <w:t>0.65</w:t>
            </w:r>
          </w:p>
        </w:tc>
        <w:tc>
          <w:tcPr>
            <w:tcW w:w="799" w:type="dxa"/>
            <w:noWrap/>
            <w:vAlign w:val="center"/>
            <w:hideMark/>
          </w:tcPr>
          <w:p w14:paraId="11DB25F2" w14:textId="77777777" w:rsidR="00AC62D7" w:rsidRPr="00F0636B" w:rsidRDefault="00AC62D7" w:rsidP="00F0636B">
            <w:pPr>
              <w:spacing w:before="40" w:after="40"/>
              <w:ind w:left="0"/>
              <w:jc w:val="right"/>
              <w:rPr>
                <w:sz w:val="18"/>
                <w:szCs w:val="18"/>
              </w:rPr>
            </w:pPr>
            <w:r w:rsidRPr="00F0636B">
              <w:rPr>
                <w:sz w:val="18"/>
                <w:szCs w:val="18"/>
              </w:rPr>
              <w:t>0.31</w:t>
            </w:r>
          </w:p>
        </w:tc>
        <w:tc>
          <w:tcPr>
            <w:tcW w:w="800" w:type="dxa"/>
            <w:noWrap/>
            <w:vAlign w:val="center"/>
            <w:hideMark/>
          </w:tcPr>
          <w:p w14:paraId="1F4B72E2" w14:textId="77777777" w:rsidR="00AC62D7" w:rsidRPr="00F0636B" w:rsidRDefault="00AC62D7" w:rsidP="00F0636B">
            <w:pPr>
              <w:spacing w:before="40" w:after="40"/>
              <w:ind w:left="0"/>
              <w:jc w:val="right"/>
              <w:rPr>
                <w:sz w:val="18"/>
                <w:szCs w:val="18"/>
              </w:rPr>
            </w:pPr>
            <w:r w:rsidRPr="00F0636B">
              <w:rPr>
                <w:sz w:val="18"/>
                <w:szCs w:val="18"/>
              </w:rPr>
              <w:t>0.03</w:t>
            </w:r>
          </w:p>
        </w:tc>
        <w:tc>
          <w:tcPr>
            <w:tcW w:w="799" w:type="dxa"/>
            <w:noWrap/>
            <w:vAlign w:val="center"/>
            <w:hideMark/>
          </w:tcPr>
          <w:p w14:paraId="2C8303E5" w14:textId="77777777" w:rsidR="00AC62D7" w:rsidRPr="00F0636B" w:rsidRDefault="00AC62D7" w:rsidP="00F0636B">
            <w:pPr>
              <w:spacing w:before="40" w:after="40"/>
              <w:ind w:left="0"/>
              <w:jc w:val="right"/>
              <w:rPr>
                <w:sz w:val="18"/>
                <w:szCs w:val="18"/>
              </w:rPr>
            </w:pPr>
            <w:r w:rsidRPr="00F0636B">
              <w:rPr>
                <w:sz w:val="18"/>
                <w:szCs w:val="18"/>
              </w:rPr>
              <w:t>0.52</w:t>
            </w:r>
          </w:p>
        </w:tc>
        <w:tc>
          <w:tcPr>
            <w:tcW w:w="799" w:type="dxa"/>
            <w:noWrap/>
            <w:vAlign w:val="center"/>
            <w:hideMark/>
          </w:tcPr>
          <w:p w14:paraId="39394015" w14:textId="77777777" w:rsidR="00AC62D7" w:rsidRPr="00F0636B" w:rsidRDefault="00AC62D7" w:rsidP="00F0636B">
            <w:pPr>
              <w:spacing w:before="40" w:after="40"/>
              <w:ind w:left="0"/>
              <w:jc w:val="right"/>
              <w:rPr>
                <w:sz w:val="18"/>
                <w:szCs w:val="18"/>
              </w:rPr>
            </w:pPr>
            <w:r w:rsidRPr="00F0636B">
              <w:rPr>
                <w:sz w:val="18"/>
                <w:szCs w:val="18"/>
              </w:rPr>
              <w:t>0.08</w:t>
            </w:r>
          </w:p>
        </w:tc>
        <w:tc>
          <w:tcPr>
            <w:tcW w:w="800" w:type="dxa"/>
            <w:noWrap/>
            <w:vAlign w:val="center"/>
            <w:hideMark/>
          </w:tcPr>
          <w:p w14:paraId="645C41F0" w14:textId="77777777" w:rsidR="00AC62D7" w:rsidRPr="00F0636B" w:rsidRDefault="00AC62D7" w:rsidP="00F0636B">
            <w:pPr>
              <w:spacing w:before="40" w:after="40"/>
              <w:ind w:left="0"/>
              <w:jc w:val="right"/>
              <w:rPr>
                <w:sz w:val="18"/>
                <w:szCs w:val="18"/>
              </w:rPr>
            </w:pPr>
            <w:r w:rsidRPr="00F0636B">
              <w:rPr>
                <w:sz w:val="18"/>
                <w:szCs w:val="18"/>
              </w:rPr>
              <w:t>-0.08</w:t>
            </w:r>
          </w:p>
        </w:tc>
        <w:tc>
          <w:tcPr>
            <w:tcW w:w="799" w:type="dxa"/>
            <w:noWrap/>
            <w:vAlign w:val="center"/>
            <w:hideMark/>
          </w:tcPr>
          <w:p w14:paraId="425A8BFF" w14:textId="77777777" w:rsidR="00AC62D7" w:rsidRPr="00F0636B" w:rsidRDefault="00AC62D7" w:rsidP="00F0636B">
            <w:pPr>
              <w:spacing w:before="40" w:after="40"/>
              <w:ind w:left="0"/>
              <w:jc w:val="right"/>
              <w:rPr>
                <w:sz w:val="18"/>
                <w:szCs w:val="18"/>
              </w:rPr>
            </w:pPr>
            <w:r w:rsidRPr="00F0636B">
              <w:rPr>
                <w:sz w:val="18"/>
                <w:szCs w:val="18"/>
              </w:rPr>
              <w:t>-0.31</w:t>
            </w:r>
          </w:p>
        </w:tc>
        <w:tc>
          <w:tcPr>
            <w:tcW w:w="799" w:type="dxa"/>
            <w:noWrap/>
            <w:vAlign w:val="center"/>
            <w:hideMark/>
          </w:tcPr>
          <w:p w14:paraId="26B9A07D" w14:textId="77777777" w:rsidR="00AC62D7" w:rsidRPr="00F0636B" w:rsidRDefault="00AC62D7" w:rsidP="00F0636B">
            <w:pPr>
              <w:spacing w:before="40" w:after="40"/>
              <w:ind w:left="0"/>
              <w:jc w:val="right"/>
              <w:rPr>
                <w:sz w:val="18"/>
                <w:szCs w:val="18"/>
              </w:rPr>
            </w:pPr>
            <w:r w:rsidRPr="00F0636B">
              <w:rPr>
                <w:sz w:val="18"/>
                <w:szCs w:val="18"/>
              </w:rPr>
              <w:t>0.32</w:t>
            </w:r>
          </w:p>
        </w:tc>
        <w:tc>
          <w:tcPr>
            <w:tcW w:w="800" w:type="dxa"/>
            <w:noWrap/>
            <w:vAlign w:val="center"/>
            <w:hideMark/>
          </w:tcPr>
          <w:p w14:paraId="3A4E8FA3" w14:textId="77777777" w:rsidR="00AC62D7" w:rsidRPr="00F0636B" w:rsidRDefault="00AC62D7" w:rsidP="00F0636B">
            <w:pPr>
              <w:spacing w:before="40" w:after="40"/>
              <w:ind w:left="0"/>
              <w:jc w:val="right"/>
              <w:rPr>
                <w:sz w:val="18"/>
                <w:szCs w:val="18"/>
              </w:rPr>
            </w:pPr>
            <w:r w:rsidRPr="00F0636B">
              <w:rPr>
                <w:sz w:val="18"/>
                <w:szCs w:val="18"/>
              </w:rPr>
              <w:t>0.19</w:t>
            </w:r>
          </w:p>
        </w:tc>
      </w:tr>
      <w:tr w:rsidR="00AC62D7" w:rsidRPr="00AC62D7" w14:paraId="6120D83D" w14:textId="77777777" w:rsidTr="00F0636B">
        <w:trPr>
          <w:trHeight w:val="285"/>
        </w:trPr>
        <w:tc>
          <w:tcPr>
            <w:tcW w:w="2376" w:type="dxa"/>
            <w:noWrap/>
            <w:hideMark/>
          </w:tcPr>
          <w:p w14:paraId="761D7702" w14:textId="77777777" w:rsidR="00AC62D7" w:rsidRPr="00F0636B" w:rsidRDefault="00AC62D7" w:rsidP="00F0636B">
            <w:pPr>
              <w:spacing w:before="40" w:after="40"/>
              <w:ind w:left="0"/>
              <w:rPr>
                <w:sz w:val="18"/>
                <w:szCs w:val="18"/>
              </w:rPr>
            </w:pPr>
            <w:r w:rsidRPr="00F0636B">
              <w:rPr>
                <w:sz w:val="18"/>
                <w:szCs w:val="18"/>
              </w:rPr>
              <w:t>CS&amp;H investment, lagged three years</w:t>
            </w:r>
          </w:p>
        </w:tc>
        <w:tc>
          <w:tcPr>
            <w:tcW w:w="799" w:type="dxa"/>
            <w:noWrap/>
            <w:vAlign w:val="center"/>
            <w:hideMark/>
          </w:tcPr>
          <w:p w14:paraId="636B8022" w14:textId="77777777" w:rsidR="00AC62D7" w:rsidRPr="00F0636B" w:rsidRDefault="00AC62D7" w:rsidP="00F0636B">
            <w:pPr>
              <w:spacing w:before="40" w:after="40"/>
              <w:ind w:left="0"/>
              <w:jc w:val="right"/>
              <w:rPr>
                <w:sz w:val="18"/>
                <w:szCs w:val="18"/>
              </w:rPr>
            </w:pPr>
            <w:r w:rsidRPr="00F0636B">
              <w:rPr>
                <w:sz w:val="18"/>
                <w:szCs w:val="18"/>
              </w:rPr>
              <w:t>0.69</w:t>
            </w:r>
          </w:p>
        </w:tc>
        <w:tc>
          <w:tcPr>
            <w:tcW w:w="799" w:type="dxa"/>
            <w:noWrap/>
            <w:vAlign w:val="center"/>
            <w:hideMark/>
          </w:tcPr>
          <w:p w14:paraId="2E1F94A9" w14:textId="77777777" w:rsidR="00AC62D7" w:rsidRPr="00F0636B" w:rsidRDefault="00AC62D7" w:rsidP="00F0636B">
            <w:pPr>
              <w:spacing w:before="40" w:after="40"/>
              <w:ind w:left="0"/>
              <w:jc w:val="right"/>
              <w:rPr>
                <w:sz w:val="18"/>
                <w:szCs w:val="18"/>
              </w:rPr>
            </w:pPr>
            <w:r w:rsidRPr="00F0636B">
              <w:rPr>
                <w:sz w:val="18"/>
                <w:szCs w:val="18"/>
              </w:rPr>
              <w:t>0.34</w:t>
            </w:r>
          </w:p>
        </w:tc>
        <w:tc>
          <w:tcPr>
            <w:tcW w:w="800" w:type="dxa"/>
            <w:noWrap/>
            <w:vAlign w:val="center"/>
            <w:hideMark/>
          </w:tcPr>
          <w:p w14:paraId="0C96D7FC" w14:textId="77777777" w:rsidR="00AC62D7" w:rsidRPr="00F0636B" w:rsidRDefault="00AC62D7" w:rsidP="00F0636B">
            <w:pPr>
              <w:spacing w:before="40" w:after="40"/>
              <w:ind w:left="0"/>
              <w:jc w:val="right"/>
              <w:rPr>
                <w:sz w:val="18"/>
                <w:szCs w:val="18"/>
              </w:rPr>
            </w:pPr>
            <w:r w:rsidRPr="00F0636B">
              <w:rPr>
                <w:sz w:val="18"/>
                <w:szCs w:val="18"/>
              </w:rPr>
              <w:t>0.04</w:t>
            </w:r>
          </w:p>
        </w:tc>
        <w:tc>
          <w:tcPr>
            <w:tcW w:w="799" w:type="dxa"/>
            <w:noWrap/>
            <w:vAlign w:val="center"/>
            <w:hideMark/>
          </w:tcPr>
          <w:p w14:paraId="11E8A80E" w14:textId="77777777" w:rsidR="00AC62D7" w:rsidRPr="00F0636B" w:rsidRDefault="00AC62D7" w:rsidP="00F0636B">
            <w:pPr>
              <w:spacing w:before="40" w:after="40"/>
              <w:ind w:left="0"/>
              <w:jc w:val="right"/>
              <w:rPr>
                <w:sz w:val="18"/>
                <w:szCs w:val="18"/>
              </w:rPr>
            </w:pPr>
            <w:r w:rsidRPr="00F0636B">
              <w:rPr>
                <w:sz w:val="18"/>
                <w:szCs w:val="18"/>
              </w:rPr>
              <w:t>0.53</w:t>
            </w:r>
          </w:p>
        </w:tc>
        <w:tc>
          <w:tcPr>
            <w:tcW w:w="799" w:type="dxa"/>
            <w:noWrap/>
            <w:vAlign w:val="center"/>
            <w:hideMark/>
          </w:tcPr>
          <w:p w14:paraId="2583DBD5" w14:textId="77777777" w:rsidR="00AC62D7" w:rsidRPr="00F0636B" w:rsidRDefault="00AC62D7" w:rsidP="00F0636B">
            <w:pPr>
              <w:spacing w:before="40" w:after="40"/>
              <w:ind w:left="0"/>
              <w:jc w:val="right"/>
              <w:rPr>
                <w:sz w:val="18"/>
                <w:szCs w:val="18"/>
              </w:rPr>
            </w:pPr>
            <w:r w:rsidRPr="00F0636B">
              <w:rPr>
                <w:sz w:val="18"/>
                <w:szCs w:val="18"/>
              </w:rPr>
              <w:t>0.09</w:t>
            </w:r>
          </w:p>
        </w:tc>
        <w:tc>
          <w:tcPr>
            <w:tcW w:w="800" w:type="dxa"/>
            <w:noWrap/>
            <w:vAlign w:val="center"/>
            <w:hideMark/>
          </w:tcPr>
          <w:p w14:paraId="4E953D70" w14:textId="77777777" w:rsidR="00AC62D7" w:rsidRPr="00F0636B" w:rsidRDefault="00AC62D7" w:rsidP="00F0636B">
            <w:pPr>
              <w:spacing w:before="40" w:after="40"/>
              <w:ind w:left="0"/>
              <w:jc w:val="right"/>
              <w:rPr>
                <w:sz w:val="18"/>
                <w:szCs w:val="18"/>
              </w:rPr>
            </w:pPr>
            <w:r w:rsidRPr="00F0636B">
              <w:rPr>
                <w:sz w:val="18"/>
                <w:szCs w:val="18"/>
              </w:rPr>
              <w:t>-0.09</w:t>
            </w:r>
          </w:p>
        </w:tc>
        <w:tc>
          <w:tcPr>
            <w:tcW w:w="799" w:type="dxa"/>
            <w:noWrap/>
            <w:vAlign w:val="center"/>
            <w:hideMark/>
          </w:tcPr>
          <w:p w14:paraId="4E62E155" w14:textId="77777777" w:rsidR="00AC62D7" w:rsidRPr="00F0636B" w:rsidRDefault="00AC62D7" w:rsidP="00F0636B">
            <w:pPr>
              <w:spacing w:before="40" w:after="40"/>
              <w:ind w:left="0"/>
              <w:jc w:val="right"/>
              <w:rPr>
                <w:sz w:val="18"/>
                <w:szCs w:val="18"/>
              </w:rPr>
            </w:pPr>
            <w:r w:rsidRPr="00F0636B">
              <w:rPr>
                <w:sz w:val="18"/>
                <w:szCs w:val="18"/>
              </w:rPr>
              <w:t>-0.28</w:t>
            </w:r>
          </w:p>
        </w:tc>
        <w:tc>
          <w:tcPr>
            <w:tcW w:w="799" w:type="dxa"/>
            <w:noWrap/>
            <w:vAlign w:val="center"/>
            <w:hideMark/>
          </w:tcPr>
          <w:p w14:paraId="426B4615" w14:textId="77777777" w:rsidR="00AC62D7" w:rsidRPr="00F0636B" w:rsidRDefault="00AC62D7" w:rsidP="00F0636B">
            <w:pPr>
              <w:spacing w:before="40" w:after="40"/>
              <w:ind w:left="0"/>
              <w:jc w:val="right"/>
              <w:rPr>
                <w:sz w:val="18"/>
                <w:szCs w:val="18"/>
              </w:rPr>
            </w:pPr>
            <w:r w:rsidRPr="00F0636B">
              <w:rPr>
                <w:sz w:val="18"/>
                <w:szCs w:val="18"/>
              </w:rPr>
              <w:t>0.28</w:t>
            </w:r>
          </w:p>
        </w:tc>
        <w:tc>
          <w:tcPr>
            <w:tcW w:w="800" w:type="dxa"/>
            <w:noWrap/>
            <w:vAlign w:val="center"/>
            <w:hideMark/>
          </w:tcPr>
          <w:p w14:paraId="286C630E" w14:textId="77777777" w:rsidR="00AC62D7" w:rsidRPr="00F0636B" w:rsidRDefault="00AC62D7" w:rsidP="00F0636B">
            <w:pPr>
              <w:spacing w:before="40" w:after="40"/>
              <w:ind w:left="0"/>
              <w:jc w:val="right"/>
              <w:rPr>
                <w:sz w:val="18"/>
                <w:szCs w:val="18"/>
              </w:rPr>
            </w:pPr>
            <w:r w:rsidRPr="00F0636B">
              <w:rPr>
                <w:sz w:val="18"/>
                <w:szCs w:val="18"/>
              </w:rPr>
              <w:t>0.23</w:t>
            </w:r>
          </w:p>
        </w:tc>
      </w:tr>
      <w:tr w:rsidR="00AC62D7" w:rsidRPr="00AC62D7" w14:paraId="754EF88A" w14:textId="77777777" w:rsidTr="00F0636B">
        <w:trPr>
          <w:trHeight w:val="285"/>
        </w:trPr>
        <w:tc>
          <w:tcPr>
            <w:tcW w:w="2376" w:type="dxa"/>
            <w:noWrap/>
            <w:hideMark/>
          </w:tcPr>
          <w:p w14:paraId="4414994A" w14:textId="77777777" w:rsidR="00AC62D7" w:rsidRPr="00F0636B" w:rsidRDefault="00AC62D7" w:rsidP="00F0636B">
            <w:pPr>
              <w:spacing w:before="40" w:after="40"/>
              <w:ind w:left="0"/>
              <w:rPr>
                <w:sz w:val="18"/>
                <w:szCs w:val="18"/>
              </w:rPr>
            </w:pPr>
            <w:r w:rsidRPr="00F0636B">
              <w:rPr>
                <w:sz w:val="18"/>
                <w:szCs w:val="18"/>
              </w:rPr>
              <w:t>CS&amp;H investment per capita</w:t>
            </w:r>
          </w:p>
        </w:tc>
        <w:tc>
          <w:tcPr>
            <w:tcW w:w="799" w:type="dxa"/>
            <w:noWrap/>
            <w:vAlign w:val="center"/>
            <w:hideMark/>
          </w:tcPr>
          <w:p w14:paraId="654992C2" w14:textId="77777777" w:rsidR="00AC62D7" w:rsidRPr="00F0636B" w:rsidRDefault="00AC62D7" w:rsidP="00F0636B">
            <w:pPr>
              <w:spacing w:before="40" w:after="40"/>
              <w:ind w:left="0"/>
              <w:jc w:val="right"/>
              <w:rPr>
                <w:sz w:val="18"/>
                <w:szCs w:val="18"/>
              </w:rPr>
            </w:pPr>
            <w:r w:rsidRPr="00F0636B">
              <w:rPr>
                <w:sz w:val="18"/>
                <w:szCs w:val="18"/>
              </w:rPr>
              <w:t>0.16</w:t>
            </w:r>
          </w:p>
        </w:tc>
        <w:tc>
          <w:tcPr>
            <w:tcW w:w="799" w:type="dxa"/>
            <w:noWrap/>
            <w:vAlign w:val="center"/>
            <w:hideMark/>
          </w:tcPr>
          <w:p w14:paraId="52900560" w14:textId="77777777" w:rsidR="00AC62D7" w:rsidRPr="00F0636B" w:rsidRDefault="00AC62D7" w:rsidP="00F0636B">
            <w:pPr>
              <w:spacing w:before="40" w:after="40"/>
              <w:ind w:left="0"/>
              <w:jc w:val="right"/>
              <w:rPr>
                <w:sz w:val="18"/>
                <w:szCs w:val="18"/>
              </w:rPr>
            </w:pPr>
            <w:r w:rsidRPr="00F0636B">
              <w:rPr>
                <w:sz w:val="18"/>
                <w:szCs w:val="18"/>
              </w:rPr>
              <w:t>0.4</w:t>
            </w:r>
          </w:p>
        </w:tc>
        <w:tc>
          <w:tcPr>
            <w:tcW w:w="800" w:type="dxa"/>
            <w:noWrap/>
            <w:vAlign w:val="center"/>
            <w:hideMark/>
          </w:tcPr>
          <w:p w14:paraId="7A2B191A" w14:textId="77777777" w:rsidR="00AC62D7" w:rsidRPr="00F0636B" w:rsidRDefault="00AC62D7" w:rsidP="00F0636B">
            <w:pPr>
              <w:spacing w:before="40" w:after="40"/>
              <w:ind w:left="0"/>
              <w:jc w:val="right"/>
              <w:rPr>
                <w:sz w:val="18"/>
                <w:szCs w:val="18"/>
              </w:rPr>
            </w:pPr>
            <w:r w:rsidRPr="00F0636B">
              <w:rPr>
                <w:sz w:val="18"/>
                <w:szCs w:val="18"/>
              </w:rPr>
              <w:t>-0.04</w:t>
            </w:r>
          </w:p>
        </w:tc>
        <w:tc>
          <w:tcPr>
            <w:tcW w:w="799" w:type="dxa"/>
            <w:noWrap/>
            <w:vAlign w:val="center"/>
            <w:hideMark/>
          </w:tcPr>
          <w:p w14:paraId="626EE37E" w14:textId="77777777" w:rsidR="00AC62D7" w:rsidRPr="00F0636B" w:rsidRDefault="00AC62D7" w:rsidP="00F0636B">
            <w:pPr>
              <w:spacing w:before="40" w:after="40"/>
              <w:ind w:left="0"/>
              <w:jc w:val="right"/>
              <w:rPr>
                <w:sz w:val="18"/>
                <w:szCs w:val="18"/>
              </w:rPr>
            </w:pPr>
            <w:r w:rsidRPr="00F0636B">
              <w:rPr>
                <w:sz w:val="18"/>
                <w:szCs w:val="18"/>
              </w:rPr>
              <w:t>0.11</w:t>
            </w:r>
          </w:p>
        </w:tc>
        <w:tc>
          <w:tcPr>
            <w:tcW w:w="799" w:type="dxa"/>
            <w:noWrap/>
            <w:vAlign w:val="center"/>
            <w:hideMark/>
          </w:tcPr>
          <w:p w14:paraId="531A4C16" w14:textId="77777777" w:rsidR="00AC62D7" w:rsidRPr="00F0636B" w:rsidRDefault="00AC62D7" w:rsidP="00F0636B">
            <w:pPr>
              <w:spacing w:before="40" w:after="40"/>
              <w:ind w:left="0"/>
              <w:jc w:val="right"/>
              <w:rPr>
                <w:sz w:val="18"/>
                <w:szCs w:val="18"/>
              </w:rPr>
            </w:pPr>
            <w:r w:rsidRPr="00F0636B">
              <w:rPr>
                <w:sz w:val="18"/>
                <w:szCs w:val="18"/>
              </w:rPr>
              <w:t>0.71</w:t>
            </w:r>
          </w:p>
        </w:tc>
        <w:tc>
          <w:tcPr>
            <w:tcW w:w="800" w:type="dxa"/>
            <w:noWrap/>
            <w:vAlign w:val="center"/>
            <w:hideMark/>
          </w:tcPr>
          <w:p w14:paraId="32E5D6BD" w14:textId="77777777" w:rsidR="00AC62D7" w:rsidRPr="00F0636B" w:rsidRDefault="00AC62D7" w:rsidP="00F0636B">
            <w:pPr>
              <w:spacing w:before="40" w:after="40"/>
              <w:ind w:left="0"/>
              <w:jc w:val="right"/>
              <w:rPr>
                <w:sz w:val="18"/>
                <w:szCs w:val="18"/>
              </w:rPr>
            </w:pPr>
            <w:r w:rsidRPr="00F0636B">
              <w:rPr>
                <w:sz w:val="18"/>
                <w:szCs w:val="18"/>
              </w:rPr>
              <w:t>0.03</w:t>
            </w:r>
          </w:p>
        </w:tc>
        <w:tc>
          <w:tcPr>
            <w:tcW w:w="799" w:type="dxa"/>
            <w:noWrap/>
            <w:vAlign w:val="center"/>
            <w:hideMark/>
          </w:tcPr>
          <w:p w14:paraId="366BD5F8" w14:textId="77777777" w:rsidR="00AC62D7" w:rsidRPr="00F0636B" w:rsidRDefault="00AC62D7" w:rsidP="00F0636B">
            <w:pPr>
              <w:spacing w:before="40" w:after="40"/>
              <w:ind w:left="0"/>
              <w:jc w:val="right"/>
              <w:rPr>
                <w:sz w:val="18"/>
                <w:szCs w:val="18"/>
              </w:rPr>
            </w:pPr>
            <w:r w:rsidRPr="00F0636B">
              <w:rPr>
                <w:sz w:val="18"/>
                <w:szCs w:val="18"/>
              </w:rPr>
              <w:t>-0.2</w:t>
            </w:r>
          </w:p>
        </w:tc>
        <w:tc>
          <w:tcPr>
            <w:tcW w:w="799" w:type="dxa"/>
            <w:noWrap/>
            <w:vAlign w:val="center"/>
            <w:hideMark/>
          </w:tcPr>
          <w:p w14:paraId="61FC659B" w14:textId="77777777" w:rsidR="00AC62D7" w:rsidRPr="00F0636B" w:rsidRDefault="00AC62D7" w:rsidP="00F0636B">
            <w:pPr>
              <w:spacing w:before="40" w:after="40"/>
              <w:ind w:left="0"/>
              <w:jc w:val="right"/>
              <w:rPr>
                <w:sz w:val="18"/>
                <w:szCs w:val="18"/>
              </w:rPr>
            </w:pPr>
            <w:r w:rsidRPr="00F0636B">
              <w:rPr>
                <w:sz w:val="18"/>
                <w:szCs w:val="18"/>
              </w:rPr>
              <w:t>0.09</w:t>
            </w:r>
          </w:p>
        </w:tc>
        <w:tc>
          <w:tcPr>
            <w:tcW w:w="800" w:type="dxa"/>
            <w:noWrap/>
            <w:vAlign w:val="center"/>
            <w:hideMark/>
          </w:tcPr>
          <w:p w14:paraId="2AD2D555" w14:textId="77777777" w:rsidR="00AC62D7" w:rsidRPr="00F0636B" w:rsidRDefault="00AC62D7" w:rsidP="00F0636B">
            <w:pPr>
              <w:spacing w:before="40" w:after="40"/>
              <w:ind w:left="0"/>
              <w:jc w:val="right"/>
              <w:rPr>
                <w:sz w:val="18"/>
                <w:szCs w:val="18"/>
              </w:rPr>
            </w:pPr>
            <w:r w:rsidRPr="00F0636B">
              <w:rPr>
                <w:sz w:val="18"/>
                <w:szCs w:val="18"/>
              </w:rPr>
              <w:t>0.07</w:t>
            </w:r>
          </w:p>
        </w:tc>
      </w:tr>
      <w:tr w:rsidR="00AC62D7" w:rsidRPr="00AC62D7" w14:paraId="777E5CC2" w14:textId="77777777" w:rsidTr="00F0636B">
        <w:trPr>
          <w:trHeight w:val="285"/>
        </w:trPr>
        <w:tc>
          <w:tcPr>
            <w:tcW w:w="2376" w:type="dxa"/>
            <w:noWrap/>
            <w:hideMark/>
          </w:tcPr>
          <w:p w14:paraId="71A1BE17" w14:textId="77777777" w:rsidR="00AC62D7" w:rsidRPr="00F0636B" w:rsidRDefault="00AC62D7" w:rsidP="00F0636B">
            <w:pPr>
              <w:spacing w:before="40" w:after="40"/>
              <w:ind w:left="0"/>
              <w:rPr>
                <w:sz w:val="18"/>
                <w:szCs w:val="18"/>
              </w:rPr>
            </w:pPr>
            <w:r w:rsidRPr="00F0636B">
              <w:rPr>
                <w:sz w:val="18"/>
                <w:szCs w:val="18"/>
              </w:rPr>
              <w:t>Lottery investment per capita</w:t>
            </w:r>
          </w:p>
        </w:tc>
        <w:tc>
          <w:tcPr>
            <w:tcW w:w="799" w:type="dxa"/>
            <w:noWrap/>
            <w:vAlign w:val="center"/>
            <w:hideMark/>
          </w:tcPr>
          <w:p w14:paraId="65067136" w14:textId="77777777" w:rsidR="00AC62D7" w:rsidRPr="00F0636B" w:rsidRDefault="00AC62D7" w:rsidP="00F0636B">
            <w:pPr>
              <w:spacing w:before="40" w:after="40"/>
              <w:ind w:left="0"/>
              <w:jc w:val="right"/>
              <w:rPr>
                <w:sz w:val="18"/>
                <w:szCs w:val="18"/>
              </w:rPr>
            </w:pPr>
            <w:r w:rsidRPr="00F0636B">
              <w:rPr>
                <w:sz w:val="18"/>
                <w:szCs w:val="18"/>
              </w:rPr>
              <w:t>0.41</w:t>
            </w:r>
          </w:p>
        </w:tc>
        <w:tc>
          <w:tcPr>
            <w:tcW w:w="799" w:type="dxa"/>
            <w:noWrap/>
            <w:vAlign w:val="center"/>
            <w:hideMark/>
          </w:tcPr>
          <w:p w14:paraId="4332245F" w14:textId="77777777" w:rsidR="00AC62D7" w:rsidRPr="00F0636B" w:rsidRDefault="00AC62D7" w:rsidP="00F0636B">
            <w:pPr>
              <w:spacing w:before="40" w:after="40"/>
              <w:ind w:left="0"/>
              <w:jc w:val="right"/>
              <w:rPr>
                <w:sz w:val="18"/>
                <w:szCs w:val="18"/>
              </w:rPr>
            </w:pPr>
            <w:r w:rsidRPr="00F0636B">
              <w:rPr>
                <w:sz w:val="18"/>
                <w:szCs w:val="18"/>
              </w:rPr>
              <w:t>0.47</w:t>
            </w:r>
          </w:p>
        </w:tc>
        <w:tc>
          <w:tcPr>
            <w:tcW w:w="800" w:type="dxa"/>
            <w:noWrap/>
            <w:vAlign w:val="center"/>
            <w:hideMark/>
          </w:tcPr>
          <w:p w14:paraId="75AA1EBC" w14:textId="77777777" w:rsidR="00AC62D7" w:rsidRPr="00F0636B" w:rsidRDefault="00AC62D7" w:rsidP="00F0636B">
            <w:pPr>
              <w:spacing w:before="40" w:after="40"/>
              <w:ind w:left="0"/>
              <w:jc w:val="right"/>
              <w:rPr>
                <w:sz w:val="18"/>
                <w:szCs w:val="18"/>
              </w:rPr>
            </w:pPr>
            <w:r w:rsidRPr="00F0636B">
              <w:rPr>
                <w:sz w:val="18"/>
                <w:szCs w:val="18"/>
              </w:rPr>
              <w:t>0.01</w:t>
            </w:r>
          </w:p>
        </w:tc>
        <w:tc>
          <w:tcPr>
            <w:tcW w:w="799" w:type="dxa"/>
            <w:noWrap/>
            <w:vAlign w:val="center"/>
            <w:hideMark/>
          </w:tcPr>
          <w:p w14:paraId="1A6A046A" w14:textId="77777777" w:rsidR="00AC62D7" w:rsidRPr="00F0636B" w:rsidRDefault="00AC62D7" w:rsidP="00F0636B">
            <w:pPr>
              <w:spacing w:before="40" w:after="40"/>
              <w:ind w:left="0"/>
              <w:jc w:val="right"/>
              <w:rPr>
                <w:sz w:val="18"/>
                <w:szCs w:val="18"/>
              </w:rPr>
            </w:pPr>
            <w:r w:rsidRPr="00F0636B">
              <w:rPr>
                <w:sz w:val="18"/>
                <w:szCs w:val="18"/>
              </w:rPr>
              <w:t>0.41</w:t>
            </w:r>
          </w:p>
        </w:tc>
        <w:tc>
          <w:tcPr>
            <w:tcW w:w="799" w:type="dxa"/>
            <w:noWrap/>
            <w:vAlign w:val="center"/>
            <w:hideMark/>
          </w:tcPr>
          <w:p w14:paraId="7038228F" w14:textId="77777777" w:rsidR="00AC62D7" w:rsidRPr="00F0636B" w:rsidRDefault="00AC62D7" w:rsidP="00F0636B">
            <w:pPr>
              <w:spacing w:before="40" w:after="40"/>
              <w:ind w:left="0"/>
              <w:jc w:val="right"/>
              <w:rPr>
                <w:sz w:val="18"/>
                <w:szCs w:val="18"/>
              </w:rPr>
            </w:pPr>
            <w:r w:rsidRPr="00F0636B">
              <w:rPr>
                <w:sz w:val="18"/>
                <w:szCs w:val="18"/>
              </w:rPr>
              <w:t>0.52</w:t>
            </w:r>
          </w:p>
        </w:tc>
        <w:tc>
          <w:tcPr>
            <w:tcW w:w="800" w:type="dxa"/>
            <w:noWrap/>
            <w:vAlign w:val="center"/>
            <w:hideMark/>
          </w:tcPr>
          <w:p w14:paraId="3492AFCD" w14:textId="77777777" w:rsidR="00AC62D7" w:rsidRPr="00F0636B" w:rsidRDefault="00AC62D7" w:rsidP="00F0636B">
            <w:pPr>
              <w:spacing w:before="40" w:after="40"/>
              <w:ind w:left="0"/>
              <w:jc w:val="right"/>
              <w:rPr>
                <w:sz w:val="18"/>
                <w:szCs w:val="18"/>
              </w:rPr>
            </w:pPr>
            <w:r w:rsidRPr="00F0636B">
              <w:rPr>
                <w:sz w:val="18"/>
                <w:szCs w:val="18"/>
              </w:rPr>
              <w:t>0.06</w:t>
            </w:r>
          </w:p>
        </w:tc>
        <w:tc>
          <w:tcPr>
            <w:tcW w:w="799" w:type="dxa"/>
            <w:noWrap/>
            <w:vAlign w:val="center"/>
            <w:hideMark/>
          </w:tcPr>
          <w:p w14:paraId="7A6F1C04" w14:textId="77777777" w:rsidR="00AC62D7" w:rsidRPr="00F0636B" w:rsidRDefault="00AC62D7" w:rsidP="00F0636B">
            <w:pPr>
              <w:spacing w:before="40" w:after="40"/>
              <w:ind w:left="0"/>
              <w:jc w:val="right"/>
              <w:rPr>
                <w:sz w:val="18"/>
                <w:szCs w:val="18"/>
              </w:rPr>
            </w:pPr>
            <w:r w:rsidRPr="00F0636B">
              <w:rPr>
                <w:sz w:val="18"/>
                <w:szCs w:val="18"/>
              </w:rPr>
              <w:t>-0.37</w:t>
            </w:r>
          </w:p>
        </w:tc>
        <w:tc>
          <w:tcPr>
            <w:tcW w:w="799" w:type="dxa"/>
            <w:noWrap/>
            <w:vAlign w:val="center"/>
            <w:hideMark/>
          </w:tcPr>
          <w:p w14:paraId="1392CFC6" w14:textId="77777777" w:rsidR="00AC62D7" w:rsidRPr="00F0636B" w:rsidRDefault="00AC62D7" w:rsidP="00F0636B">
            <w:pPr>
              <w:spacing w:before="40" w:after="40"/>
              <w:ind w:left="0"/>
              <w:jc w:val="right"/>
              <w:rPr>
                <w:sz w:val="18"/>
                <w:szCs w:val="18"/>
              </w:rPr>
            </w:pPr>
            <w:r w:rsidRPr="00F0636B">
              <w:rPr>
                <w:sz w:val="18"/>
                <w:szCs w:val="18"/>
              </w:rPr>
              <w:t>0.4</w:t>
            </w:r>
          </w:p>
        </w:tc>
        <w:tc>
          <w:tcPr>
            <w:tcW w:w="800" w:type="dxa"/>
            <w:noWrap/>
            <w:vAlign w:val="center"/>
            <w:hideMark/>
          </w:tcPr>
          <w:p w14:paraId="02399E66" w14:textId="77777777" w:rsidR="00AC62D7" w:rsidRPr="00F0636B" w:rsidRDefault="00AC62D7" w:rsidP="00F0636B">
            <w:pPr>
              <w:spacing w:before="40" w:after="40"/>
              <w:ind w:left="0"/>
              <w:jc w:val="right"/>
              <w:rPr>
                <w:sz w:val="18"/>
                <w:szCs w:val="18"/>
              </w:rPr>
            </w:pPr>
            <w:r w:rsidRPr="00F0636B">
              <w:rPr>
                <w:sz w:val="18"/>
                <w:szCs w:val="18"/>
              </w:rPr>
              <w:t>0.18</w:t>
            </w:r>
          </w:p>
        </w:tc>
      </w:tr>
      <w:tr w:rsidR="00AC62D7" w:rsidRPr="00AC62D7" w14:paraId="21285ABF" w14:textId="77777777" w:rsidTr="00F0636B">
        <w:trPr>
          <w:trHeight w:val="285"/>
        </w:trPr>
        <w:tc>
          <w:tcPr>
            <w:tcW w:w="2376" w:type="dxa"/>
            <w:noWrap/>
            <w:hideMark/>
          </w:tcPr>
          <w:p w14:paraId="45B9770A" w14:textId="77777777" w:rsidR="00AC62D7" w:rsidRPr="00F0636B" w:rsidRDefault="00AC62D7" w:rsidP="00F0636B">
            <w:pPr>
              <w:spacing w:before="40" w:after="40"/>
              <w:ind w:left="0"/>
              <w:rPr>
                <w:sz w:val="18"/>
                <w:szCs w:val="18"/>
              </w:rPr>
            </w:pPr>
            <w:r w:rsidRPr="00F0636B">
              <w:rPr>
                <w:sz w:val="18"/>
                <w:szCs w:val="18"/>
              </w:rPr>
              <w:t>Local authority investment per capita</w:t>
            </w:r>
          </w:p>
        </w:tc>
        <w:tc>
          <w:tcPr>
            <w:tcW w:w="799" w:type="dxa"/>
            <w:noWrap/>
            <w:vAlign w:val="center"/>
            <w:hideMark/>
          </w:tcPr>
          <w:p w14:paraId="77188F13" w14:textId="77777777" w:rsidR="00AC62D7" w:rsidRPr="00F0636B" w:rsidRDefault="00AC62D7" w:rsidP="00F0636B">
            <w:pPr>
              <w:spacing w:before="40" w:after="40"/>
              <w:ind w:left="0"/>
              <w:jc w:val="right"/>
              <w:rPr>
                <w:sz w:val="18"/>
                <w:szCs w:val="18"/>
              </w:rPr>
            </w:pPr>
            <w:r w:rsidRPr="00F0636B">
              <w:rPr>
                <w:sz w:val="18"/>
                <w:szCs w:val="18"/>
              </w:rPr>
              <w:t>0.13</w:t>
            </w:r>
          </w:p>
        </w:tc>
        <w:tc>
          <w:tcPr>
            <w:tcW w:w="799" w:type="dxa"/>
            <w:noWrap/>
            <w:vAlign w:val="center"/>
            <w:hideMark/>
          </w:tcPr>
          <w:p w14:paraId="0435C0F2" w14:textId="77777777" w:rsidR="00AC62D7" w:rsidRPr="00F0636B" w:rsidRDefault="00AC62D7" w:rsidP="00F0636B">
            <w:pPr>
              <w:spacing w:before="40" w:after="40"/>
              <w:ind w:left="0"/>
              <w:jc w:val="right"/>
              <w:rPr>
                <w:sz w:val="18"/>
                <w:szCs w:val="18"/>
              </w:rPr>
            </w:pPr>
            <w:r w:rsidRPr="00F0636B">
              <w:rPr>
                <w:sz w:val="18"/>
                <w:szCs w:val="18"/>
              </w:rPr>
              <w:t>0.38</w:t>
            </w:r>
          </w:p>
        </w:tc>
        <w:tc>
          <w:tcPr>
            <w:tcW w:w="800" w:type="dxa"/>
            <w:noWrap/>
            <w:vAlign w:val="center"/>
            <w:hideMark/>
          </w:tcPr>
          <w:p w14:paraId="1D37ACE7" w14:textId="77777777" w:rsidR="00AC62D7" w:rsidRPr="00F0636B" w:rsidRDefault="00AC62D7" w:rsidP="00F0636B">
            <w:pPr>
              <w:spacing w:before="40" w:after="40"/>
              <w:ind w:left="0"/>
              <w:jc w:val="right"/>
              <w:rPr>
                <w:sz w:val="18"/>
                <w:szCs w:val="18"/>
              </w:rPr>
            </w:pPr>
            <w:r w:rsidRPr="00F0636B">
              <w:rPr>
                <w:sz w:val="18"/>
                <w:szCs w:val="18"/>
              </w:rPr>
              <w:t>-0.05</w:t>
            </w:r>
          </w:p>
        </w:tc>
        <w:tc>
          <w:tcPr>
            <w:tcW w:w="799" w:type="dxa"/>
            <w:noWrap/>
            <w:vAlign w:val="center"/>
            <w:hideMark/>
          </w:tcPr>
          <w:p w14:paraId="7BF0DB1A" w14:textId="77777777" w:rsidR="00AC62D7" w:rsidRPr="00F0636B" w:rsidRDefault="00AC62D7" w:rsidP="00F0636B">
            <w:pPr>
              <w:spacing w:before="40" w:after="40"/>
              <w:ind w:left="0"/>
              <w:jc w:val="right"/>
              <w:rPr>
                <w:sz w:val="18"/>
                <w:szCs w:val="18"/>
              </w:rPr>
            </w:pPr>
            <w:r w:rsidRPr="00F0636B">
              <w:rPr>
                <w:sz w:val="18"/>
                <w:szCs w:val="18"/>
              </w:rPr>
              <w:t>0.08</w:t>
            </w:r>
          </w:p>
        </w:tc>
        <w:tc>
          <w:tcPr>
            <w:tcW w:w="799" w:type="dxa"/>
            <w:noWrap/>
            <w:vAlign w:val="center"/>
            <w:hideMark/>
          </w:tcPr>
          <w:p w14:paraId="621275B2" w14:textId="77777777" w:rsidR="00AC62D7" w:rsidRPr="00F0636B" w:rsidRDefault="00AC62D7" w:rsidP="00F0636B">
            <w:pPr>
              <w:spacing w:before="40" w:after="40"/>
              <w:ind w:left="0"/>
              <w:jc w:val="right"/>
              <w:rPr>
                <w:sz w:val="18"/>
                <w:szCs w:val="18"/>
              </w:rPr>
            </w:pPr>
            <w:r w:rsidRPr="00F0636B">
              <w:rPr>
                <w:sz w:val="18"/>
                <w:szCs w:val="18"/>
              </w:rPr>
              <w:t>0.7</w:t>
            </w:r>
          </w:p>
        </w:tc>
        <w:tc>
          <w:tcPr>
            <w:tcW w:w="800" w:type="dxa"/>
            <w:noWrap/>
            <w:vAlign w:val="center"/>
            <w:hideMark/>
          </w:tcPr>
          <w:p w14:paraId="793A143D" w14:textId="77777777" w:rsidR="00AC62D7" w:rsidRPr="00F0636B" w:rsidRDefault="00AC62D7" w:rsidP="00F0636B">
            <w:pPr>
              <w:spacing w:before="40" w:after="40"/>
              <w:ind w:left="0"/>
              <w:jc w:val="right"/>
              <w:rPr>
                <w:sz w:val="18"/>
                <w:szCs w:val="18"/>
              </w:rPr>
            </w:pPr>
            <w:r w:rsidRPr="00F0636B">
              <w:rPr>
                <w:sz w:val="18"/>
                <w:szCs w:val="18"/>
              </w:rPr>
              <w:t>0.03</w:t>
            </w:r>
          </w:p>
        </w:tc>
        <w:tc>
          <w:tcPr>
            <w:tcW w:w="799" w:type="dxa"/>
            <w:noWrap/>
            <w:vAlign w:val="center"/>
            <w:hideMark/>
          </w:tcPr>
          <w:p w14:paraId="44275B8D" w14:textId="77777777" w:rsidR="00AC62D7" w:rsidRPr="00F0636B" w:rsidRDefault="00AC62D7" w:rsidP="00F0636B">
            <w:pPr>
              <w:spacing w:before="40" w:after="40"/>
              <w:ind w:left="0"/>
              <w:jc w:val="right"/>
              <w:rPr>
                <w:sz w:val="18"/>
                <w:szCs w:val="18"/>
              </w:rPr>
            </w:pPr>
            <w:r w:rsidRPr="00F0636B">
              <w:rPr>
                <w:sz w:val="18"/>
                <w:szCs w:val="18"/>
              </w:rPr>
              <w:t>-0.18</w:t>
            </w:r>
          </w:p>
        </w:tc>
        <w:tc>
          <w:tcPr>
            <w:tcW w:w="799" w:type="dxa"/>
            <w:noWrap/>
            <w:vAlign w:val="center"/>
            <w:hideMark/>
          </w:tcPr>
          <w:p w14:paraId="34EFFF93" w14:textId="77777777" w:rsidR="00AC62D7" w:rsidRPr="00F0636B" w:rsidRDefault="00AC62D7" w:rsidP="00F0636B">
            <w:pPr>
              <w:spacing w:before="40" w:after="40"/>
              <w:ind w:left="0"/>
              <w:jc w:val="right"/>
              <w:rPr>
                <w:sz w:val="18"/>
                <w:szCs w:val="18"/>
              </w:rPr>
            </w:pPr>
            <w:r w:rsidRPr="00F0636B">
              <w:rPr>
                <w:sz w:val="18"/>
                <w:szCs w:val="18"/>
              </w:rPr>
              <w:t>0.06</w:t>
            </w:r>
          </w:p>
        </w:tc>
        <w:tc>
          <w:tcPr>
            <w:tcW w:w="800" w:type="dxa"/>
            <w:noWrap/>
            <w:vAlign w:val="center"/>
            <w:hideMark/>
          </w:tcPr>
          <w:p w14:paraId="762C6B96" w14:textId="77777777" w:rsidR="00AC62D7" w:rsidRPr="00F0636B" w:rsidRDefault="00AC62D7" w:rsidP="00F0636B">
            <w:pPr>
              <w:spacing w:before="40" w:after="40"/>
              <w:ind w:left="0"/>
              <w:jc w:val="right"/>
              <w:rPr>
                <w:sz w:val="18"/>
                <w:szCs w:val="18"/>
              </w:rPr>
            </w:pPr>
            <w:r w:rsidRPr="00F0636B">
              <w:rPr>
                <w:sz w:val="18"/>
                <w:szCs w:val="18"/>
              </w:rPr>
              <w:t>0.05</w:t>
            </w:r>
          </w:p>
        </w:tc>
      </w:tr>
      <w:tr w:rsidR="00AC62D7" w:rsidRPr="00AC62D7" w14:paraId="24FEFF4F" w14:textId="77777777" w:rsidTr="00F0636B">
        <w:trPr>
          <w:trHeight w:val="285"/>
        </w:trPr>
        <w:tc>
          <w:tcPr>
            <w:tcW w:w="2376" w:type="dxa"/>
            <w:noWrap/>
            <w:hideMark/>
          </w:tcPr>
          <w:p w14:paraId="242E119A" w14:textId="77777777" w:rsidR="00AC62D7" w:rsidRPr="00F0636B" w:rsidRDefault="00AC62D7" w:rsidP="00F0636B">
            <w:pPr>
              <w:spacing w:before="40" w:after="40"/>
              <w:ind w:left="0"/>
              <w:rPr>
                <w:sz w:val="18"/>
                <w:szCs w:val="18"/>
              </w:rPr>
            </w:pPr>
            <w:r w:rsidRPr="00F0636B">
              <w:rPr>
                <w:sz w:val="18"/>
                <w:szCs w:val="18"/>
              </w:rPr>
              <w:t>CS&amp;H investment per capita, lagged one year</w:t>
            </w:r>
          </w:p>
        </w:tc>
        <w:tc>
          <w:tcPr>
            <w:tcW w:w="799" w:type="dxa"/>
            <w:noWrap/>
            <w:vAlign w:val="center"/>
            <w:hideMark/>
          </w:tcPr>
          <w:p w14:paraId="16660DF9" w14:textId="77777777" w:rsidR="00AC62D7" w:rsidRPr="00F0636B" w:rsidRDefault="00AC62D7" w:rsidP="00F0636B">
            <w:pPr>
              <w:spacing w:before="40" w:after="40"/>
              <w:ind w:left="0"/>
              <w:jc w:val="right"/>
              <w:rPr>
                <w:sz w:val="18"/>
                <w:szCs w:val="18"/>
              </w:rPr>
            </w:pPr>
            <w:r w:rsidRPr="00F0636B">
              <w:rPr>
                <w:sz w:val="18"/>
                <w:szCs w:val="18"/>
              </w:rPr>
              <w:t>0.16</w:t>
            </w:r>
          </w:p>
        </w:tc>
        <w:tc>
          <w:tcPr>
            <w:tcW w:w="799" w:type="dxa"/>
            <w:noWrap/>
            <w:vAlign w:val="center"/>
            <w:hideMark/>
          </w:tcPr>
          <w:p w14:paraId="6432D8CE" w14:textId="77777777" w:rsidR="00AC62D7" w:rsidRPr="00F0636B" w:rsidRDefault="00AC62D7" w:rsidP="00F0636B">
            <w:pPr>
              <w:spacing w:before="40" w:after="40"/>
              <w:ind w:left="0"/>
              <w:jc w:val="right"/>
              <w:rPr>
                <w:sz w:val="18"/>
                <w:szCs w:val="18"/>
              </w:rPr>
            </w:pPr>
            <w:r w:rsidRPr="00F0636B">
              <w:rPr>
                <w:sz w:val="18"/>
                <w:szCs w:val="18"/>
              </w:rPr>
              <w:t>0.41</w:t>
            </w:r>
          </w:p>
        </w:tc>
        <w:tc>
          <w:tcPr>
            <w:tcW w:w="800" w:type="dxa"/>
            <w:noWrap/>
            <w:vAlign w:val="center"/>
            <w:hideMark/>
          </w:tcPr>
          <w:p w14:paraId="0DB43E64" w14:textId="77777777" w:rsidR="00AC62D7" w:rsidRPr="00F0636B" w:rsidRDefault="00AC62D7" w:rsidP="00F0636B">
            <w:pPr>
              <w:spacing w:before="40" w:after="40"/>
              <w:ind w:left="0"/>
              <w:jc w:val="right"/>
              <w:rPr>
                <w:sz w:val="18"/>
                <w:szCs w:val="18"/>
              </w:rPr>
            </w:pPr>
            <w:r w:rsidRPr="00F0636B">
              <w:rPr>
                <w:sz w:val="18"/>
                <w:szCs w:val="18"/>
              </w:rPr>
              <w:t>-0.05</w:t>
            </w:r>
          </w:p>
        </w:tc>
        <w:tc>
          <w:tcPr>
            <w:tcW w:w="799" w:type="dxa"/>
            <w:noWrap/>
            <w:vAlign w:val="center"/>
            <w:hideMark/>
          </w:tcPr>
          <w:p w14:paraId="56CA36DA" w14:textId="77777777" w:rsidR="00AC62D7" w:rsidRPr="00F0636B" w:rsidRDefault="00AC62D7" w:rsidP="00F0636B">
            <w:pPr>
              <w:spacing w:before="40" w:after="40"/>
              <w:ind w:left="0"/>
              <w:jc w:val="right"/>
              <w:rPr>
                <w:sz w:val="18"/>
                <w:szCs w:val="18"/>
              </w:rPr>
            </w:pPr>
            <w:r w:rsidRPr="00F0636B">
              <w:rPr>
                <w:sz w:val="18"/>
                <w:szCs w:val="18"/>
              </w:rPr>
              <w:t>0.11</w:t>
            </w:r>
          </w:p>
        </w:tc>
        <w:tc>
          <w:tcPr>
            <w:tcW w:w="799" w:type="dxa"/>
            <w:noWrap/>
            <w:vAlign w:val="center"/>
            <w:hideMark/>
          </w:tcPr>
          <w:p w14:paraId="26A72FB3" w14:textId="77777777" w:rsidR="00AC62D7" w:rsidRPr="00F0636B" w:rsidRDefault="00AC62D7" w:rsidP="00F0636B">
            <w:pPr>
              <w:spacing w:before="40" w:after="40"/>
              <w:ind w:left="0"/>
              <w:jc w:val="right"/>
              <w:rPr>
                <w:sz w:val="18"/>
                <w:szCs w:val="18"/>
              </w:rPr>
            </w:pPr>
            <w:r w:rsidRPr="00F0636B">
              <w:rPr>
                <w:sz w:val="18"/>
                <w:szCs w:val="18"/>
              </w:rPr>
              <w:t>0.69</w:t>
            </w:r>
          </w:p>
        </w:tc>
        <w:tc>
          <w:tcPr>
            <w:tcW w:w="800" w:type="dxa"/>
            <w:noWrap/>
            <w:vAlign w:val="center"/>
            <w:hideMark/>
          </w:tcPr>
          <w:p w14:paraId="76DDAC15" w14:textId="77777777" w:rsidR="00AC62D7" w:rsidRPr="00F0636B" w:rsidRDefault="00AC62D7" w:rsidP="00F0636B">
            <w:pPr>
              <w:spacing w:before="40" w:after="40"/>
              <w:ind w:left="0"/>
              <w:jc w:val="right"/>
              <w:rPr>
                <w:sz w:val="18"/>
                <w:szCs w:val="18"/>
              </w:rPr>
            </w:pPr>
            <w:r w:rsidRPr="00F0636B">
              <w:rPr>
                <w:sz w:val="18"/>
                <w:szCs w:val="18"/>
              </w:rPr>
              <w:t>0</w:t>
            </w:r>
          </w:p>
        </w:tc>
        <w:tc>
          <w:tcPr>
            <w:tcW w:w="799" w:type="dxa"/>
            <w:noWrap/>
            <w:vAlign w:val="center"/>
            <w:hideMark/>
          </w:tcPr>
          <w:p w14:paraId="311F9B77" w14:textId="77777777" w:rsidR="00AC62D7" w:rsidRPr="00F0636B" w:rsidRDefault="00AC62D7" w:rsidP="00F0636B">
            <w:pPr>
              <w:spacing w:before="40" w:after="40"/>
              <w:ind w:left="0"/>
              <w:jc w:val="right"/>
              <w:rPr>
                <w:sz w:val="18"/>
                <w:szCs w:val="18"/>
              </w:rPr>
            </w:pPr>
            <w:r w:rsidRPr="00F0636B">
              <w:rPr>
                <w:sz w:val="18"/>
                <w:szCs w:val="18"/>
              </w:rPr>
              <w:t>-0.19</w:t>
            </w:r>
          </w:p>
        </w:tc>
        <w:tc>
          <w:tcPr>
            <w:tcW w:w="799" w:type="dxa"/>
            <w:noWrap/>
            <w:vAlign w:val="center"/>
            <w:hideMark/>
          </w:tcPr>
          <w:p w14:paraId="249BE532" w14:textId="77777777" w:rsidR="00AC62D7" w:rsidRPr="00F0636B" w:rsidRDefault="00AC62D7" w:rsidP="00F0636B">
            <w:pPr>
              <w:spacing w:before="40" w:after="40"/>
              <w:ind w:left="0"/>
              <w:jc w:val="right"/>
              <w:rPr>
                <w:sz w:val="18"/>
                <w:szCs w:val="18"/>
              </w:rPr>
            </w:pPr>
            <w:r w:rsidRPr="00F0636B">
              <w:rPr>
                <w:sz w:val="18"/>
                <w:szCs w:val="18"/>
              </w:rPr>
              <w:t>0.09</w:t>
            </w:r>
          </w:p>
        </w:tc>
        <w:tc>
          <w:tcPr>
            <w:tcW w:w="800" w:type="dxa"/>
            <w:noWrap/>
            <w:vAlign w:val="center"/>
            <w:hideMark/>
          </w:tcPr>
          <w:p w14:paraId="0BB47527" w14:textId="77777777" w:rsidR="00AC62D7" w:rsidRPr="00F0636B" w:rsidRDefault="00AC62D7" w:rsidP="00F0636B">
            <w:pPr>
              <w:spacing w:before="40" w:after="40"/>
              <w:ind w:left="0"/>
              <w:jc w:val="right"/>
              <w:rPr>
                <w:sz w:val="18"/>
                <w:szCs w:val="18"/>
              </w:rPr>
            </w:pPr>
            <w:r w:rsidRPr="00F0636B">
              <w:rPr>
                <w:sz w:val="18"/>
                <w:szCs w:val="18"/>
              </w:rPr>
              <w:t>0.07</w:t>
            </w:r>
          </w:p>
        </w:tc>
      </w:tr>
      <w:tr w:rsidR="00AC62D7" w:rsidRPr="00AC62D7" w14:paraId="52C12C22" w14:textId="77777777" w:rsidTr="00F0636B">
        <w:trPr>
          <w:trHeight w:val="285"/>
        </w:trPr>
        <w:tc>
          <w:tcPr>
            <w:tcW w:w="2376" w:type="dxa"/>
            <w:noWrap/>
            <w:hideMark/>
          </w:tcPr>
          <w:p w14:paraId="65953EA2" w14:textId="77777777" w:rsidR="00AC62D7" w:rsidRPr="00F0636B" w:rsidRDefault="00AC62D7" w:rsidP="00F0636B">
            <w:pPr>
              <w:spacing w:before="40" w:after="40"/>
              <w:ind w:left="0"/>
              <w:rPr>
                <w:sz w:val="18"/>
                <w:szCs w:val="18"/>
              </w:rPr>
            </w:pPr>
            <w:r w:rsidRPr="00F0636B">
              <w:rPr>
                <w:sz w:val="18"/>
                <w:szCs w:val="18"/>
              </w:rPr>
              <w:lastRenderedPageBreak/>
              <w:t>CS&amp;H investment per capita, lagged two years</w:t>
            </w:r>
          </w:p>
        </w:tc>
        <w:tc>
          <w:tcPr>
            <w:tcW w:w="799" w:type="dxa"/>
            <w:noWrap/>
            <w:vAlign w:val="center"/>
            <w:hideMark/>
          </w:tcPr>
          <w:p w14:paraId="2990AAE3" w14:textId="77777777" w:rsidR="00AC62D7" w:rsidRPr="00F0636B" w:rsidRDefault="00AC62D7" w:rsidP="00F0636B">
            <w:pPr>
              <w:spacing w:before="40" w:after="40"/>
              <w:ind w:left="0"/>
              <w:jc w:val="right"/>
              <w:rPr>
                <w:sz w:val="18"/>
                <w:szCs w:val="18"/>
              </w:rPr>
            </w:pPr>
            <w:r w:rsidRPr="00F0636B">
              <w:rPr>
                <w:sz w:val="18"/>
                <w:szCs w:val="18"/>
              </w:rPr>
              <w:t>0.14</w:t>
            </w:r>
          </w:p>
        </w:tc>
        <w:tc>
          <w:tcPr>
            <w:tcW w:w="799" w:type="dxa"/>
            <w:noWrap/>
            <w:vAlign w:val="center"/>
            <w:hideMark/>
          </w:tcPr>
          <w:p w14:paraId="2DF89EBB" w14:textId="77777777" w:rsidR="00AC62D7" w:rsidRPr="00F0636B" w:rsidRDefault="00AC62D7" w:rsidP="00F0636B">
            <w:pPr>
              <w:spacing w:before="40" w:after="40"/>
              <w:ind w:left="0"/>
              <w:jc w:val="right"/>
              <w:rPr>
                <w:sz w:val="18"/>
                <w:szCs w:val="18"/>
              </w:rPr>
            </w:pPr>
            <w:r w:rsidRPr="00F0636B">
              <w:rPr>
                <w:sz w:val="18"/>
                <w:szCs w:val="18"/>
              </w:rPr>
              <w:t>0.38</w:t>
            </w:r>
          </w:p>
        </w:tc>
        <w:tc>
          <w:tcPr>
            <w:tcW w:w="800" w:type="dxa"/>
            <w:noWrap/>
            <w:vAlign w:val="center"/>
            <w:hideMark/>
          </w:tcPr>
          <w:p w14:paraId="35EE44B9" w14:textId="77777777" w:rsidR="00AC62D7" w:rsidRPr="00F0636B" w:rsidRDefault="00AC62D7" w:rsidP="00F0636B">
            <w:pPr>
              <w:spacing w:before="40" w:after="40"/>
              <w:ind w:left="0"/>
              <w:jc w:val="right"/>
              <w:rPr>
                <w:sz w:val="18"/>
                <w:szCs w:val="18"/>
              </w:rPr>
            </w:pPr>
            <w:r w:rsidRPr="00F0636B">
              <w:rPr>
                <w:sz w:val="18"/>
                <w:szCs w:val="18"/>
              </w:rPr>
              <w:t>-0.04</w:t>
            </w:r>
          </w:p>
        </w:tc>
        <w:tc>
          <w:tcPr>
            <w:tcW w:w="799" w:type="dxa"/>
            <w:noWrap/>
            <w:vAlign w:val="center"/>
            <w:hideMark/>
          </w:tcPr>
          <w:p w14:paraId="10CF506A" w14:textId="77777777" w:rsidR="00AC62D7" w:rsidRPr="00F0636B" w:rsidRDefault="00AC62D7" w:rsidP="00F0636B">
            <w:pPr>
              <w:spacing w:before="40" w:after="40"/>
              <w:ind w:left="0"/>
              <w:jc w:val="right"/>
              <w:rPr>
                <w:sz w:val="18"/>
                <w:szCs w:val="18"/>
              </w:rPr>
            </w:pPr>
            <w:r w:rsidRPr="00F0636B">
              <w:rPr>
                <w:sz w:val="18"/>
                <w:szCs w:val="18"/>
              </w:rPr>
              <w:t>0.09</w:t>
            </w:r>
          </w:p>
        </w:tc>
        <w:tc>
          <w:tcPr>
            <w:tcW w:w="799" w:type="dxa"/>
            <w:noWrap/>
            <w:vAlign w:val="center"/>
            <w:hideMark/>
          </w:tcPr>
          <w:p w14:paraId="7C4CB8DD" w14:textId="77777777" w:rsidR="00AC62D7" w:rsidRPr="00F0636B" w:rsidRDefault="00AC62D7" w:rsidP="00F0636B">
            <w:pPr>
              <w:spacing w:before="40" w:after="40"/>
              <w:ind w:left="0"/>
              <w:jc w:val="right"/>
              <w:rPr>
                <w:sz w:val="18"/>
                <w:szCs w:val="18"/>
              </w:rPr>
            </w:pPr>
            <w:r w:rsidRPr="00F0636B">
              <w:rPr>
                <w:sz w:val="18"/>
                <w:szCs w:val="18"/>
              </w:rPr>
              <w:t>0.74</w:t>
            </w:r>
          </w:p>
        </w:tc>
        <w:tc>
          <w:tcPr>
            <w:tcW w:w="800" w:type="dxa"/>
            <w:noWrap/>
            <w:vAlign w:val="center"/>
            <w:hideMark/>
          </w:tcPr>
          <w:p w14:paraId="265CE5A1" w14:textId="77777777" w:rsidR="00AC62D7" w:rsidRPr="00F0636B" w:rsidRDefault="00AC62D7" w:rsidP="00F0636B">
            <w:pPr>
              <w:spacing w:before="40" w:after="40"/>
              <w:ind w:left="0"/>
              <w:jc w:val="right"/>
              <w:rPr>
                <w:sz w:val="18"/>
                <w:szCs w:val="18"/>
              </w:rPr>
            </w:pPr>
            <w:r w:rsidRPr="00F0636B">
              <w:rPr>
                <w:sz w:val="18"/>
                <w:szCs w:val="18"/>
              </w:rPr>
              <w:t>0.08</w:t>
            </w:r>
          </w:p>
        </w:tc>
        <w:tc>
          <w:tcPr>
            <w:tcW w:w="799" w:type="dxa"/>
            <w:noWrap/>
            <w:vAlign w:val="center"/>
            <w:hideMark/>
          </w:tcPr>
          <w:p w14:paraId="54E22854" w14:textId="77777777" w:rsidR="00AC62D7" w:rsidRPr="00F0636B" w:rsidRDefault="00AC62D7" w:rsidP="00F0636B">
            <w:pPr>
              <w:spacing w:before="40" w:after="40"/>
              <w:ind w:left="0"/>
              <w:jc w:val="right"/>
              <w:rPr>
                <w:sz w:val="18"/>
                <w:szCs w:val="18"/>
              </w:rPr>
            </w:pPr>
            <w:r w:rsidRPr="00F0636B">
              <w:rPr>
                <w:sz w:val="18"/>
                <w:szCs w:val="18"/>
              </w:rPr>
              <w:t>-0.19</w:t>
            </w:r>
          </w:p>
        </w:tc>
        <w:tc>
          <w:tcPr>
            <w:tcW w:w="799" w:type="dxa"/>
            <w:noWrap/>
            <w:vAlign w:val="center"/>
            <w:hideMark/>
          </w:tcPr>
          <w:p w14:paraId="03320C5D" w14:textId="77777777" w:rsidR="00AC62D7" w:rsidRPr="00F0636B" w:rsidRDefault="00AC62D7" w:rsidP="00F0636B">
            <w:pPr>
              <w:spacing w:before="40" w:after="40"/>
              <w:ind w:left="0"/>
              <w:jc w:val="right"/>
              <w:rPr>
                <w:sz w:val="18"/>
                <w:szCs w:val="18"/>
              </w:rPr>
            </w:pPr>
            <w:r w:rsidRPr="00F0636B">
              <w:rPr>
                <w:sz w:val="18"/>
                <w:szCs w:val="18"/>
              </w:rPr>
              <w:t>0.07</w:t>
            </w:r>
          </w:p>
        </w:tc>
        <w:tc>
          <w:tcPr>
            <w:tcW w:w="800" w:type="dxa"/>
            <w:noWrap/>
            <w:vAlign w:val="center"/>
            <w:hideMark/>
          </w:tcPr>
          <w:p w14:paraId="32110A34" w14:textId="77777777" w:rsidR="00AC62D7" w:rsidRPr="00F0636B" w:rsidRDefault="00AC62D7" w:rsidP="00F0636B">
            <w:pPr>
              <w:spacing w:before="40" w:after="40"/>
              <w:ind w:left="0"/>
              <w:jc w:val="right"/>
              <w:rPr>
                <w:sz w:val="18"/>
                <w:szCs w:val="18"/>
              </w:rPr>
            </w:pPr>
            <w:r w:rsidRPr="00F0636B">
              <w:rPr>
                <w:sz w:val="18"/>
                <w:szCs w:val="18"/>
              </w:rPr>
              <w:t>0.05</w:t>
            </w:r>
          </w:p>
        </w:tc>
      </w:tr>
      <w:tr w:rsidR="00AC62D7" w:rsidRPr="00AC62D7" w14:paraId="3563FC72" w14:textId="77777777" w:rsidTr="00F0636B">
        <w:trPr>
          <w:trHeight w:val="285"/>
        </w:trPr>
        <w:tc>
          <w:tcPr>
            <w:tcW w:w="2376" w:type="dxa"/>
            <w:noWrap/>
            <w:hideMark/>
          </w:tcPr>
          <w:p w14:paraId="57C6EA85" w14:textId="77777777" w:rsidR="00AC62D7" w:rsidRPr="00F0636B" w:rsidRDefault="00AC62D7" w:rsidP="00F0636B">
            <w:pPr>
              <w:spacing w:before="40" w:after="40"/>
              <w:ind w:left="0"/>
              <w:rPr>
                <w:sz w:val="18"/>
                <w:szCs w:val="18"/>
              </w:rPr>
            </w:pPr>
            <w:r w:rsidRPr="00F0636B">
              <w:rPr>
                <w:sz w:val="18"/>
                <w:szCs w:val="18"/>
              </w:rPr>
              <w:t>CS&amp;H investment per capita, lagged three years</w:t>
            </w:r>
          </w:p>
        </w:tc>
        <w:tc>
          <w:tcPr>
            <w:tcW w:w="799" w:type="dxa"/>
            <w:noWrap/>
            <w:vAlign w:val="center"/>
            <w:hideMark/>
          </w:tcPr>
          <w:p w14:paraId="051FC5D0" w14:textId="77777777" w:rsidR="00AC62D7" w:rsidRPr="00F0636B" w:rsidRDefault="00AC62D7" w:rsidP="00F0636B">
            <w:pPr>
              <w:spacing w:before="40" w:after="40"/>
              <w:ind w:left="0"/>
              <w:jc w:val="right"/>
              <w:rPr>
                <w:sz w:val="18"/>
                <w:szCs w:val="18"/>
              </w:rPr>
            </w:pPr>
            <w:r w:rsidRPr="00F0636B">
              <w:rPr>
                <w:sz w:val="18"/>
                <w:szCs w:val="18"/>
              </w:rPr>
              <w:t>0.14</w:t>
            </w:r>
          </w:p>
        </w:tc>
        <w:tc>
          <w:tcPr>
            <w:tcW w:w="799" w:type="dxa"/>
            <w:noWrap/>
            <w:vAlign w:val="center"/>
            <w:hideMark/>
          </w:tcPr>
          <w:p w14:paraId="2EF479B5" w14:textId="77777777" w:rsidR="00AC62D7" w:rsidRPr="00F0636B" w:rsidRDefault="00AC62D7" w:rsidP="00F0636B">
            <w:pPr>
              <w:spacing w:before="40" w:after="40"/>
              <w:ind w:left="0"/>
              <w:jc w:val="right"/>
              <w:rPr>
                <w:sz w:val="18"/>
                <w:szCs w:val="18"/>
              </w:rPr>
            </w:pPr>
            <w:r w:rsidRPr="00F0636B">
              <w:rPr>
                <w:sz w:val="18"/>
                <w:szCs w:val="18"/>
              </w:rPr>
              <w:t>0.39</w:t>
            </w:r>
          </w:p>
        </w:tc>
        <w:tc>
          <w:tcPr>
            <w:tcW w:w="800" w:type="dxa"/>
            <w:noWrap/>
            <w:vAlign w:val="center"/>
            <w:hideMark/>
          </w:tcPr>
          <w:p w14:paraId="73EDD09E" w14:textId="77777777" w:rsidR="00AC62D7" w:rsidRPr="00F0636B" w:rsidRDefault="00AC62D7" w:rsidP="00F0636B">
            <w:pPr>
              <w:spacing w:before="40" w:after="40"/>
              <w:ind w:left="0"/>
              <w:jc w:val="right"/>
              <w:rPr>
                <w:sz w:val="18"/>
                <w:szCs w:val="18"/>
              </w:rPr>
            </w:pPr>
            <w:r w:rsidRPr="00F0636B">
              <w:rPr>
                <w:sz w:val="18"/>
                <w:szCs w:val="18"/>
              </w:rPr>
              <w:t>-0.04</w:t>
            </w:r>
          </w:p>
        </w:tc>
        <w:tc>
          <w:tcPr>
            <w:tcW w:w="799" w:type="dxa"/>
            <w:noWrap/>
            <w:vAlign w:val="center"/>
            <w:hideMark/>
          </w:tcPr>
          <w:p w14:paraId="056942A0" w14:textId="77777777" w:rsidR="00AC62D7" w:rsidRPr="00F0636B" w:rsidRDefault="00AC62D7" w:rsidP="00F0636B">
            <w:pPr>
              <w:spacing w:before="40" w:after="40"/>
              <w:ind w:left="0"/>
              <w:jc w:val="right"/>
              <w:rPr>
                <w:sz w:val="18"/>
                <w:szCs w:val="18"/>
              </w:rPr>
            </w:pPr>
            <w:r w:rsidRPr="00F0636B">
              <w:rPr>
                <w:sz w:val="18"/>
                <w:szCs w:val="18"/>
              </w:rPr>
              <w:t>0.08</w:t>
            </w:r>
          </w:p>
        </w:tc>
        <w:tc>
          <w:tcPr>
            <w:tcW w:w="799" w:type="dxa"/>
            <w:noWrap/>
            <w:vAlign w:val="center"/>
            <w:hideMark/>
          </w:tcPr>
          <w:p w14:paraId="322DA61A" w14:textId="77777777" w:rsidR="00AC62D7" w:rsidRPr="00F0636B" w:rsidRDefault="00AC62D7" w:rsidP="00F0636B">
            <w:pPr>
              <w:spacing w:before="40" w:after="40"/>
              <w:ind w:left="0"/>
              <w:jc w:val="right"/>
              <w:rPr>
                <w:sz w:val="18"/>
                <w:szCs w:val="18"/>
              </w:rPr>
            </w:pPr>
            <w:r w:rsidRPr="00F0636B">
              <w:rPr>
                <w:sz w:val="18"/>
                <w:szCs w:val="18"/>
              </w:rPr>
              <w:t>0.68</w:t>
            </w:r>
          </w:p>
        </w:tc>
        <w:tc>
          <w:tcPr>
            <w:tcW w:w="800" w:type="dxa"/>
            <w:noWrap/>
            <w:vAlign w:val="center"/>
            <w:hideMark/>
          </w:tcPr>
          <w:p w14:paraId="1C4A1335" w14:textId="77777777" w:rsidR="00AC62D7" w:rsidRPr="00F0636B" w:rsidRDefault="00AC62D7" w:rsidP="00F0636B">
            <w:pPr>
              <w:spacing w:before="40" w:after="40"/>
              <w:ind w:left="0"/>
              <w:jc w:val="right"/>
              <w:rPr>
                <w:sz w:val="18"/>
                <w:szCs w:val="18"/>
              </w:rPr>
            </w:pPr>
            <w:r w:rsidRPr="00F0636B">
              <w:rPr>
                <w:sz w:val="18"/>
                <w:szCs w:val="18"/>
              </w:rPr>
              <w:t>-0.01</w:t>
            </w:r>
          </w:p>
        </w:tc>
        <w:tc>
          <w:tcPr>
            <w:tcW w:w="799" w:type="dxa"/>
            <w:noWrap/>
            <w:vAlign w:val="center"/>
            <w:hideMark/>
          </w:tcPr>
          <w:p w14:paraId="60CF90F9" w14:textId="77777777" w:rsidR="00AC62D7" w:rsidRPr="00F0636B" w:rsidRDefault="00AC62D7" w:rsidP="00F0636B">
            <w:pPr>
              <w:spacing w:before="40" w:after="40"/>
              <w:ind w:left="0"/>
              <w:jc w:val="right"/>
              <w:rPr>
                <w:sz w:val="18"/>
                <w:szCs w:val="18"/>
              </w:rPr>
            </w:pPr>
            <w:r w:rsidRPr="00F0636B">
              <w:rPr>
                <w:sz w:val="18"/>
                <w:szCs w:val="18"/>
              </w:rPr>
              <w:t>-0.18</w:t>
            </w:r>
          </w:p>
        </w:tc>
        <w:tc>
          <w:tcPr>
            <w:tcW w:w="799" w:type="dxa"/>
            <w:noWrap/>
            <w:vAlign w:val="center"/>
            <w:hideMark/>
          </w:tcPr>
          <w:p w14:paraId="15F98D8E" w14:textId="77777777" w:rsidR="00AC62D7" w:rsidRPr="00F0636B" w:rsidRDefault="00AC62D7" w:rsidP="00F0636B">
            <w:pPr>
              <w:spacing w:before="40" w:after="40"/>
              <w:ind w:left="0"/>
              <w:jc w:val="right"/>
              <w:rPr>
                <w:sz w:val="18"/>
                <w:szCs w:val="18"/>
              </w:rPr>
            </w:pPr>
            <w:r w:rsidRPr="00F0636B">
              <w:rPr>
                <w:sz w:val="18"/>
                <w:szCs w:val="18"/>
              </w:rPr>
              <w:t>0.06</w:t>
            </w:r>
          </w:p>
        </w:tc>
        <w:tc>
          <w:tcPr>
            <w:tcW w:w="800" w:type="dxa"/>
            <w:noWrap/>
            <w:vAlign w:val="center"/>
            <w:hideMark/>
          </w:tcPr>
          <w:p w14:paraId="21B8460C" w14:textId="77777777" w:rsidR="00AC62D7" w:rsidRPr="00F0636B" w:rsidRDefault="00AC62D7" w:rsidP="00F0636B">
            <w:pPr>
              <w:spacing w:before="40" w:after="40"/>
              <w:ind w:left="0"/>
              <w:jc w:val="right"/>
              <w:rPr>
                <w:sz w:val="18"/>
                <w:szCs w:val="18"/>
              </w:rPr>
            </w:pPr>
            <w:r w:rsidRPr="00F0636B">
              <w:rPr>
                <w:sz w:val="18"/>
                <w:szCs w:val="18"/>
              </w:rPr>
              <w:t>0.05</w:t>
            </w:r>
          </w:p>
        </w:tc>
      </w:tr>
    </w:tbl>
    <w:p w14:paraId="4DA2F4B0" w14:textId="77777777" w:rsidR="00AC62D7" w:rsidRPr="009548FC" w:rsidRDefault="00AC62D7" w:rsidP="00AC62D7">
      <w:pPr>
        <w:ind w:left="0"/>
        <w:rPr>
          <w:rFonts w:eastAsia="Calibri" w:cs="Arial"/>
          <w:sz w:val="18"/>
        </w:rPr>
      </w:pPr>
      <w:r w:rsidRPr="009548FC">
        <w:rPr>
          <w:rFonts w:eastAsia="Calibri" w:cs="Arial"/>
          <w:sz w:val="18"/>
        </w:rPr>
        <w:t>Source: NEF Consulting</w:t>
      </w:r>
    </w:p>
    <w:p w14:paraId="6CF018F9" w14:textId="77777777" w:rsidR="00AC62D7" w:rsidRDefault="00AC62D7" w:rsidP="005567B2"/>
    <w:p w14:paraId="29B6B5E5" w14:textId="136559B5" w:rsidR="00AF1E6B" w:rsidRDefault="00AF1E6B" w:rsidP="00AC62D7">
      <w:r>
        <w:t xml:space="preserve">There are several ostensibly strong relationships between </w:t>
      </w:r>
      <w:r w:rsidR="00AC62D7">
        <w:t>local economic performance</w:t>
      </w:r>
      <w:r>
        <w:t xml:space="preserve"> and CS&amp;H investment, including </w:t>
      </w:r>
      <w:r w:rsidRPr="00D825F1">
        <w:t>the number of creative firms</w:t>
      </w:r>
      <w:r>
        <w:t>, turnover of creative firms, turnover growth of creative firms</w:t>
      </w:r>
      <w:r w:rsidRPr="00D825F1">
        <w:t xml:space="preserve"> and level of CS&amp;H investment</w:t>
      </w:r>
      <w:r>
        <w:t xml:space="preserve">. </w:t>
      </w:r>
    </w:p>
    <w:p w14:paraId="261E74D4" w14:textId="40207168" w:rsidR="00AF1E6B" w:rsidRDefault="00AF1E6B" w:rsidP="00AC62D7">
      <w:r>
        <w:t>The strongest relationship appears to be between CS&amp;H investment per capita and number of creative firms per capita (correlation coefficient = 0.71). However, examination of the data reveals two extreme outliers: the Isles of Scilly and City of London (see</w:t>
      </w:r>
      <w:r w:rsidR="00AC62D7">
        <w:t xml:space="preserve"> </w:t>
      </w:r>
      <w:r w:rsidR="0016776E">
        <w:fldChar w:fldCharType="begin"/>
      </w:r>
      <w:r w:rsidR="0016776E">
        <w:instrText xml:space="preserve"> REF _Ref464212129 \h </w:instrText>
      </w:r>
      <w:r w:rsidR="0016776E">
        <w:fldChar w:fldCharType="separate"/>
      </w:r>
      <w:r w:rsidR="00F0636B">
        <w:t xml:space="preserve">Figure </w:t>
      </w:r>
      <w:r w:rsidR="00F0636B">
        <w:rPr>
          <w:noProof/>
        </w:rPr>
        <w:t>4</w:t>
      </w:r>
      <w:r w:rsidR="0016776E">
        <w:fldChar w:fldCharType="end"/>
      </w:r>
      <w:r>
        <w:t xml:space="preserve">). </w:t>
      </w:r>
    </w:p>
    <w:p w14:paraId="4FBCA6A7" w14:textId="77777777" w:rsidR="00AC62D7" w:rsidRDefault="00AC62D7" w:rsidP="00AC62D7"/>
    <w:p w14:paraId="71462F82" w14:textId="11082377" w:rsidR="00AC62D7" w:rsidRDefault="0016776E" w:rsidP="00F0636B">
      <w:pPr>
        <w:pStyle w:val="Caption"/>
      </w:pPr>
      <w:bookmarkStart w:id="126" w:name="_Ref464212129"/>
      <w:bookmarkStart w:id="127" w:name="_Toc467569671"/>
      <w:r>
        <w:t xml:space="preserve">Figure </w:t>
      </w:r>
      <w:r w:rsidR="003D0350">
        <w:fldChar w:fldCharType="begin"/>
      </w:r>
      <w:r w:rsidR="003D0350">
        <w:instrText xml:space="preserve"> SEQ Figure \* ARABIC </w:instrText>
      </w:r>
      <w:r w:rsidR="003D0350">
        <w:fldChar w:fldCharType="separate"/>
      </w:r>
      <w:r w:rsidR="00F0636B">
        <w:rPr>
          <w:noProof/>
        </w:rPr>
        <w:t>4</w:t>
      </w:r>
      <w:r w:rsidR="003D0350">
        <w:rPr>
          <w:noProof/>
        </w:rPr>
        <w:fldChar w:fldCharType="end"/>
      </w:r>
      <w:bookmarkEnd w:id="126"/>
      <w:r w:rsidR="00AC62D7">
        <w:t>: Correlation between number of creative industries firms per capita and Lottery investment</w:t>
      </w:r>
      <w:r>
        <w:t>, by local authority</w:t>
      </w:r>
      <w:bookmarkEnd w:id="127"/>
    </w:p>
    <w:p w14:paraId="7974AB53" w14:textId="77777777" w:rsidR="00AF1E6B" w:rsidRDefault="00AF1E6B" w:rsidP="00F0636B">
      <w:r>
        <w:rPr>
          <w:noProof/>
          <w:lang w:eastAsia="en-GB"/>
        </w:rPr>
        <w:drawing>
          <wp:inline distT="0" distB="0" distL="0" distR="0" wp14:anchorId="45493D58" wp14:editId="25C337FB">
            <wp:extent cx="4343400" cy="317868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3400" cy="3178689"/>
                    </a:xfrm>
                    <a:prstGeom prst="rect">
                      <a:avLst/>
                    </a:prstGeom>
                    <a:noFill/>
                    <a:ln>
                      <a:noFill/>
                    </a:ln>
                  </pic:spPr>
                </pic:pic>
              </a:graphicData>
            </a:graphic>
          </wp:inline>
        </w:drawing>
      </w:r>
    </w:p>
    <w:p w14:paraId="416E1714" w14:textId="77777777" w:rsidR="0016776E" w:rsidRPr="009548FC" w:rsidRDefault="0016776E" w:rsidP="0016776E">
      <w:pPr>
        <w:ind w:left="0"/>
        <w:rPr>
          <w:rFonts w:eastAsia="Calibri" w:cs="Arial"/>
          <w:sz w:val="18"/>
        </w:rPr>
      </w:pPr>
      <w:r w:rsidRPr="009548FC">
        <w:rPr>
          <w:rFonts w:eastAsia="Calibri" w:cs="Arial"/>
          <w:sz w:val="18"/>
        </w:rPr>
        <w:t>Source: NEF Consulting</w:t>
      </w:r>
    </w:p>
    <w:p w14:paraId="37782CB0" w14:textId="77777777" w:rsidR="0016776E" w:rsidRDefault="0016776E" w:rsidP="0016776E"/>
    <w:p w14:paraId="4AB30EDE" w14:textId="5D236BE8" w:rsidR="0016776E" w:rsidRDefault="0016776E" w:rsidP="00F0636B">
      <w:r>
        <w:t xml:space="preserve">The relationship remains once these two outliers are removed (see </w:t>
      </w:r>
      <w:r>
        <w:fldChar w:fldCharType="begin"/>
      </w:r>
      <w:r>
        <w:instrText xml:space="preserve"> REF _Ref464212208 \h </w:instrText>
      </w:r>
      <w:r>
        <w:fldChar w:fldCharType="separate"/>
      </w:r>
      <w:r w:rsidR="00F0636B">
        <w:t xml:space="preserve">Figure </w:t>
      </w:r>
      <w:r w:rsidR="00F0636B">
        <w:rPr>
          <w:noProof/>
        </w:rPr>
        <w:t>5</w:t>
      </w:r>
      <w:r>
        <w:fldChar w:fldCharType="end"/>
      </w:r>
      <w:r>
        <w:t>), but is less strong at 0.18, although lottery CS&amp;H investment per capita is still reasonably well correlated at 0.44 – compared to minus 0.16 for local authority CS&amp;H investment (the latter suggesting a negative relationship).</w:t>
      </w:r>
    </w:p>
    <w:p w14:paraId="0C1520FD" w14:textId="77777777" w:rsidR="0016776E" w:rsidRDefault="0016776E" w:rsidP="00F0636B"/>
    <w:p w14:paraId="3C38D95C" w14:textId="3F8B85C3" w:rsidR="0016776E" w:rsidRDefault="0016776E" w:rsidP="0016776E">
      <w:pPr>
        <w:pStyle w:val="Caption"/>
      </w:pPr>
      <w:bookmarkStart w:id="128" w:name="_Ref464212208"/>
      <w:bookmarkStart w:id="129" w:name="_Toc467569672"/>
      <w:r>
        <w:t xml:space="preserve">Figure </w:t>
      </w:r>
      <w:r w:rsidR="003D0350">
        <w:fldChar w:fldCharType="begin"/>
      </w:r>
      <w:r w:rsidR="003D0350">
        <w:instrText xml:space="preserve"> SEQ Figure \* ARABIC </w:instrText>
      </w:r>
      <w:r w:rsidR="003D0350">
        <w:fldChar w:fldCharType="separate"/>
      </w:r>
      <w:r w:rsidR="00F0636B">
        <w:rPr>
          <w:noProof/>
        </w:rPr>
        <w:t>5</w:t>
      </w:r>
      <w:r w:rsidR="003D0350">
        <w:rPr>
          <w:noProof/>
        </w:rPr>
        <w:fldChar w:fldCharType="end"/>
      </w:r>
      <w:bookmarkEnd w:id="128"/>
      <w:r>
        <w:t>: Correlation between number of creative industries firms per capita and Lottery CS&amp;H investment, by local authority (excluding Isles of Scilly and City of London)</w:t>
      </w:r>
      <w:bookmarkEnd w:id="129"/>
    </w:p>
    <w:p w14:paraId="0BDD85D8" w14:textId="77777777" w:rsidR="00AF1E6B" w:rsidRDefault="00AF1E6B" w:rsidP="00F0636B">
      <w:r>
        <w:rPr>
          <w:noProof/>
          <w:lang w:eastAsia="en-GB"/>
        </w:rPr>
        <w:lastRenderedPageBreak/>
        <w:drawing>
          <wp:inline distT="0" distB="0" distL="0" distR="0" wp14:anchorId="4D4757F2" wp14:editId="4505CEDB">
            <wp:extent cx="4347035" cy="318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7035" cy="3181350"/>
                    </a:xfrm>
                    <a:prstGeom prst="rect">
                      <a:avLst/>
                    </a:prstGeom>
                    <a:noFill/>
                    <a:ln>
                      <a:noFill/>
                    </a:ln>
                  </pic:spPr>
                </pic:pic>
              </a:graphicData>
            </a:graphic>
          </wp:inline>
        </w:drawing>
      </w:r>
    </w:p>
    <w:p w14:paraId="6397D078" w14:textId="77777777" w:rsidR="0016776E" w:rsidRPr="009548FC" w:rsidRDefault="0016776E" w:rsidP="0016776E">
      <w:pPr>
        <w:ind w:left="0"/>
        <w:rPr>
          <w:rFonts w:eastAsia="Calibri" w:cs="Arial"/>
          <w:sz w:val="18"/>
        </w:rPr>
      </w:pPr>
      <w:r w:rsidRPr="009548FC">
        <w:rPr>
          <w:rFonts w:eastAsia="Calibri" w:cs="Arial"/>
          <w:sz w:val="18"/>
        </w:rPr>
        <w:t>Source: NEF Consulting</w:t>
      </w:r>
    </w:p>
    <w:p w14:paraId="4C645828" w14:textId="77777777" w:rsidR="00AF1E6B" w:rsidRDefault="00AF1E6B" w:rsidP="005567B2"/>
    <w:p w14:paraId="4096C236" w14:textId="73FBA818" w:rsidR="00AF1E6B" w:rsidRDefault="00AF1E6B" w:rsidP="005567B2">
      <w:r>
        <w:t xml:space="preserve">The relationship between </w:t>
      </w:r>
      <w:r w:rsidR="0016776E">
        <w:t xml:space="preserve">the total </w:t>
      </w:r>
      <w:r>
        <w:t xml:space="preserve">number of firms and CS&amp;H investment, is stronger than the relationship between CS&amp;H investment and </w:t>
      </w:r>
      <w:r w:rsidR="0016776E">
        <w:t>creative industries</w:t>
      </w:r>
      <w:r>
        <w:t xml:space="preserve"> firms. This is reflected in the location quotient variable, which measures the relative concentration of creative firms in a local authority compared to the national context – higher CS&amp;H current and lagged investment is associated with a lower concentration of creative firms, although this relationship is weak. </w:t>
      </w:r>
    </w:p>
    <w:p w14:paraId="4BF91D21" w14:textId="6308613D" w:rsidR="00AF1E6B" w:rsidRDefault="00AF1E6B" w:rsidP="005567B2">
      <w:r>
        <w:t>As investment is a flow variable, it makes sense to consider the relationship between it and other flow variables. Turnover growth rate was found</w:t>
      </w:r>
      <w:r w:rsidRPr="007635EE">
        <w:t xml:space="preserve"> </w:t>
      </w:r>
      <w:r>
        <w:t xml:space="preserve">to </w:t>
      </w:r>
      <w:r w:rsidRPr="007635EE">
        <w:t>also have a weak positive relationship</w:t>
      </w:r>
      <w:r>
        <w:t xml:space="preserve"> with investment (see</w:t>
      </w:r>
      <w:r w:rsidR="0016776E">
        <w:t xml:space="preserve"> </w:t>
      </w:r>
      <w:r w:rsidR="0016776E">
        <w:fldChar w:fldCharType="begin"/>
      </w:r>
      <w:r w:rsidR="0016776E">
        <w:instrText xml:space="preserve"> REF _Ref464212370 \h </w:instrText>
      </w:r>
      <w:r w:rsidR="0016776E">
        <w:fldChar w:fldCharType="separate"/>
      </w:r>
      <w:r w:rsidR="00F0636B">
        <w:t xml:space="preserve">Figure </w:t>
      </w:r>
      <w:r w:rsidR="00F0636B">
        <w:rPr>
          <w:noProof/>
        </w:rPr>
        <w:t>6</w:t>
      </w:r>
      <w:r w:rsidR="0016776E">
        <w:fldChar w:fldCharType="end"/>
      </w:r>
      <w:r>
        <w:t>)</w:t>
      </w:r>
      <w:r w:rsidRPr="007635EE">
        <w:t>.</w:t>
      </w:r>
      <w:r>
        <w:t xml:space="preserve"> Creative</w:t>
      </w:r>
      <w:r w:rsidR="0016776E">
        <w:t xml:space="preserve"> industries</w:t>
      </w:r>
      <w:r>
        <w:t xml:space="preserve"> firm</w:t>
      </w:r>
      <w:r w:rsidR="0016776E">
        <w:t>s’</w:t>
      </w:r>
      <w:r>
        <w:t xml:space="preserve"> turnover growth is more strongly </w:t>
      </w:r>
      <w:r w:rsidR="0016776E">
        <w:t>cor</w:t>
      </w:r>
      <w:r>
        <w:t xml:space="preserve">related </w:t>
      </w:r>
      <w:r w:rsidR="0016776E">
        <w:t>with</w:t>
      </w:r>
      <w:r>
        <w:t xml:space="preserve"> CS&amp;H investment than </w:t>
      </w:r>
      <w:r w:rsidR="0016776E">
        <w:t xml:space="preserve">turnover growth among </w:t>
      </w:r>
      <w:r>
        <w:t>all firms: c</w:t>
      </w:r>
      <w:r w:rsidRPr="007635EE">
        <w:t xml:space="preserve">reative </w:t>
      </w:r>
      <w:r w:rsidR="0016776E">
        <w:t xml:space="preserve">industries </w:t>
      </w:r>
      <w:r w:rsidRPr="007635EE">
        <w:t>firms</w:t>
      </w:r>
      <w:r w:rsidR="0016776E">
        <w:t>’</w:t>
      </w:r>
      <w:r w:rsidRPr="007635EE">
        <w:t xml:space="preserve"> turnover growth and investment have a correlation coefficient of 0.3, whereas all firms</w:t>
      </w:r>
      <w:r w:rsidR="0016776E">
        <w:t>’</w:t>
      </w:r>
      <w:r w:rsidRPr="007635EE">
        <w:t xml:space="preserve"> turnover growth and investment have a correlation coefficient of 0.04.</w:t>
      </w:r>
    </w:p>
    <w:p w14:paraId="3D453E59" w14:textId="77777777" w:rsidR="0016776E" w:rsidRDefault="0016776E" w:rsidP="005567B2"/>
    <w:p w14:paraId="3781860F" w14:textId="512475A9" w:rsidR="0016776E" w:rsidRDefault="0016776E" w:rsidP="0016776E">
      <w:pPr>
        <w:pStyle w:val="Caption"/>
      </w:pPr>
      <w:bookmarkStart w:id="130" w:name="_Ref464212370"/>
      <w:bookmarkStart w:id="131" w:name="_Toc467569673"/>
      <w:r>
        <w:t xml:space="preserve">Figure </w:t>
      </w:r>
      <w:r w:rsidR="003D0350">
        <w:fldChar w:fldCharType="begin"/>
      </w:r>
      <w:r w:rsidR="003D0350">
        <w:instrText xml:space="preserve"> SEQ Figure \* ARABIC </w:instrText>
      </w:r>
      <w:r w:rsidR="003D0350">
        <w:fldChar w:fldCharType="separate"/>
      </w:r>
      <w:r w:rsidR="00F0636B">
        <w:rPr>
          <w:noProof/>
        </w:rPr>
        <w:t>6</w:t>
      </w:r>
      <w:r w:rsidR="003D0350">
        <w:rPr>
          <w:noProof/>
        </w:rPr>
        <w:fldChar w:fldCharType="end"/>
      </w:r>
      <w:bookmarkEnd w:id="130"/>
      <w:r>
        <w:t>: Correlation between turnover growth in creative industries firms and CS&amp;H investment, by local authority</w:t>
      </w:r>
      <w:bookmarkEnd w:id="131"/>
    </w:p>
    <w:p w14:paraId="2EDF4F22" w14:textId="77777777" w:rsidR="00AF1E6B" w:rsidRDefault="00AF1E6B" w:rsidP="00F0636B">
      <w:r>
        <w:rPr>
          <w:noProof/>
          <w:lang w:eastAsia="en-GB"/>
        </w:rPr>
        <w:lastRenderedPageBreak/>
        <w:drawing>
          <wp:inline distT="0" distB="0" distL="0" distR="0" wp14:anchorId="0ADD8FA3" wp14:editId="70DC1F27">
            <wp:extent cx="5133975" cy="3743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3975" cy="3743325"/>
                    </a:xfrm>
                    <a:prstGeom prst="rect">
                      <a:avLst/>
                    </a:prstGeom>
                    <a:noFill/>
                    <a:ln>
                      <a:noFill/>
                    </a:ln>
                  </pic:spPr>
                </pic:pic>
              </a:graphicData>
            </a:graphic>
          </wp:inline>
        </w:drawing>
      </w:r>
    </w:p>
    <w:p w14:paraId="4F038DEA" w14:textId="77777777" w:rsidR="0016776E" w:rsidRPr="009548FC" w:rsidRDefault="0016776E" w:rsidP="0016776E">
      <w:pPr>
        <w:ind w:left="0"/>
        <w:rPr>
          <w:rFonts w:eastAsia="Calibri" w:cs="Arial"/>
          <w:sz w:val="18"/>
        </w:rPr>
      </w:pPr>
      <w:r w:rsidRPr="009548FC">
        <w:rPr>
          <w:rFonts w:eastAsia="Calibri" w:cs="Arial"/>
          <w:sz w:val="18"/>
        </w:rPr>
        <w:t>Source: NEF Consulting</w:t>
      </w:r>
    </w:p>
    <w:p w14:paraId="47EBA484" w14:textId="77777777" w:rsidR="00AF1E6B" w:rsidRDefault="00AF1E6B" w:rsidP="005567B2"/>
    <w:p w14:paraId="36133BA3" w14:textId="3C0F69DE" w:rsidR="00AF1E6B" w:rsidRPr="00B57363" w:rsidRDefault="00AF1E6B" w:rsidP="005567B2">
      <w:r>
        <w:t>Lagged investment was also tested, and yielded very similar correlations as investment – nearly identical for the one year lag</w:t>
      </w:r>
      <w:r w:rsidR="0016776E">
        <w:t>, with</w:t>
      </w:r>
      <w:r>
        <w:t xml:space="preserve"> slightly weaker relationships for the later year lags.</w:t>
      </w:r>
    </w:p>
    <w:p w14:paraId="2C89EBBC" w14:textId="79A88287" w:rsidR="00AF1E6B" w:rsidRDefault="00AF1E6B" w:rsidP="005567B2">
      <w:r>
        <w:t>Results for correlations between the same variables in 2006 were broadly similar to results from 2013 (2006 was chosen as a comparator year so that considerations around the financial crisis did not have to be taken into account). The only large difference between the two years was the relationship between net migration of creative firms and CS&amp;H investment, which was weakly negative in 2013 (-0.38) and weakly positive in 2006 (0.27).</w:t>
      </w:r>
    </w:p>
    <w:p w14:paraId="2C898536" w14:textId="7E2E7EC2" w:rsidR="00AF1E6B" w:rsidRDefault="00AF1E6B" w:rsidP="005567B2">
      <w:r>
        <w:t>All investment data is public investment. It would be useful to be able to test data including private investment</w:t>
      </w:r>
      <w:r w:rsidR="0016776E">
        <w:t>, though data limitations prevent this.</w:t>
      </w:r>
    </w:p>
    <w:p w14:paraId="4402061E" w14:textId="77777777" w:rsidR="0016776E" w:rsidRDefault="0016776E" w:rsidP="005567B2"/>
    <w:p w14:paraId="630D6524" w14:textId="77342245" w:rsidR="0016776E" w:rsidRDefault="0016776E" w:rsidP="0016776E">
      <w:pPr>
        <w:pStyle w:val="Caption"/>
      </w:pPr>
      <w:bookmarkStart w:id="132" w:name="_Toc467569666"/>
      <w:r>
        <w:t xml:space="preserve">Table </w:t>
      </w:r>
      <w:r w:rsidR="003D0350">
        <w:fldChar w:fldCharType="begin"/>
      </w:r>
      <w:r w:rsidR="003D0350">
        <w:instrText xml:space="preserve"> SEQ Table \* ARABIC </w:instrText>
      </w:r>
      <w:r w:rsidR="003D0350">
        <w:fldChar w:fldCharType="separate"/>
      </w:r>
      <w:r w:rsidR="00F0636B">
        <w:rPr>
          <w:noProof/>
        </w:rPr>
        <w:t>11</w:t>
      </w:r>
      <w:r w:rsidR="003D0350">
        <w:rPr>
          <w:noProof/>
        </w:rPr>
        <w:fldChar w:fldCharType="end"/>
      </w:r>
      <w:r>
        <w:t>: Selected c</w:t>
      </w:r>
      <w:r w:rsidRPr="00AC62D7">
        <w:t xml:space="preserve">orrelations between CS&amp;H </w:t>
      </w:r>
      <w:r>
        <w:t>assets and economic indicators</w:t>
      </w:r>
      <w:r w:rsidRPr="00AC62D7">
        <w:t>, 2013</w:t>
      </w:r>
      <w:bookmarkEnd w:id="132"/>
    </w:p>
    <w:tbl>
      <w:tblPr>
        <w:tblStyle w:val="TableGrid"/>
        <w:tblW w:w="0" w:type="auto"/>
        <w:tblLayout w:type="fixed"/>
        <w:tblLook w:val="04A0" w:firstRow="1" w:lastRow="0" w:firstColumn="1" w:lastColumn="0" w:noHBand="0" w:noVBand="1"/>
      </w:tblPr>
      <w:tblGrid>
        <w:gridCol w:w="2660"/>
        <w:gridCol w:w="972"/>
        <w:gridCol w:w="972"/>
        <w:gridCol w:w="972"/>
        <w:gridCol w:w="972"/>
        <w:gridCol w:w="972"/>
        <w:gridCol w:w="972"/>
        <w:gridCol w:w="972"/>
      </w:tblGrid>
      <w:tr w:rsidR="0016776E" w:rsidRPr="00AC62D7" w14:paraId="708FBEED" w14:textId="77777777" w:rsidTr="00F0636B">
        <w:trPr>
          <w:cantSplit/>
          <w:trHeight w:val="2131"/>
        </w:trPr>
        <w:tc>
          <w:tcPr>
            <w:tcW w:w="2660" w:type="dxa"/>
            <w:vAlign w:val="bottom"/>
          </w:tcPr>
          <w:p w14:paraId="13EDF889" w14:textId="77777777" w:rsidR="0016776E" w:rsidRPr="00EB50AC" w:rsidRDefault="0016776E" w:rsidP="0016776E">
            <w:pPr>
              <w:spacing w:before="40" w:after="40"/>
              <w:ind w:left="0"/>
              <w:rPr>
                <w:sz w:val="18"/>
                <w:szCs w:val="18"/>
              </w:rPr>
            </w:pPr>
          </w:p>
        </w:tc>
        <w:tc>
          <w:tcPr>
            <w:tcW w:w="972" w:type="dxa"/>
            <w:textDirection w:val="btLr"/>
            <w:vAlign w:val="bottom"/>
          </w:tcPr>
          <w:p w14:paraId="2B646D2C" w14:textId="4BA1C5D4" w:rsidR="0016776E" w:rsidRPr="00EB50AC" w:rsidRDefault="0016776E" w:rsidP="0016776E">
            <w:pPr>
              <w:spacing w:before="0"/>
              <w:ind w:left="113" w:right="113"/>
              <w:rPr>
                <w:sz w:val="18"/>
                <w:szCs w:val="18"/>
              </w:rPr>
            </w:pPr>
            <w:r>
              <w:rPr>
                <w:rFonts w:cs="Arial"/>
                <w:color w:val="000000"/>
                <w:sz w:val="18"/>
                <w:szCs w:val="18"/>
              </w:rPr>
              <w:t>Total number of firms</w:t>
            </w:r>
          </w:p>
        </w:tc>
        <w:tc>
          <w:tcPr>
            <w:tcW w:w="972" w:type="dxa"/>
            <w:textDirection w:val="btLr"/>
            <w:vAlign w:val="bottom"/>
          </w:tcPr>
          <w:p w14:paraId="46BCFCD0" w14:textId="182F2751" w:rsidR="0016776E" w:rsidRPr="00EB50AC" w:rsidRDefault="0016776E" w:rsidP="0016776E">
            <w:pPr>
              <w:spacing w:before="0"/>
              <w:ind w:left="113" w:right="113"/>
              <w:rPr>
                <w:sz w:val="18"/>
                <w:szCs w:val="18"/>
              </w:rPr>
            </w:pPr>
            <w:r>
              <w:rPr>
                <w:rFonts w:cs="Arial"/>
                <w:color w:val="000000"/>
                <w:sz w:val="18"/>
                <w:szCs w:val="18"/>
              </w:rPr>
              <w:t>Total turnover of all firms</w:t>
            </w:r>
          </w:p>
        </w:tc>
        <w:tc>
          <w:tcPr>
            <w:tcW w:w="972" w:type="dxa"/>
            <w:textDirection w:val="btLr"/>
            <w:vAlign w:val="bottom"/>
          </w:tcPr>
          <w:p w14:paraId="5B3B8A82" w14:textId="640404F9" w:rsidR="0016776E" w:rsidRPr="00EB50AC" w:rsidRDefault="0016776E" w:rsidP="0016776E">
            <w:pPr>
              <w:spacing w:before="0"/>
              <w:ind w:left="113" w:right="113"/>
              <w:rPr>
                <w:sz w:val="18"/>
                <w:szCs w:val="18"/>
              </w:rPr>
            </w:pPr>
            <w:r>
              <w:rPr>
                <w:rFonts w:cs="Arial"/>
                <w:color w:val="000000"/>
                <w:sz w:val="18"/>
                <w:szCs w:val="18"/>
              </w:rPr>
              <w:t>Number of creative industries firms</w:t>
            </w:r>
          </w:p>
        </w:tc>
        <w:tc>
          <w:tcPr>
            <w:tcW w:w="972" w:type="dxa"/>
            <w:textDirection w:val="btLr"/>
            <w:vAlign w:val="bottom"/>
          </w:tcPr>
          <w:p w14:paraId="163D79FE" w14:textId="093FA74B" w:rsidR="0016776E" w:rsidRPr="00EB50AC" w:rsidRDefault="0016776E" w:rsidP="0016776E">
            <w:pPr>
              <w:spacing w:before="0"/>
              <w:ind w:left="113" w:right="113"/>
              <w:rPr>
                <w:sz w:val="18"/>
                <w:szCs w:val="18"/>
              </w:rPr>
            </w:pPr>
            <w:r>
              <w:rPr>
                <w:rFonts w:cs="Arial"/>
                <w:color w:val="000000"/>
                <w:sz w:val="18"/>
                <w:szCs w:val="18"/>
              </w:rPr>
              <w:t>Creative industries firms per capita</w:t>
            </w:r>
          </w:p>
        </w:tc>
        <w:tc>
          <w:tcPr>
            <w:tcW w:w="972" w:type="dxa"/>
            <w:textDirection w:val="btLr"/>
            <w:vAlign w:val="bottom"/>
          </w:tcPr>
          <w:p w14:paraId="4F7DB3CE" w14:textId="6A018BC3" w:rsidR="0016776E" w:rsidRPr="00EB50AC" w:rsidRDefault="0016776E" w:rsidP="0016776E">
            <w:pPr>
              <w:spacing w:before="0"/>
              <w:ind w:left="113" w:right="113"/>
              <w:rPr>
                <w:sz w:val="18"/>
                <w:szCs w:val="18"/>
              </w:rPr>
            </w:pPr>
            <w:r>
              <w:rPr>
                <w:rFonts w:cs="Arial"/>
                <w:color w:val="000000"/>
                <w:sz w:val="18"/>
                <w:szCs w:val="18"/>
              </w:rPr>
              <w:t>Creative industries firms LQ</w:t>
            </w:r>
          </w:p>
        </w:tc>
        <w:tc>
          <w:tcPr>
            <w:tcW w:w="972" w:type="dxa"/>
            <w:textDirection w:val="btLr"/>
            <w:vAlign w:val="bottom"/>
          </w:tcPr>
          <w:p w14:paraId="2467B7F6" w14:textId="585B956D" w:rsidR="0016776E" w:rsidRPr="00EB50AC" w:rsidRDefault="0016776E" w:rsidP="0016776E">
            <w:pPr>
              <w:spacing w:before="0"/>
              <w:ind w:left="113" w:right="113"/>
              <w:rPr>
                <w:sz w:val="18"/>
                <w:szCs w:val="18"/>
              </w:rPr>
            </w:pPr>
            <w:r>
              <w:rPr>
                <w:rFonts w:cs="Arial"/>
                <w:color w:val="000000"/>
                <w:sz w:val="18"/>
                <w:szCs w:val="18"/>
              </w:rPr>
              <w:t>Net migration of creative industries firms</w:t>
            </w:r>
          </w:p>
        </w:tc>
        <w:tc>
          <w:tcPr>
            <w:tcW w:w="972" w:type="dxa"/>
            <w:textDirection w:val="btLr"/>
            <w:vAlign w:val="bottom"/>
          </w:tcPr>
          <w:p w14:paraId="3A090ED7" w14:textId="4C804B6B" w:rsidR="0016776E" w:rsidRPr="00EB50AC" w:rsidRDefault="0016776E" w:rsidP="0016776E">
            <w:pPr>
              <w:spacing w:before="0"/>
              <w:ind w:left="113" w:right="113"/>
              <w:rPr>
                <w:sz w:val="18"/>
                <w:szCs w:val="18"/>
              </w:rPr>
            </w:pPr>
            <w:r>
              <w:rPr>
                <w:rFonts w:cs="Arial"/>
                <w:color w:val="000000"/>
                <w:sz w:val="18"/>
                <w:szCs w:val="18"/>
              </w:rPr>
              <w:t>Turnover of creative industries firms</w:t>
            </w:r>
          </w:p>
        </w:tc>
      </w:tr>
      <w:tr w:rsidR="0016776E" w:rsidRPr="00AC62D7" w14:paraId="63CF4D9E" w14:textId="77777777" w:rsidTr="00F0636B">
        <w:trPr>
          <w:trHeight w:val="285"/>
        </w:trPr>
        <w:tc>
          <w:tcPr>
            <w:tcW w:w="2660" w:type="dxa"/>
            <w:noWrap/>
            <w:vAlign w:val="bottom"/>
          </w:tcPr>
          <w:p w14:paraId="559C88CD" w14:textId="70DA1306" w:rsidR="0016776E" w:rsidRPr="00EB50AC" w:rsidRDefault="0016776E" w:rsidP="0016776E">
            <w:pPr>
              <w:spacing w:before="40" w:after="40"/>
              <w:ind w:left="0"/>
              <w:rPr>
                <w:sz w:val="18"/>
                <w:szCs w:val="18"/>
              </w:rPr>
            </w:pPr>
            <w:r>
              <w:rPr>
                <w:rFonts w:cs="Arial"/>
                <w:color w:val="000000"/>
                <w:sz w:val="18"/>
                <w:szCs w:val="18"/>
              </w:rPr>
              <w:t>Total number of CS&amp;H assets</w:t>
            </w:r>
          </w:p>
        </w:tc>
        <w:tc>
          <w:tcPr>
            <w:tcW w:w="972" w:type="dxa"/>
            <w:noWrap/>
            <w:vAlign w:val="bottom"/>
          </w:tcPr>
          <w:p w14:paraId="7139004E" w14:textId="7918AE22" w:rsidR="0016776E" w:rsidRPr="00EB50AC" w:rsidRDefault="0016776E" w:rsidP="0016776E">
            <w:pPr>
              <w:spacing w:before="40" w:after="40"/>
              <w:ind w:left="0"/>
              <w:jc w:val="right"/>
              <w:rPr>
                <w:sz w:val="18"/>
                <w:szCs w:val="18"/>
              </w:rPr>
            </w:pPr>
            <w:r>
              <w:rPr>
                <w:rFonts w:cs="Arial"/>
                <w:color w:val="000000"/>
                <w:sz w:val="18"/>
                <w:szCs w:val="18"/>
              </w:rPr>
              <w:t>0.1</w:t>
            </w:r>
          </w:p>
        </w:tc>
        <w:tc>
          <w:tcPr>
            <w:tcW w:w="972" w:type="dxa"/>
            <w:noWrap/>
            <w:vAlign w:val="bottom"/>
          </w:tcPr>
          <w:p w14:paraId="32CD9664" w14:textId="42DD505A" w:rsidR="0016776E" w:rsidRPr="00EB50AC" w:rsidRDefault="0016776E" w:rsidP="0016776E">
            <w:pPr>
              <w:spacing w:before="40" w:after="40"/>
              <w:ind w:left="0"/>
              <w:jc w:val="right"/>
              <w:rPr>
                <w:sz w:val="18"/>
                <w:szCs w:val="18"/>
              </w:rPr>
            </w:pPr>
            <w:r>
              <w:rPr>
                <w:rFonts w:cs="Arial"/>
                <w:color w:val="000000"/>
                <w:sz w:val="18"/>
                <w:szCs w:val="18"/>
              </w:rPr>
              <w:t>-0.03</w:t>
            </w:r>
          </w:p>
        </w:tc>
        <w:tc>
          <w:tcPr>
            <w:tcW w:w="972" w:type="dxa"/>
            <w:noWrap/>
            <w:vAlign w:val="bottom"/>
          </w:tcPr>
          <w:p w14:paraId="140F3D18" w14:textId="3F606C3B" w:rsidR="0016776E" w:rsidRPr="00EB50AC" w:rsidRDefault="0016776E" w:rsidP="0016776E">
            <w:pPr>
              <w:spacing w:before="40" w:after="40"/>
              <w:ind w:left="0"/>
              <w:jc w:val="right"/>
              <w:rPr>
                <w:sz w:val="18"/>
                <w:szCs w:val="18"/>
              </w:rPr>
            </w:pPr>
            <w:r>
              <w:rPr>
                <w:rFonts w:cs="Arial"/>
                <w:color w:val="000000"/>
                <w:sz w:val="18"/>
                <w:szCs w:val="18"/>
              </w:rPr>
              <w:t>0.03</w:t>
            </w:r>
          </w:p>
        </w:tc>
        <w:tc>
          <w:tcPr>
            <w:tcW w:w="972" w:type="dxa"/>
            <w:noWrap/>
            <w:vAlign w:val="bottom"/>
          </w:tcPr>
          <w:p w14:paraId="27A76F21" w14:textId="7124DD9C" w:rsidR="0016776E" w:rsidRPr="00EB50AC" w:rsidRDefault="0016776E" w:rsidP="0016776E">
            <w:pPr>
              <w:spacing w:before="40" w:after="40"/>
              <w:ind w:left="0"/>
              <w:jc w:val="right"/>
              <w:rPr>
                <w:sz w:val="18"/>
                <w:szCs w:val="18"/>
              </w:rPr>
            </w:pPr>
            <w:r>
              <w:rPr>
                <w:rFonts w:cs="Arial"/>
                <w:color w:val="000000"/>
                <w:sz w:val="18"/>
                <w:szCs w:val="18"/>
              </w:rPr>
              <w:t>-0.04</w:t>
            </w:r>
          </w:p>
        </w:tc>
        <w:tc>
          <w:tcPr>
            <w:tcW w:w="972" w:type="dxa"/>
            <w:noWrap/>
            <w:vAlign w:val="bottom"/>
          </w:tcPr>
          <w:p w14:paraId="5D5EFB4F" w14:textId="2E56A322" w:rsidR="0016776E" w:rsidRPr="00EB50AC" w:rsidRDefault="0016776E" w:rsidP="0016776E">
            <w:pPr>
              <w:spacing w:before="40" w:after="40"/>
              <w:ind w:left="0"/>
              <w:jc w:val="right"/>
              <w:rPr>
                <w:sz w:val="18"/>
                <w:szCs w:val="18"/>
              </w:rPr>
            </w:pPr>
            <w:r>
              <w:rPr>
                <w:rFonts w:cs="Arial"/>
                <w:color w:val="000000"/>
                <w:sz w:val="18"/>
                <w:szCs w:val="18"/>
              </w:rPr>
              <w:t>-0.05</w:t>
            </w:r>
          </w:p>
        </w:tc>
        <w:tc>
          <w:tcPr>
            <w:tcW w:w="972" w:type="dxa"/>
            <w:noWrap/>
            <w:vAlign w:val="bottom"/>
          </w:tcPr>
          <w:p w14:paraId="1FDBF9FD" w14:textId="4CBD13C3" w:rsidR="0016776E" w:rsidRPr="00EB50AC" w:rsidRDefault="0016776E" w:rsidP="0016776E">
            <w:pPr>
              <w:spacing w:before="40" w:after="40"/>
              <w:ind w:left="0"/>
              <w:jc w:val="right"/>
              <w:rPr>
                <w:sz w:val="18"/>
                <w:szCs w:val="18"/>
              </w:rPr>
            </w:pPr>
            <w:r>
              <w:rPr>
                <w:rFonts w:cs="Arial"/>
                <w:color w:val="000000"/>
                <w:sz w:val="18"/>
                <w:szCs w:val="18"/>
              </w:rPr>
              <w:t>0.19</w:t>
            </w:r>
          </w:p>
        </w:tc>
        <w:tc>
          <w:tcPr>
            <w:tcW w:w="972" w:type="dxa"/>
            <w:noWrap/>
            <w:vAlign w:val="bottom"/>
          </w:tcPr>
          <w:p w14:paraId="55123527" w14:textId="0CABF377" w:rsidR="0016776E" w:rsidRPr="00EB50AC" w:rsidRDefault="0016776E" w:rsidP="0016776E">
            <w:pPr>
              <w:spacing w:before="40" w:after="40"/>
              <w:ind w:left="0"/>
              <w:jc w:val="right"/>
              <w:rPr>
                <w:sz w:val="18"/>
                <w:szCs w:val="18"/>
              </w:rPr>
            </w:pPr>
            <w:r>
              <w:rPr>
                <w:rFonts w:cs="Arial"/>
                <w:color w:val="000000"/>
                <w:sz w:val="18"/>
                <w:szCs w:val="18"/>
              </w:rPr>
              <w:t>-0.11</w:t>
            </w:r>
          </w:p>
        </w:tc>
      </w:tr>
      <w:tr w:rsidR="0016776E" w:rsidRPr="00AC62D7" w14:paraId="7D36766F" w14:textId="77777777" w:rsidTr="00F0636B">
        <w:trPr>
          <w:trHeight w:val="285"/>
        </w:trPr>
        <w:tc>
          <w:tcPr>
            <w:tcW w:w="2660" w:type="dxa"/>
            <w:noWrap/>
            <w:vAlign w:val="bottom"/>
          </w:tcPr>
          <w:p w14:paraId="22E181BD" w14:textId="3BA7C49E" w:rsidR="0016776E" w:rsidRPr="00EB50AC" w:rsidRDefault="0016776E" w:rsidP="0016776E">
            <w:pPr>
              <w:spacing w:before="40" w:after="40"/>
              <w:ind w:left="0"/>
              <w:rPr>
                <w:sz w:val="18"/>
                <w:szCs w:val="18"/>
              </w:rPr>
            </w:pPr>
            <w:r>
              <w:rPr>
                <w:rFonts w:cs="Arial"/>
                <w:color w:val="000000"/>
                <w:sz w:val="18"/>
                <w:szCs w:val="18"/>
              </w:rPr>
              <w:t>CS&amp;H assets density</w:t>
            </w:r>
          </w:p>
        </w:tc>
        <w:tc>
          <w:tcPr>
            <w:tcW w:w="972" w:type="dxa"/>
            <w:noWrap/>
            <w:vAlign w:val="bottom"/>
          </w:tcPr>
          <w:p w14:paraId="403AF33F" w14:textId="2E2EB791" w:rsidR="0016776E" w:rsidRPr="00EB50AC" w:rsidRDefault="0016776E" w:rsidP="0016776E">
            <w:pPr>
              <w:spacing w:before="40" w:after="40"/>
              <w:ind w:left="0"/>
              <w:jc w:val="right"/>
              <w:rPr>
                <w:sz w:val="18"/>
                <w:szCs w:val="18"/>
              </w:rPr>
            </w:pPr>
            <w:r>
              <w:rPr>
                <w:rFonts w:cs="Arial"/>
                <w:color w:val="000000"/>
                <w:sz w:val="18"/>
                <w:szCs w:val="18"/>
              </w:rPr>
              <w:t>0.02</w:t>
            </w:r>
          </w:p>
        </w:tc>
        <w:tc>
          <w:tcPr>
            <w:tcW w:w="972" w:type="dxa"/>
            <w:noWrap/>
            <w:vAlign w:val="bottom"/>
          </w:tcPr>
          <w:p w14:paraId="30928B95" w14:textId="51450B2B" w:rsidR="0016776E" w:rsidRPr="00EB50AC" w:rsidRDefault="0016776E" w:rsidP="0016776E">
            <w:pPr>
              <w:spacing w:before="40" w:after="40"/>
              <w:ind w:left="0"/>
              <w:jc w:val="right"/>
              <w:rPr>
                <w:sz w:val="18"/>
                <w:szCs w:val="18"/>
              </w:rPr>
            </w:pPr>
            <w:r>
              <w:rPr>
                <w:rFonts w:cs="Arial"/>
                <w:color w:val="000000"/>
                <w:sz w:val="18"/>
                <w:szCs w:val="18"/>
              </w:rPr>
              <w:t>0.06</w:t>
            </w:r>
          </w:p>
        </w:tc>
        <w:tc>
          <w:tcPr>
            <w:tcW w:w="972" w:type="dxa"/>
            <w:noWrap/>
            <w:vAlign w:val="bottom"/>
          </w:tcPr>
          <w:p w14:paraId="0101A8DA" w14:textId="60CA5420" w:rsidR="0016776E" w:rsidRPr="00EB50AC" w:rsidRDefault="0016776E" w:rsidP="0016776E">
            <w:pPr>
              <w:spacing w:before="40" w:after="40"/>
              <w:ind w:left="0"/>
              <w:jc w:val="right"/>
              <w:rPr>
                <w:sz w:val="18"/>
                <w:szCs w:val="18"/>
              </w:rPr>
            </w:pPr>
            <w:r>
              <w:rPr>
                <w:rFonts w:cs="Arial"/>
                <w:color w:val="000000"/>
                <w:sz w:val="18"/>
                <w:szCs w:val="18"/>
              </w:rPr>
              <w:t>0.12</w:t>
            </w:r>
          </w:p>
        </w:tc>
        <w:tc>
          <w:tcPr>
            <w:tcW w:w="972" w:type="dxa"/>
            <w:noWrap/>
            <w:vAlign w:val="bottom"/>
          </w:tcPr>
          <w:p w14:paraId="37B75EE1" w14:textId="4D0A31DB" w:rsidR="0016776E" w:rsidRPr="00EB50AC" w:rsidRDefault="0016776E" w:rsidP="0016776E">
            <w:pPr>
              <w:spacing w:before="40" w:after="40"/>
              <w:ind w:left="0"/>
              <w:jc w:val="right"/>
              <w:rPr>
                <w:sz w:val="18"/>
                <w:szCs w:val="18"/>
              </w:rPr>
            </w:pPr>
            <w:r>
              <w:rPr>
                <w:rFonts w:cs="Arial"/>
                <w:color w:val="000000"/>
                <w:sz w:val="18"/>
                <w:szCs w:val="18"/>
              </w:rPr>
              <w:t>0.08</w:t>
            </w:r>
          </w:p>
        </w:tc>
        <w:tc>
          <w:tcPr>
            <w:tcW w:w="972" w:type="dxa"/>
            <w:noWrap/>
            <w:vAlign w:val="bottom"/>
          </w:tcPr>
          <w:p w14:paraId="10BFB39C" w14:textId="1B277D6C" w:rsidR="0016776E" w:rsidRPr="00EB50AC" w:rsidRDefault="0016776E" w:rsidP="0016776E">
            <w:pPr>
              <w:spacing w:before="40" w:after="40"/>
              <w:ind w:left="0"/>
              <w:jc w:val="right"/>
              <w:rPr>
                <w:sz w:val="18"/>
                <w:szCs w:val="18"/>
              </w:rPr>
            </w:pPr>
            <w:r>
              <w:rPr>
                <w:rFonts w:cs="Arial"/>
                <w:color w:val="000000"/>
                <w:sz w:val="18"/>
                <w:szCs w:val="18"/>
              </w:rPr>
              <w:t>0.13</w:t>
            </w:r>
          </w:p>
        </w:tc>
        <w:tc>
          <w:tcPr>
            <w:tcW w:w="972" w:type="dxa"/>
            <w:noWrap/>
            <w:vAlign w:val="bottom"/>
          </w:tcPr>
          <w:p w14:paraId="255A2CC2" w14:textId="55034A10" w:rsidR="0016776E" w:rsidRPr="00EB50AC" w:rsidRDefault="0016776E" w:rsidP="0016776E">
            <w:pPr>
              <w:spacing w:before="40" w:after="40"/>
              <w:ind w:left="0"/>
              <w:jc w:val="right"/>
              <w:rPr>
                <w:sz w:val="18"/>
                <w:szCs w:val="18"/>
              </w:rPr>
            </w:pPr>
            <w:r>
              <w:rPr>
                <w:rFonts w:cs="Arial"/>
                <w:color w:val="000000"/>
                <w:sz w:val="18"/>
                <w:szCs w:val="18"/>
              </w:rPr>
              <w:t>-0.09</w:t>
            </w:r>
          </w:p>
        </w:tc>
        <w:tc>
          <w:tcPr>
            <w:tcW w:w="972" w:type="dxa"/>
            <w:noWrap/>
            <w:vAlign w:val="bottom"/>
          </w:tcPr>
          <w:p w14:paraId="0F73D417" w14:textId="7A3D19A2" w:rsidR="0016776E" w:rsidRPr="00EB50AC" w:rsidRDefault="0016776E" w:rsidP="0016776E">
            <w:pPr>
              <w:spacing w:before="40" w:after="40"/>
              <w:ind w:left="0"/>
              <w:jc w:val="right"/>
              <w:rPr>
                <w:sz w:val="18"/>
                <w:szCs w:val="18"/>
              </w:rPr>
            </w:pPr>
            <w:r>
              <w:rPr>
                <w:rFonts w:cs="Arial"/>
                <w:color w:val="000000"/>
                <w:sz w:val="18"/>
                <w:szCs w:val="18"/>
              </w:rPr>
              <w:t>0.12</w:t>
            </w:r>
          </w:p>
        </w:tc>
      </w:tr>
      <w:tr w:rsidR="0016776E" w:rsidRPr="00AC62D7" w14:paraId="1EBAD39A" w14:textId="77777777" w:rsidTr="00F0636B">
        <w:trPr>
          <w:trHeight w:val="285"/>
        </w:trPr>
        <w:tc>
          <w:tcPr>
            <w:tcW w:w="2660" w:type="dxa"/>
            <w:noWrap/>
            <w:vAlign w:val="bottom"/>
          </w:tcPr>
          <w:p w14:paraId="2D6A6A33" w14:textId="150D432E" w:rsidR="0016776E" w:rsidRPr="00EB50AC" w:rsidRDefault="0016776E" w:rsidP="0016776E">
            <w:pPr>
              <w:spacing w:before="40" w:after="40"/>
              <w:ind w:left="0"/>
              <w:rPr>
                <w:sz w:val="18"/>
                <w:szCs w:val="18"/>
              </w:rPr>
            </w:pPr>
            <w:r>
              <w:rPr>
                <w:rFonts w:cs="Arial"/>
                <w:color w:val="000000"/>
                <w:sz w:val="18"/>
                <w:szCs w:val="18"/>
              </w:rPr>
              <w:t>Number of Heritage assets</w:t>
            </w:r>
          </w:p>
        </w:tc>
        <w:tc>
          <w:tcPr>
            <w:tcW w:w="972" w:type="dxa"/>
            <w:noWrap/>
            <w:vAlign w:val="bottom"/>
          </w:tcPr>
          <w:p w14:paraId="6678F354" w14:textId="38D701C5" w:rsidR="0016776E" w:rsidRPr="00EB50AC" w:rsidRDefault="0016776E" w:rsidP="0016776E">
            <w:pPr>
              <w:spacing w:before="40" w:after="40"/>
              <w:ind w:left="0"/>
              <w:jc w:val="right"/>
              <w:rPr>
                <w:sz w:val="18"/>
                <w:szCs w:val="18"/>
              </w:rPr>
            </w:pPr>
            <w:r>
              <w:rPr>
                <w:rFonts w:cs="Arial"/>
                <w:color w:val="000000"/>
                <w:sz w:val="18"/>
                <w:szCs w:val="18"/>
              </w:rPr>
              <w:t>0.31</w:t>
            </w:r>
          </w:p>
        </w:tc>
        <w:tc>
          <w:tcPr>
            <w:tcW w:w="972" w:type="dxa"/>
            <w:noWrap/>
            <w:vAlign w:val="bottom"/>
          </w:tcPr>
          <w:p w14:paraId="491BBE53" w14:textId="2B6BB60A" w:rsidR="0016776E" w:rsidRPr="00EB50AC" w:rsidRDefault="0016776E" w:rsidP="0016776E">
            <w:pPr>
              <w:spacing w:before="40" w:after="40"/>
              <w:ind w:left="0"/>
              <w:jc w:val="right"/>
              <w:rPr>
                <w:sz w:val="18"/>
                <w:szCs w:val="18"/>
              </w:rPr>
            </w:pPr>
            <w:r>
              <w:rPr>
                <w:rFonts w:cs="Arial"/>
                <w:color w:val="000000"/>
                <w:sz w:val="18"/>
                <w:szCs w:val="18"/>
              </w:rPr>
              <w:t>0.06</w:t>
            </w:r>
          </w:p>
        </w:tc>
        <w:tc>
          <w:tcPr>
            <w:tcW w:w="972" w:type="dxa"/>
            <w:noWrap/>
            <w:vAlign w:val="bottom"/>
          </w:tcPr>
          <w:p w14:paraId="486143B4" w14:textId="5E335E72" w:rsidR="0016776E" w:rsidRPr="00EB50AC" w:rsidRDefault="0016776E" w:rsidP="0016776E">
            <w:pPr>
              <w:spacing w:before="40" w:after="40"/>
              <w:ind w:left="0"/>
              <w:jc w:val="right"/>
              <w:rPr>
                <w:sz w:val="18"/>
                <w:szCs w:val="18"/>
              </w:rPr>
            </w:pPr>
            <w:r>
              <w:rPr>
                <w:rFonts w:cs="Arial"/>
                <w:color w:val="000000"/>
                <w:sz w:val="18"/>
                <w:szCs w:val="18"/>
              </w:rPr>
              <w:t>0.22</w:t>
            </w:r>
          </w:p>
        </w:tc>
        <w:tc>
          <w:tcPr>
            <w:tcW w:w="972" w:type="dxa"/>
            <w:noWrap/>
            <w:vAlign w:val="bottom"/>
          </w:tcPr>
          <w:p w14:paraId="566F2A27" w14:textId="73BB19D2" w:rsidR="0016776E" w:rsidRPr="00EB50AC" w:rsidRDefault="0016776E" w:rsidP="0016776E">
            <w:pPr>
              <w:spacing w:before="40" w:after="40"/>
              <w:ind w:left="0"/>
              <w:jc w:val="right"/>
              <w:rPr>
                <w:sz w:val="18"/>
                <w:szCs w:val="18"/>
              </w:rPr>
            </w:pPr>
            <w:r>
              <w:rPr>
                <w:rFonts w:cs="Arial"/>
                <w:color w:val="000000"/>
                <w:sz w:val="18"/>
                <w:szCs w:val="18"/>
              </w:rPr>
              <w:t>-0.02</w:t>
            </w:r>
          </w:p>
        </w:tc>
        <w:tc>
          <w:tcPr>
            <w:tcW w:w="972" w:type="dxa"/>
            <w:noWrap/>
            <w:vAlign w:val="bottom"/>
          </w:tcPr>
          <w:p w14:paraId="01B10B3D" w14:textId="6BDA8865" w:rsidR="0016776E" w:rsidRPr="00EB50AC" w:rsidRDefault="0016776E" w:rsidP="0016776E">
            <w:pPr>
              <w:spacing w:before="40" w:after="40"/>
              <w:ind w:left="0"/>
              <w:jc w:val="right"/>
              <w:rPr>
                <w:sz w:val="18"/>
                <w:szCs w:val="18"/>
              </w:rPr>
            </w:pPr>
            <w:r>
              <w:rPr>
                <w:rFonts w:cs="Arial"/>
                <w:color w:val="000000"/>
                <w:sz w:val="18"/>
                <w:szCs w:val="18"/>
              </w:rPr>
              <w:t>-0.07</w:t>
            </w:r>
          </w:p>
        </w:tc>
        <w:tc>
          <w:tcPr>
            <w:tcW w:w="972" w:type="dxa"/>
            <w:noWrap/>
            <w:vAlign w:val="bottom"/>
          </w:tcPr>
          <w:p w14:paraId="0008DA50" w14:textId="39AF7551" w:rsidR="0016776E" w:rsidRPr="00EB50AC" w:rsidRDefault="0016776E" w:rsidP="0016776E">
            <w:pPr>
              <w:spacing w:before="40" w:after="40"/>
              <w:ind w:left="0"/>
              <w:jc w:val="right"/>
              <w:rPr>
                <w:sz w:val="18"/>
                <w:szCs w:val="18"/>
              </w:rPr>
            </w:pPr>
            <w:r>
              <w:rPr>
                <w:rFonts w:cs="Arial"/>
                <w:color w:val="000000"/>
                <w:sz w:val="18"/>
                <w:szCs w:val="18"/>
              </w:rPr>
              <w:t>0.12</w:t>
            </w:r>
          </w:p>
        </w:tc>
        <w:tc>
          <w:tcPr>
            <w:tcW w:w="972" w:type="dxa"/>
            <w:noWrap/>
            <w:vAlign w:val="bottom"/>
          </w:tcPr>
          <w:p w14:paraId="6EABD68D" w14:textId="1B346A30" w:rsidR="0016776E" w:rsidRPr="00EB50AC" w:rsidRDefault="0016776E" w:rsidP="0016776E">
            <w:pPr>
              <w:spacing w:before="40" w:after="40"/>
              <w:ind w:left="0"/>
              <w:jc w:val="right"/>
              <w:rPr>
                <w:sz w:val="18"/>
                <w:szCs w:val="18"/>
              </w:rPr>
            </w:pPr>
            <w:r>
              <w:rPr>
                <w:rFonts w:cs="Arial"/>
                <w:color w:val="000000"/>
                <w:sz w:val="18"/>
                <w:szCs w:val="18"/>
              </w:rPr>
              <w:t>0.05</w:t>
            </w:r>
          </w:p>
        </w:tc>
      </w:tr>
      <w:tr w:rsidR="0016776E" w:rsidRPr="00AC62D7" w14:paraId="4A8267EB" w14:textId="77777777" w:rsidTr="00F0636B">
        <w:trPr>
          <w:trHeight w:val="285"/>
        </w:trPr>
        <w:tc>
          <w:tcPr>
            <w:tcW w:w="2660" w:type="dxa"/>
            <w:noWrap/>
            <w:vAlign w:val="bottom"/>
          </w:tcPr>
          <w:p w14:paraId="0054814F" w14:textId="44DA6B09" w:rsidR="0016776E" w:rsidRPr="00EB50AC" w:rsidRDefault="0016776E" w:rsidP="0016776E">
            <w:pPr>
              <w:spacing w:before="40" w:after="40"/>
              <w:ind w:left="0"/>
              <w:rPr>
                <w:sz w:val="18"/>
                <w:szCs w:val="18"/>
              </w:rPr>
            </w:pPr>
            <w:r>
              <w:rPr>
                <w:rFonts w:cs="Arial"/>
                <w:color w:val="000000"/>
                <w:sz w:val="18"/>
                <w:szCs w:val="18"/>
              </w:rPr>
              <w:t>Number of sports</w:t>
            </w:r>
            <w:bookmarkStart w:id="133" w:name="_GoBack"/>
            <w:bookmarkEnd w:id="133"/>
            <w:r>
              <w:rPr>
                <w:rFonts w:cs="Arial"/>
                <w:color w:val="000000"/>
                <w:sz w:val="18"/>
                <w:szCs w:val="18"/>
              </w:rPr>
              <w:t xml:space="preserve"> assets</w:t>
            </w:r>
          </w:p>
        </w:tc>
        <w:tc>
          <w:tcPr>
            <w:tcW w:w="972" w:type="dxa"/>
            <w:noWrap/>
            <w:vAlign w:val="bottom"/>
          </w:tcPr>
          <w:p w14:paraId="44F15651" w14:textId="0A490992" w:rsidR="0016776E" w:rsidRPr="00EB50AC" w:rsidRDefault="0016776E" w:rsidP="0016776E">
            <w:pPr>
              <w:spacing w:before="40" w:after="40"/>
              <w:ind w:left="0"/>
              <w:jc w:val="right"/>
              <w:rPr>
                <w:sz w:val="18"/>
                <w:szCs w:val="18"/>
              </w:rPr>
            </w:pPr>
            <w:r>
              <w:rPr>
                <w:rFonts w:cs="Arial"/>
                <w:color w:val="000000"/>
                <w:sz w:val="18"/>
                <w:szCs w:val="18"/>
              </w:rPr>
              <w:t>0.61</w:t>
            </w:r>
          </w:p>
        </w:tc>
        <w:tc>
          <w:tcPr>
            <w:tcW w:w="972" w:type="dxa"/>
            <w:noWrap/>
            <w:vAlign w:val="bottom"/>
          </w:tcPr>
          <w:p w14:paraId="7989381E" w14:textId="2F00DC97" w:rsidR="0016776E" w:rsidRPr="00EB50AC" w:rsidRDefault="0016776E" w:rsidP="0016776E">
            <w:pPr>
              <w:spacing w:before="40" w:after="40"/>
              <w:ind w:left="0"/>
              <w:jc w:val="right"/>
              <w:rPr>
                <w:sz w:val="18"/>
                <w:szCs w:val="18"/>
              </w:rPr>
            </w:pPr>
            <w:r>
              <w:rPr>
                <w:rFonts w:cs="Arial"/>
                <w:color w:val="000000"/>
                <w:sz w:val="18"/>
                <w:szCs w:val="18"/>
              </w:rPr>
              <w:t>0.1</w:t>
            </w:r>
          </w:p>
        </w:tc>
        <w:tc>
          <w:tcPr>
            <w:tcW w:w="972" w:type="dxa"/>
            <w:noWrap/>
            <w:vAlign w:val="bottom"/>
          </w:tcPr>
          <w:p w14:paraId="203AC532" w14:textId="4F1B4952" w:rsidR="0016776E" w:rsidRPr="00EB50AC" w:rsidRDefault="0016776E" w:rsidP="0016776E">
            <w:pPr>
              <w:spacing w:before="40" w:after="40"/>
              <w:ind w:left="0"/>
              <w:jc w:val="right"/>
              <w:rPr>
                <w:sz w:val="18"/>
                <w:szCs w:val="18"/>
              </w:rPr>
            </w:pPr>
            <w:r>
              <w:rPr>
                <w:rFonts w:cs="Arial"/>
                <w:color w:val="000000"/>
                <w:sz w:val="18"/>
                <w:szCs w:val="18"/>
              </w:rPr>
              <w:t>0.39</w:t>
            </w:r>
          </w:p>
        </w:tc>
        <w:tc>
          <w:tcPr>
            <w:tcW w:w="972" w:type="dxa"/>
            <w:noWrap/>
            <w:vAlign w:val="bottom"/>
          </w:tcPr>
          <w:p w14:paraId="09ABD108" w14:textId="64D8BF08" w:rsidR="0016776E" w:rsidRPr="00EB50AC" w:rsidRDefault="0016776E" w:rsidP="0016776E">
            <w:pPr>
              <w:spacing w:before="40" w:after="40"/>
              <w:ind w:left="0"/>
              <w:jc w:val="right"/>
              <w:rPr>
                <w:sz w:val="18"/>
                <w:szCs w:val="18"/>
              </w:rPr>
            </w:pPr>
            <w:r>
              <w:rPr>
                <w:rFonts w:cs="Arial"/>
                <w:color w:val="000000"/>
                <w:sz w:val="18"/>
                <w:szCs w:val="18"/>
              </w:rPr>
              <w:t>-0.14</w:t>
            </w:r>
          </w:p>
        </w:tc>
        <w:tc>
          <w:tcPr>
            <w:tcW w:w="972" w:type="dxa"/>
            <w:noWrap/>
            <w:vAlign w:val="bottom"/>
          </w:tcPr>
          <w:p w14:paraId="1F7EC66C" w14:textId="6A25737D" w:rsidR="0016776E" w:rsidRPr="00EB50AC" w:rsidRDefault="0016776E" w:rsidP="0016776E">
            <w:pPr>
              <w:spacing w:before="40" w:after="40"/>
              <w:ind w:left="0"/>
              <w:jc w:val="right"/>
              <w:rPr>
                <w:sz w:val="18"/>
                <w:szCs w:val="18"/>
              </w:rPr>
            </w:pPr>
            <w:r>
              <w:rPr>
                <w:rFonts w:cs="Arial"/>
                <w:color w:val="000000"/>
                <w:sz w:val="18"/>
                <w:szCs w:val="18"/>
              </w:rPr>
              <w:t>-0.16</w:t>
            </w:r>
          </w:p>
        </w:tc>
        <w:tc>
          <w:tcPr>
            <w:tcW w:w="972" w:type="dxa"/>
            <w:noWrap/>
            <w:vAlign w:val="bottom"/>
          </w:tcPr>
          <w:p w14:paraId="5D8EDEA5" w14:textId="39CC7D98" w:rsidR="0016776E" w:rsidRPr="00EB50AC" w:rsidRDefault="0016776E" w:rsidP="0016776E">
            <w:pPr>
              <w:spacing w:before="40" w:after="40"/>
              <w:ind w:left="0"/>
              <w:jc w:val="right"/>
              <w:rPr>
                <w:sz w:val="18"/>
                <w:szCs w:val="18"/>
              </w:rPr>
            </w:pPr>
            <w:r>
              <w:rPr>
                <w:rFonts w:cs="Arial"/>
                <w:color w:val="000000"/>
                <w:sz w:val="18"/>
                <w:szCs w:val="18"/>
              </w:rPr>
              <w:t>-0.02</w:t>
            </w:r>
          </w:p>
        </w:tc>
        <w:tc>
          <w:tcPr>
            <w:tcW w:w="972" w:type="dxa"/>
            <w:noWrap/>
            <w:vAlign w:val="bottom"/>
          </w:tcPr>
          <w:p w14:paraId="4D004FBC" w14:textId="74FAFB5E" w:rsidR="0016776E" w:rsidRPr="00EB50AC" w:rsidRDefault="0016776E" w:rsidP="0016776E">
            <w:pPr>
              <w:spacing w:before="40" w:after="40"/>
              <w:ind w:left="0"/>
              <w:jc w:val="right"/>
              <w:rPr>
                <w:sz w:val="18"/>
                <w:szCs w:val="18"/>
              </w:rPr>
            </w:pPr>
            <w:r>
              <w:rPr>
                <w:rFonts w:cs="Arial"/>
                <w:color w:val="000000"/>
                <w:sz w:val="18"/>
                <w:szCs w:val="18"/>
              </w:rPr>
              <w:t>0.07</w:t>
            </w:r>
          </w:p>
        </w:tc>
      </w:tr>
      <w:tr w:rsidR="0016776E" w:rsidRPr="00AC62D7" w14:paraId="33BA8F28" w14:textId="77777777" w:rsidTr="00F0636B">
        <w:trPr>
          <w:trHeight w:val="285"/>
        </w:trPr>
        <w:tc>
          <w:tcPr>
            <w:tcW w:w="2660" w:type="dxa"/>
            <w:noWrap/>
            <w:vAlign w:val="bottom"/>
          </w:tcPr>
          <w:p w14:paraId="07D97219" w14:textId="5B8A4C78" w:rsidR="0016776E" w:rsidRPr="00EB50AC" w:rsidRDefault="0016776E" w:rsidP="0016776E">
            <w:pPr>
              <w:spacing w:before="40" w:after="40"/>
              <w:ind w:left="0"/>
              <w:rPr>
                <w:sz w:val="18"/>
                <w:szCs w:val="18"/>
              </w:rPr>
            </w:pPr>
            <w:r>
              <w:rPr>
                <w:rFonts w:cs="Arial"/>
                <w:color w:val="000000"/>
                <w:sz w:val="18"/>
                <w:szCs w:val="18"/>
              </w:rPr>
              <w:lastRenderedPageBreak/>
              <w:t>Sports assets density</w:t>
            </w:r>
          </w:p>
        </w:tc>
        <w:tc>
          <w:tcPr>
            <w:tcW w:w="972" w:type="dxa"/>
            <w:noWrap/>
            <w:vAlign w:val="bottom"/>
          </w:tcPr>
          <w:p w14:paraId="3BFAE6C0" w14:textId="63A4733B" w:rsidR="0016776E" w:rsidRPr="00EB50AC" w:rsidRDefault="0016776E" w:rsidP="0016776E">
            <w:pPr>
              <w:spacing w:before="40" w:after="40"/>
              <w:ind w:left="0"/>
              <w:jc w:val="right"/>
              <w:rPr>
                <w:sz w:val="18"/>
                <w:szCs w:val="18"/>
              </w:rPr>
            </w:pPr>
            <w:r>
              <w:rPr>
                <w:rFonts w:cs="Arial"/>
                <w:color w:val="000000"/>
                <w:sz w:val="18"/>
                <w:szCs w:val="18"/>
              </w:rPr>
              <w:t>-0.19</w:t>
            </w:r>
          </w:p>
        </w:tc>
        <w:tc>
          <w:tcPr>
            <w:tcW w:w="972" w:type="dxa"/>
            <w:noWrap/>
            <w:vAlign w:val="bottom"/>
          </w:tcPr>
          <w:p w14:paraId="23731A09" w14:textId="36E57DE5" w:rsidR="0016776E" w:rsidRPr="00EB50AC" w:rsidRDefault="0016776E" w:rsidP="0016776E">
            <w:pPr>
              <w:spacing w:before="40" w:after="40"/>
              <w:ind w:left="0"/>
              <w:jc w:val="right"/>
              <w:rPr>
                <w:sz w:val="18"/>
                <w:szCs w:val="18"/>
              </w:rPr>
            </w:pPr>
            <w:r>
              <w:rPr>
                <w:rFonts w:cs="Arial"/>
                <w:color w:val="000000"/>
                <w:sz w:val="18"/>
                <w:szCs w:val="18"/>
              </w:rPr>
              <w:t>0.11</w:t>
            </w:r>
          </w:p>
        </w:tc>
        <w:tc>
          <w:tcPr>
            <w:tcW w:w="972" w:type="dxa"/>
            <w:noWrap/>
            <w:vAlign w:val="bottom"/>
          </w:tcPr>
          <w:p w14:paraId="11BA8D49" w14:textId="1D1B7D68" w:rsidR="0016776E" w:rsidRPr="00EB50AC" w:rsidRDefault="0016776E" w:rsidP="0016776E">
            <w:pPr>
              <w:spacing w:before="40" w:after="40"/>
              <w:ind w:left="0"/>
              <w:jc w:val="right"/>
              <w:rPr>
                <w:sz w:val="18"/>
                <w:szCs w:val="18"/>
              </w:rPr>
            </w:pPr>
            <w:r>
              <w:rPr>
                <w:rFonts w:cs="Arial"/>
                <w:color w:val="000000"/>
                <w:sz w:val="18"/>
                <w:szCs w:val="18"/>
              </w:rPr>
              <w:t>-0.24</w:t>
            </w:r>
          </w:p>
        </w:tc>
        <w:tc>
          <w:tcPr>
            <w:tcW w:w="972" w:type="dxa"/>
            <w:noWrap/>
            <w:vAlign w:val="bottom"/>
          </w:tcPr>
          <w:p w14:paraId="3CCADDF8" w14:textId="42A6AFA2" w:rsidR="0016776E" w:rsidRPr="00EB50AC" w:rsidRDefault="0016776E" w:rsidP="0016776E">
            <w:pPr>
              <w:spacing w:before="40" w:after="40"/>
              <w:ind w:left="0"/>
              <w:jc w:val="right"/>
              <w:rPr>
                <w:sz w:val="18"/>
                <w:szCs w:val="18"/>
              </w:rPr>
            </w:pPr>
            <w:r>
              <w:rPr>
                <w:rFonts w:cs="Arial"/>
                <w:color w:val="000000"/>
                <w:sz w:val="18"/>
                <w:szCs w:val="18"/>
              </w:rPr>
              <w:t>0.57</w:t>
            </w:r>
          </w:p>
        </w:tc>
        <w:tc>
          <w:tcPr>
            <w:tcW w:w="972" w:type="dxa"/>
            <w:noWrap/>
            <w:vAlign w:val="bottom"/>
          </w:tcPr>
          <w:p w14:paraId="4DB252A0" w14:textId="0FACC42E" w:rsidR="0016776E" w:rsidRPr="00EB50AC" w:rsidRDefault="0016776E" w:rsidP="0016776E">
            <w:pPr>
              <w:spacing w:before="40" w:after="40"/>
              <w:ind w:left="0"/>
              <w:jc w:val="right"/>
              <w:rPr>
                <w:sz w:val="18"/>
                <w:szCs w:val="18"/>
              </w:rPr>
            </w:pPr>
            <w:r>
              <w:rPr>
                <w:rFonts w:cs="Arial"/>
                <w:color w:val="000000"/>
                <w:sz w:val="18"/>
                <w:szCs w:val="18"/>
              </w:rPr>
              <w:t>0.16</w:t>
            </w:r>
          </w:p>
        </w:tc>
        <w:tc>
          <w:tcPr>
            <w:tcW w:w="972" w:type="dxa"/>
            <w:noWrap/>
            <w:vAlign w:val="bottom"/>
          </w:tcPr>
          <w:p w14:paraId="4D18B4AB" w14:textId="71EEC285" w:rsidR="0016776E" w:rsidRPr="00EB50AC" w:rsidRDefault="0016776E" w:rsidP="0016776E">
            <w:pPr>
              <w:spacing w:before="40" w:after="40"/>
              <w:ind w:left="0"/>
              <w:jc w:val="right"/>
              <w:rPr>
                <w:sz w:val="18"/>
                <w:szCs w:val="18"/>
              </w:rPr>
            </w:pPr>
            <w:r>
              <w:rPr>
                <w:rFonts w:cs="Arial"/>
                <w:color w:val="000000"/>
                <w:sz w:val="18"/>
                <w:szCs w:val="18"/>
              </w:rPr>
              <w:t>0.14</w:t>
            </w:r>
          </w:p>
        </w:tc>
        <w:tc>
          <w:tcPr>
            <w:tcW w:w="972" w:type="dxa"/>
            <w:noWrap/>
            <w:vAlign w:val="bottom"/>
          </w:tcPr>
          <w:p w14:paraId="47D7D737" w14:textId="6FA94FCA" w:rsidR="0016776E" w:rsidRPr="00EB50AC" w:rsidRDefault="0016776E" w:rsidP="0016776E">
            <w:pPr>
              <w:spacing w:before="40" w:after="40"/>
              <w:ind w:left="0"/>
              <w:jc w:val="right"/>
              <w:rPr>
                <w:sz w:val="18"/>
                <w:szCs w:val="18"/>
              </w:rPr>
            </w:pPr>
            <w:r>
              <w:rPr>
                <w:rFonts w:cs="Arial"/>
                <w:color w:val="000000"/>
                <w:sz w:val="18"/>
                <w:szCs w:val="18"/>
              </w:rPr>
              <w:t>-0.22</w:t>
            </w:r>
          </w:p>
        </w:tc>
      </w:tr>
    </w:tbl>
    <w:p w14:paraId="540FA0C2" w14:textId="77777777" w:rsidR="0016776E" w:rsidRPr="009548FC" w:rsidRDefault="0016776E" w:rsidP="0016776E">
      <w:pPr>
        <w:ind w:left="0"/>
        <w:rPr>
          <w:rFonts w:eastAsia="Calibri" w:cs="Arial"/>
          <w:sz w:val="18"/>
        </w:rPr>
      </w:pPr>
      <w:r w:rsidRPr="009548FC">
        <w:rPr>
          <w:rFonts w:eastAsia="Calibri" w:cs="Arial"/>
          <w:sz w:val="18"/>
        </w:rPr>
        <w:t>Source: NEF Consulting</w:t>
      </w:r>
    </w:p>
    <w:p w14:paraId="7E1DCD4D" w14:textId="77777777" w:rsidR="0016776E" w:rsidRPr="003B1B5F" w:rsidRDefault="0016776E" w:rsidP="005567B2"/>
    <w:p w14:paraId="4631C51E" w14:textId="0A638850" w:rsidR="00AF1E6B" w:rsidRDefault="00AF1E6B" w:rsidP="005567B2">
      <w:r>
        <w:t xml:space="preserve">There were few correlations between CS&amp;H assets and </w:t>
      </w:r>
      <w:r w:rsidR="0016776E">
        <w:t>local economic indicators</w:t>
      </w:r>
      <w:r>
        <w:t xml:space="preserve">. However, this may be due to quality of available data. Data on </w:t>
      </w:r>
      <w:r w:rsidR="0016776E">
        <w:t>CS&amp;H</w:t>
      </w:r>
      <w:r>
        <w:t xml:space="preserve"> assets were only available for the current year, but </w:t>
      </w:r>
      <w:r w:rsidR="0016776E">
        <w:t>economic</w:t>
      </w:r>
      <w:r>
        <w:t xml:space="preserve"> indicators were from previous years – so essentially these correlations are testing, for example, whether the number of creative firms</w:t>
      </w:r>
      <w:r w:rsidR="0016776E">
        <w:t>,</w:t>
      </w:r>
      <w:r>
        <w:t xml:space="preserve"> etc. from two years ago is related to cultural assets now. </w:t>
      </w:r>
    </w:p>
    <w:p w14:paraId="7E63EC0F" w14:textId="5CA52562" w:rsidR="00AF1E6B" w:rsidRDefault="00AF1E6B" w:rsidP="005567B2">
      <w:r>
        <w:t>Note that the regressions to be used for the econometric analysis are panel data regressions, whereas the cor</w:t>
      </w:r>
      <w:r w:rsidR="0016776E">
        <w:t>relation analysis is ‘</w:t>
      </w:r>
      <w:r>
        <w:t>static</w:t>
      </w:r>
      <w:r w:rsidR="0016776E">
        <w:t>’</w:t>
      </w:r>
      <w:r>
        <w:t xml:space="preserve"> (looking at correlation for one year at a time). It may thus be that panel data regressions will yield somewhat different results and are consequently worth undertaking. </w:t>
      </w:r>
    </w:p>
    <w:p w14:paraId="423B834A" w14:textId="6B3DEEAD" w:rsidR="0016776E" w:rsidRDefault="0016776E" w:rsidP="00F0636B">
      <w:pPr>
        <w:pStyle w:val="Heading2Numbered"/>
      </w:pPr>
      <w:bookmarkStart w:id="134" w:name="_Toc467569643"/>
      <w:r>
        <w:t>Conclusions</w:t>
      </w:r>
      <w:bookmarkEnd w:id="134"/>
    </w:p>
    <w:p w14:paraId="45616DF4" w14:textId="64A631B4" w:rsidR="00AF1E6B" w:rsidRDefault="00AF1E6B" w:rsidP="005567B2">
      <w:r w:rsidRPr="00652731">
        <w:t>Not all relationships are worth testing econometrically. Most notably, given the quality of existing data</w:t>
      </w:r>
      <w:r w:rsidR="0016776E" w:rsidRPr="0016776E">
        <w:t xml:space="preserve"> </w:t>
      </w:r>
      <w:r w:rsidR="0016776E" w:rsidRPr="00652731">
        <w:t xml:space="preserve">and </w:t>
      </w:r>
      <w:r w:rsidR="0016776E">
        <w:t xml:space="preserve">the </w:t>
      </w:r>
      <w:r w:rsidR="0016776E" w:rsidRPr="00652731">
        <w:t>absence of longitudinal information</w:t>
      </w:r>
      <w:r w:rsidRPr="00652731">
        <w:t>, testing the relatio</w:t>
      </w:r>
      <w:r w:rsidR="008F1AB4">
        <w:t xml:space="preserve">nship between CS&amp;H assets and any </w:t>
      </w:r>
      <w:r w:rsidRPr="00652731">
        <w:t>variables</w:t>
      </w:r>
      <w:r>
        <w:t xml:space="preserve"> linked to </w:t>
      </w:r>
      <w:r w:rsidR="008F1AB4">
        <w:t>local economic performance</w:t>
      </w:r>
      <w:r w:rsidRPr="00652731">
        <w:t xml:space="preserve"> is unlikely to yield </w:t>
      </w:r>
      <w:r w:rsidR="0016776E">
        <w:t>meaningful</w:t>
      </w:r>
      <w:r w:rsidRPr="00652731">
        <w:t xml:space="preserve"> r</w:t>
      </w:r>
      <w:r>
        <w:t>esult</w:t>
      </w:r>
      <w:r w:rsidR="0016776E">
        <w:t>s</w:t>
      </w:r>
      <w:r>
        <w:t>.</w:t>
      </w:r>
      <w:r w:rsidRPr="00652731">
        <w:t xml:space="preserve">. </w:t>
      </w:r>
    </w:p>
    <w:p w14:paraId="0CD1AB55" w14:textId="54844A38" w:rsidR="00AF1E6B" w:rsidRDefault="00AF1E6B" w:rsidP="005567B2">
      <w:r>
        <w:t>Investment in CS&amp;H (and associated variables, such as growth rate of CS&amp;H investment</w:t>
      </w:r>
      <w:r w:rsidR="008F1AB4">
        <w:t>,</w:t>
      </w:r>
      <w:r>
        <w:t xml:space="preserve"> etc.) is positively correlated with numerous indicators, such as turnover of creative (and other) firms, turnover growth rates and, for some years, net </w:t>
      </w:r>
      <w:r w:rsidR="008F1AB4">
        <w:t xml:space="preserve">firm </w:t>
      </w:r>
      <w:r>
        <w:t xml:space="preserve">migration. The econometric analysis should thus focus primarily on these variables. </w:t>
      </w:r>
    </w:p>
    <w:p w14:paraId="2AD387DD" w14:textId="63BDD4F1" w:rsidR="00AF1E6B" w:rsidRDefault="00AF1E6B" w:rsidP="005567B2">
      <w:r>
        <w:t xml:space="preserve">More granular analysis may need to be undertaken. For example, we have run preliminary estimations both at a regional scale and by distinguishing between </w:t>
      </w:r>
      <w:r w:rsidR="008F1AB4">
        <w:t>local authorities</w:t>
      </w:r>
      <w:r>
        <w:t xml:space="preserve"> which are predominantly urban and those </w:t>
      </w:r>
      <w:r w:rsidR="008F1AB4">
        <w:t>which are</w:t>
      </w:r>
      <w:r>
        <w:t xml:space="preserve"> predominantly rural. </w:t>
      </w:r>
      <w:r w:rsidR="008F1AB4">
        <w:t>A</w:t>
      </w:r>
      <w:r>
        <w:t xml:space="preserve"> more granular analysis may show different correlations. In London’s </w:t>
      </w:r>
      <w:r w:rsidR="008F1AB4">
        <w:t>local authoritie</w:t>
      </w:r>
      <w:r>
        <w:t xml:space="preserve">s, for example, the correlation between CS&amp;H investment and various creative industries indicators appear extremely strong. The question is whether this holds when considering all major English urban centres. Preliminary analysis shows this may be the case. On the other hand, in predominantly rural areas, investment in CS&amp;H may not provide sufficient incentives for firms to stay, expand, or migrate in those areas (due to other factors at play). A more granular analysis would provide answers to these hypotheses.   </w:t>
      </w:r>
    </w:p>
    <w:p w14:paraId="100FE070" w14:textId="77777777" w:rsidR="00AF1E6B" w:rsidRPr="00FC48CA" w:rsidRDefault="00AF1E6B" w:rsidP="005567B2"/>
    <w:p w14:paraId="4C21D02D" w14:textId="77777777" w:rsidR="00AF1E6B" w:rsidRPr="00ED2B2F" w:rsidRDefault="00AF1E6B" w:rsidP="00AF1E6B">
      <w:pPr>
        <w:spacing w:line="276" w:lineRule="auto"/>
        <w:rPr>
          <w:rFonts w:cs="Arial"/>
          <w:sz w:val="20"/>
          <w:lang w:val="en-US"/>
        </w:rPr>
      </w:pPr>
    </w:p>
    <w:p w14:paraId="483C1D9F" w14:textId="77777777" w:rsidR="00AF1E6B" w:rsidRDefault="00AF1E6B" w:rsidP="00AF1E6B">
      <w:pPr>
        <w:rPr>
          <w:rFonts w:eastAsia="Calibri" w:cs="Arial"/>
        </w:rPr>
        <w:sectPr w:rsidR="00AF1E6B" w:rsidSect="007770D4">
          <w:headerReference w:type="default" r:id="rId34"/>
          <w:pgSz w:w="11906" w:h="16838" w:code="9"/>
          <w:pgMar w:top="1560" w:right="1134" w:bottom="1418" w:left="1418" w:header="709" w:footer="408" w:gutter="0"/>
          <w:cols w:space="708"/>
          <w:docGrid w:linePitch="360"/>
        </w:sectPr>
      </w:pPr>
    </w:p>
    <w:p w14:paraId="7F531363" w14:textId="5FE3FA92" w:rsidR="00101F25" w:rsidRPr="00514EFA" w:rsidRDefault="003318C7" w:rsidP="00F0636B">
      <w:pPr>
        <w:pStyle w:val="Heading1Numbered"/>
        <w:rPr>
          <w:rFonts w:eastAsia="Calibri"/>
        </w:rPr>
      </w:pPr>
      <w:bookmarkStart w:id="135" w:name="_Toc467569644"/>
      <w:r>
        <w:rPr>
          <w:rFonts w:eastAsia="Calibri"/>
        </w:rPr>
        <w:lastRenderedPageBreak/>
        <w:t xml:space="preserve">Appendix </w:t>
      </w:r>
      <w:r w:rsidR="00EE41B4">
        <w:rPr>
          <w:rFonts w:eastAsia="Calibri"/>
        </w:rPr>
        <w:t>I</w:t>
      </w:r>
      <w:r>
        <w:rPr>
          <w:rFonts w:eastAsia="Calibri"/>
        </w:rPr>
        <w:t>V</w:t>
      </w:r>
      <w:r w:rsidR="00101F25" w:rsidRPr="00514EFA">
        <w:rPr>
          <w:rFonts w:eastAsia="Calibri"/>
        </w:rPr>
        <w:t xml:space="preserve"> </w:t>
      </w:r>
      <w:r w:rsidR="009543F0">
        <w:rPr>
          <w:rFonts w:eastAsia="Calibri"/>
        </w:rPr>
        <w:t>–</w:t>
      </w:r>
      <w:r w:rsidR="009543F0" w:rsidRPr="00514EFA">
        <w:rPr>
          <w:rFonts w:eastAsia="Calibri"/>
        </w:rPr>
        <w:t xml:space="preserve"> </w:t>
      </w:r>
      <w:r w:rsidR="00101F25" w:rsidRPr="00514EFA">
        <w:rPr>
          <w:rFonts w:eastAsia="Calibri"/>
        </w:rPr>
        <w:t>Data review</w:t>
      </w:r>
      <w:bookmarkEnd w:id="119"/>
      <w:bookmarkEnd w:id="120"/>
      <w:bookmarkEnd w:id="121"/>
      <w:bookmarkEnd w:id="122"/>
      <w:bookmarkEnd w:id="135"/>
    </w:p>
    <w:p w14:paraId="41457E83" w14:textId="78CF1361" w:rsidR="00101F25" w:rsidRPr="00514EFA" w:rsidRDefault="00101F25" w:rsidP="00101F25">
      <w:pPr>
        <w:rPr>
          <w:rFonts w:cs="Arial"/>
        </w:rPr>
      </w:pPr>
      <w:r w:rsidRPr="00514EFA">
        <w:rPr>
          <w:rFonts w:cs="Arial"/>
        </w:rPr>
        <w:t>A detailed review of data sources which identify CS&amp;H assets and investments, and/or which might provide dependent variables for the analysis</w:t>
      </w:r>
      <w:r w:rsidR="00890A24">
        <w:rPr>
          <w:rFonts w:cs="Arial"/>
        </w:rPr>
        <w:t xml:space="preserve"> was undertaken to inform the study</w:t>
      </w:r>
      <w:r w:rsidRPr="00514EFA">
        <w:rPr>
          <w:rFonts w:cs="Arial"/>
        </w:rPr>
        <w:t>. This focused initially on assets and investments, but also consider</w:t>
      </w:r>
      <w:r w:rsidR="00890A24">
        <w:rPr>
          <w:rFonts w:cs="Arial"/>
        </w:rPr>
        <w:t>ed</w:t>
      </w:r>
      <w:r w:rsidRPr="00514EFA">
        <w:rPr>
          <w:rFonts w:cs="Arial"/>
        </w:rPr>
        <w:t xml:space="preserve"> other indicators. The data sources reviewed include freely available data, mainly provided by public bodies, as well as commercial datasets.</w:t>
      </w:r>
    </w:p>
    <w:p w14:paraId="22132F13" w14:textId="52551DBE" w:rsidR="00101F25" w:rsidRPr="00514EFA" w:rsidRDefault="00890A24" w:rsidP="00101F25">
      <w:pPr>
        <w:rPr>
          <w:rFonts w:cs="Arial"/>
        </w:rPr>
      </w:pPr>
      <w:r>
        <w:rPr>
          <w:rFonts w:cs="Arial"/>
        </w:rPr>
        <w:t>D</w:t>
      </w:r>
      <w:r w:rsidR="00101F25" w:rsidRPr="00514EFA">
        <w:rPr>
          <w:rFonts w:cs="Arial"/>
        </w:rPr>
        <w:t xml:space="preserve">ata sources reviewed in relation to assets and investment are set out in </w:t>
      </w:r>
      <w:r w:rsidR="00101F25" w:rsidRPr="00514EFA">
        <w:rPr>
          <w:rFonts w:cs="Arial"/>
        </w:rPr>
        <w:fldChar w:fldCharType="begin"/>
      </w:r>
      <w:r w:rsidR="00101F25" w:rsidRPr="00514EFA">
        <w:rPr>
          <w:rFonts w:cs="Arial"/>
        </w:rPr>
        <w:instrText xml:space="preserve"> REF _Ref417910767 \h </w:instrText>
      </w:r>
      <w:r w:rsidR="00A65C64" w:rsidRPr="00514EFA">
        <w:rPr>
          <w:rFonts w:cs="Arial"/>
        </w:rPr>
        <w:instrText xml:space="preserve"> \* MERGEFORMAT </w:instrText>
      </w:r>
      <w:r w:rsidR="00101F25" w:rsidRPr="00514EFA">
        <w:rPr>
          <w:rFonts w:cs="Arial"/>
        </w:rPr>
      </w:r>
      <w:r w:rsidR="00101F25" w:rsidRPr="00514EFA">
        <w:rPr>
          <w:rFonts w:cs="Arial"/>
        </w:rPr>
        <w:fldChar w:fldCharType="separate"/>
      </w:r>
      <w:r w:rsidR="00F0636B" w:rsidRPr="00F0636B">
        <w:rPr>
          <w:rFonts w:cs="Arial"/>
        </w:rPr>
        <w:t xml:space="preserve">Table </w:t>
      </w:r>
      <w:r w:rsidR="00F0636B" w:rsidRPr="00F0636B">
        <w:rPr>
          <w:rFonts w:cs="Arial"/>
          <w:noProof/>
        </w:rPr>
        <w:t>12</w:t>
      </w:r>
      <w:r w:rsidR="00101F25" w:rsidRPr="00514EFA">
        <w:rPr>
          <w:rFonts w:cs="Arial"/>
        </w:rPr>
        <w:fldChar w:fldCharType="end"/>
      </w:r>
      <w:r w:rsidR="00101F25" w:rsidRPr="00514EFA">
        <w:rPr>
          <w:rFonts w:cs="Arial"/>
        </w:rPr>
        <w:t xml:space="preserve"> below.</w:t>
      </w:r>
    </w:p>
    <w:p w14:paraId="595A319A" w14:textId="77777777" w:rsidR="000D4209" w:rsidRPr="00514EFA" w:rsidRDefault="000D4209" w:rsidP="00101F25">
      <w:pPr>
        <w:rPr>
          <w:rFonts w:cs="Arial"/>
        </w:rPr>
      </w:pPr>
    </w:p>
    <w:p w14:paraId="5501AA51" w14:textId="2662DDF6" w:rsidR="00101F25" w:rsidRPr="00514EFA" w:rsidRDefault="00101F25" w:rsidP="00101F25">
      <w:pPr>
        <w:pStyle w:val="Caption"/>
      </w:pPr>
      <w:bookmarkStart w:id="136" w:name="_Ref417910767"/>
      <w:bookmarkStart w:id="137" w:name="_Toc467569667"/>
      <w:r w:rsidRPr="00514EFA">
        <w:t xml:space="preserve">Table </w:t>
      </w:r>
      <w:r w:rsidR="003D0350">
        <w:fldChar w:fldCharType="begin"/>
      </w:r>
      <w:r w:rsidR="003D0350">
        <w:instrText xml:space="preserve"> SEQ Table \* ARABIC </w:instrText>
      </w:r>
      <w:r w:rsidR="003D0350">
        <w:fldChar w:fldCharType="separate"/>
      </w:r>
      <w:r w:rsidR="00F0636B">
        <w:rPr>
          <w:noProof/>
        </w:rPr>
        <w:t>12</w:t>
      </w:r>
      <w:r w:rsidR="003D0350">
        <w:rPr>
          <w:noProof/>
        </w:rPr>
        <w:fldChar w:fldCharType="end"/>
      </w:r>
      <w:bookmarkEnd w:id="136"/>
      <w:r w:rsidRPr="00514EFA">
        <w:t>: Assets and investment datasets review</w:t>
      </w:r>
      <w:r w:rsidR="00131F29">
        <w:t>ed</w:t>
      </w:r>
      <w:bookmarkEnd w:id="137"/>
    </w:p>
    <w:tbl>
      <w:tblPr>
        <w:tblStyle w:val="TableGrid"/>
        <w:tblW w:w="0" w:type="auto"/>
        <w:tblLook w:val="04A0" w:firstRow="1" w:lastRow="0" w:firstColumn="1" w:lastColumn="0" w:noHBand="0" w:noVBand="1"/>
      </w:tblPr>
      <w:tblGrid>
        <w:gridCol w:w="4905"/>
        <w:gridCol w:w="4665"/>
      </w:tblGrid>
      <w:tr w:rsidR="00101F25" w:rsidRPr="00514EFA" w14:paraId="6443E0D9" w14:textId="77777777" w:rsidTr="00522071">
        <w:tc>
          <w:tcPr>
            <w:tcW w:w="5211" w:type="dxa"/>
          </w:tcPr>
          <w:p w14:paraId="3BEFCB07" w14:textId="77777777" w:rsidR="00101F25" w:rsidRPr="00514EFA" w:rsidRDefault="00101F25" w:rsidP="00522071">
            <w:pPr>
              <w:rPr>
                <w:rFonts w:cs="Arial"/>
                <w:b/>
              </w:rPr>
            </w:pPr>
            <w:r w:rsidRPr="00514EFA">
              <w:rPr>
                <w:rFonts w:cs="Arial"/>
                <w:b/>
              </w:rPr>
              <w:t>Assets/infrastructure:</w:t>
            </w:r>
          </w:p>
          <w:p w14:paraId="794CB111" w14:textId="77777777" w:rsidR="00101F25" w:rsidRPr="00514EFA" w:rsidRDefault="00101F25" w:rsidP="00F0636B">
            <w:pPr>
              <w:numPr>
                <w:ilvl w:val="0"/>
                <w:numId w:val="25"/>
              </w:numPr>
              <w:spacing w:before="0" w:after="180"/>
              <w:jc w:val="both"/>
              <w:rPr>
                <w:rFonts w:cs="Arial"/>
              </w:rPr>
            </w:pPr>
            <w:r w:rsidRPr="00514EFA">
              <w:rPr>
                <w:rFonts w:cs="Arial"/>
              </w:rPr>
              <w:t>Inter-Departmental Business Database (IDBR) / Business Structures Database (BSD)</w:t>
            </w:r>
          </w:p>
          <w:p w14:paraId="0E31DE1A" w14:textId="67A9FA16" w:rsidR="00101F25" w:rsidRPr="00514EFA" w:rsidRDefault="00101F25" w:rsidP="00F0636B">
            <w:pPr>
              <w:numPr>
                <w:ilvl w:val="0"/>
                <w:numId w:val="25"/>
              </w:numPr>
              <w:spacing w:before="0" w:after="180"/>
              <w:jc w:val="both"/>
              <w:rPr>
                <w:rFonts w:cs="Arial"/>
              </w:rPr>
            </w:pPr>
            <w:r w:rsidRPr="00514EFA">
              <w:rPr>
                <w:rFonts w:cs="Arial"/>
              </w:rPr>
              <w:t>TCR</w:t>
            </w:r>
            <w:r w:rsidR="006D376C" w:rsidRPr="00514EFA">
              <w:rPr>
                <w:rFonts w:cs="Arial"/>
              </w:rPr>
              <w:t xml:space="preserve"> (longitudinal database of UK businesses, owned by TBR)</w:t>
            </w:r>
          </w:p>
          <w:p w14:paraId="2A2247EA" w14:textId="77777777" w:rsidR="00101F25" w:rsidRPr="00514EFA" w:rsidRDefault="00101F25" w:rsidP="00F0636B">
            <w:pPr>
              <w:numPr>
                <w:ilvl w:val="0"/>
                <w:numId w:val="25"/>
              </w:numPr>
              <w:spacing w:before="0" w:after="180"/>
              <w:jc w:val="both"/>
              <w:rPr>
                <w:rFonts w:cs="Arial"/>
              </w:rPr>
            </w:pPr>
            <w:r w:rsidRPr="00514EFA">
              <w:rPr>
                <w:rFonts w:cs="Arial"/>
              </w:rPr>
              <w:t>Experian National Business Data</w:t>
            </w:r>
          </w:p>
          <w:p w14:paraId="002DA5E4" w14:textId="77777777" w:rsidR="00101F25" w:rsidRPr="00514EFA" w:rsidRDefault="00101F25" w:rsidP="00F0636B">
            <w:pPr>
              <w:numPr>
                <w:ilvl w:val="0"/>
                <w:numId w:val="25"/>
              </w:numPr>
              <w:spacing w:before="0" w:after="180"/>
              <w:jc w:val="both"/>
              <w:rPr>
                <w:rFonts w:cs="Arial"/>
              </w:rPr>
            </w:pPr>
            <w:r w:rsidRPr="00514EFA">
              <w:rPr>
                <w:rFonts w:cs="Arial"/>
              </w:rPr>
              <w:t>Yellow Pages</w:t>
            </w:r>
          </w:p>
          <w:p w14:paraId="7241D30C" w14:textId="77777777" w:rsidR="00101F25" w:rsidRPr="00514EFA" w:rsidRDefault="00101F25" w:rsidP="00F0636B">
            <w:pPr>
              <w:numPr>
                <w:ilvl w:val="0"/>
                <w:numId w:val="25"/>
              </w:numPr>
              <w:spacing w:before="0" w:after="180"/>
              <w:jc w:val="both"/>
              <w:rPr>
                <w:rFonts w:cs="Arial"/>
              </w:rPr>
            </w:pPr>
            <w:r w:rsidRPr="00514EFA">
              <w:rPr>
                <w:rFonts w:cs="Arial"/>
              </w:rPr>
              <w:t>FAME</w:t>
            </w:r>
          </w:p>
          <w:p w14:paraId="624A6E8B" w14:textId="77777777" w:rsidR="00101F25" w:rsidRPr="00514EFA" w:rsidRDefault="00101F25" w:rsidP="00F0636B">
            <w:pPr>
              <w:numPr>
                <w:ilvl w:val="0"/>
                <w:numId w:val="25"/>
              </w:numPr>
              <w:spacing w:before="0" w:after="180"/>
              <w:jc w:val="both"/>
              <w:rPr>
                <w:rFonts w:cs="Arial"/>
              </w:rPr>
            </w:pPr>
            <w:r w:rsidRPr="00514EFA">
              <w:rPr>
                <w:rFonts w:cs="Arial"/>
              </w:rPr>
              <w:t>Market Location</w:t>
            </w:r>
          </w:p>
          <w:p w14:paraId="5C7FA409" w14:textId="77777777" w:rsidR="00101F25" w:rsidRPr="00514EFA" w:rsidRDefault="00101F25" w:rsidP="00F0636B">
            <w:pPr>
              <w:numPr>
                <w:ilvl w:val="0"/>
                <w:numId w:val="25"/>
              </w:numPr>
              <w:spacing w:before="0" w:after="180"/>
              <w:jc w:val="both"/>
              <w:rPr>
                <w:rFonts w:cs="Arial"/>
              </w:rPr>
            </w:pPr>
            <w:r w:rsidRPr="00514EFA">
              <w:rPr>
                <w:rFonts w:cs="Arial"/>
              </w:rPr>
              <w:t>Active Places Power</w:t>
            </w:r>
          </w:p>
          <w:p w14:paraId="27C4C96F" w14:textId="77777777" w:rsidR="00101F25" w:rsidRPr="00514EFA" w:rsidRDefault="00101F25" w:rsidP="00F0636B">
            <w:pPr>
              <w:numPr>
                <w:ilvl w:val="0"/>
                <w:numId w:val="25"/>
              </w:numPr>
              <w:spacing w:before="0" w:after="180"/>
              <w:jc w:val="both"/>
              <w:rPr>
                <w:rFonts w:cs="Arial"/>
              </w:rPr>
            </w:pPr>
            <w:r w:rsidRPr="00514EFA">
              <w:rPr>
                <w:rFonts w:cs="Arial"/>
              </w:rPr>
              <w:t>Culture24</w:t>
            </w:r>
          </w:p>
          <w:p w14:paraId="43706AD6" w14:textId="77777777" w:rsidR="00101F25" w:rsidRPr="00514EFA" w:rsidRDefault="00101F25" w:rsidP="00F0636B">
            <w:pPr>
              <w:numPr>
                <w:ilvl w:val="0"/>
                <w:numId w:val="25"/>
              </w:numPr>
              <w:spacing w:before="0" w:after="180"/>
              <w:jc w:val="both"/>
              <w:rPr>
                <w:rFonts w:cs="Arial"/>
              </w:rPr>
            </w:pPr>
            <w:r w:rsidRPr="00514EFA">
              <w:rPr>
                <w:rFonts w:cs="Arial"/>
              </w:rPr>
              <w:t>ArchSearch</w:t>
            </w:r>
          </w:p>
          <w:p w14:paraId="4ABF6078" w14:textId="77777777" w:rsidR="00101F25" w:rsidRPr="00514EFA" w:rsidRDefault="00101F25" w:rsidP="00F0636B">
            <w:pPr>
              <w:numPr>
                <w:ilvl w:val="0"/>
                <w:numId w:val="25"/>
              </w:numPr>
              <w:spacing w:before="0" w:after="180"/>
              <w:jc w:val="both"/>
              <w:rPr>
                <w:rFonts w:cs="Arial"/>
              </w:rPr>
            </w:pPr>
            <w:r w:rsidRPr="00514EFA">
              <w:rPr>
                <w:rFonts w:cs="Arial"/>
              </w:rPr>
              <w:t>National Record of the Historic Environment</w:t>
            </w:r>
          </w:p>
          <w:p w14:paraId="2AE4B56F" w14:textId="77777777" w:rsidR="00101F25" w:rsidRPr="00514EFA" w:rsidRDefault="00101F25" w:rsidP="00F0636B">
            <w:pPr>
              <w:numPr>
                <w:ilvl w:val="0"/>
                <w:numId w:val="25"/>
              </w:numPr>
              <w:spacing w:before="0" w:after="180"/>
              <w:jc w:val="both"/>
              <w:rPr>
                <w:rFonts w:cs="Arial"/>
              </w:rPr>
            </w:pPr>
            <w:r w:rsidRPr="00514EFA">
              <w:rPr>
                <w:rFonts w:cs="Arial"/>
              </w:rPr>
              <w:t>National Heritage List for England</w:t>
            </w:r>
          </w:p>
          <w:p w14:paraId="23113500" w14:textId="77777777" w:rsidR="00101F25" w:rsidRPr="00514EFA" w:rsidRDefault="00101F25" w:rsidP="00F0636B">
            <w:pPr>
              <w:numPr>
                <w:ilvl w:val="0"/>
                <w:numId w:val="25"/>
              </w:numPr>
              <w:spacing w:before="0" w:after="180"/>
              <w:jc w:val="both"/>
              <w:rPr>
                <w:rFonts w:cs="Arial"/>
              </w:rPr>
            </w:pPr>
            <w:r w:rsidRPr="00514EFA">
              <w:rPr>
                <w:rFonts w:cs="Arial"/>
              </w:rPr>
              <w:t>Natural England GIS Digital Boundary Datasets</w:t>
            </w:r>
          </w:p>
          <w:p w14:paraId="662AF406" w14:textId="77777777" w:rsidR="00101F25" w:rsidRPr="00514EFA" w:rsidRDefault="00101F25" w:rsidP="00F0636B">
            <w:pPr>
              <w:numPr>
                <w:ilvl w:val="0"/>
                <w:numId w:val="25"/>
              </w:numPr>
              <w:spacing w:before="0" w:after="180"/>
              <w:jc w:val="both"/>
              <w:rPr>
                <w:rFonts w:cs="Arial"/>
              </w:rPr>
            </w:pPr>
            <w:r w:rsidRPr="00514EFA">
              <w:rPr>
                <w:rFonts w:cs="Arial"/>
              </w:rPr>
              <w:t>UK Public Library Dataset</w:t>
            </w:r>
          </w:p>
          <w:p w14:paraId="18E07EC5" w14:textId="77777777" w:rsidR="00101F25" w:rsidRPr="00514EFA" w:rsidRDefault="00101F25" w:rsidP="00F0636B">
            <w:pPr>
              <w:numPr>
                <w:ilvl w:val="0"/>
                <w:numId w:val="25"/>
              </w:numPr>
              <w:spacing w:before="0" w:after="180"/>
              <w:jc w:val="both"/>
              <w:rPr>
                <w:rFonts w:cs="Arial"/>
              </w:rPr>
            </w:pPr>
            <w:r w:rsidRPr="00514EFA">
              <w:rPr>
                <w:rFonts w:cs="Arial"/>
              </w:rPr>
              <w:t>Culture Grid</w:t>
            </w:r>
          </w:p>
          <w:p w14:paraId="776C1751" w14:textId="77777777" w:rsidR="00101F25" w:rsidRPr="00514EFA" w:rsidRDefault="00101F25" w:rsidP="00F0636B">
            <w:pPr>
              <w:numPr>
                <w:ilvl w:val="0"/>
                <w:numId w:val="25"/>
              </w:numPr>
              <w:spacing w:before="0" w:after="180"/>
              <w:jc w:val="both"/>
              <w:rPr>
                <w:rFonts w:cs="Arial"/>
              </w:rPr>
            </w:pPr>
            <w:r w:rsidRPr="00514EFA">
              <w:rPr>
                <w:rFonts w:cs="Arial"/>
              </w:rPr>
              <w:t>PointX</w:t>
            </w:r>
          </w:p>
          <w:p w14:paraId="08C770C5" w14:textId="77777777" w:rsidR="00101F25" w:rsidRPr="00514EFA" w:rsidRDefault="00101F25" w:rsidP="00F0636B">
            <w:pPr>
              <w:numPr>
                <w:ilvl w:val="0"/>
                <w:numId w:val="25"/>
              </w:numPr>
              <w:spacing w:before="0" w:after="180"/>
              <w:jc w:val="both"/>
              <w:rPr>
                <w:rFonts w:cs="Arial"/>
              </w:rPr>
            </w:pPr>
            <w:r w:rsidRPr="00514EFA">
              <w:rPr>
                <w:rFonts w:cs="Arial"/>
              </w:rPr>
              <w:t>Points of Interest</w:t>
            </w:r>
          </w:p>
          <w:p w14:paraId="663DF03C" w14:textId="77777777" w:rsidR="00101F25" w:rsidRPr="00514EFA" w:rsidRDefault="00101F25" w:rsidP="00F0636B">
            <w:pPr>
              <w:numPr>
                <w:ilvl w:val="0"/>
                <w:numId w:val="25"/>
              </w:numPr>
              <w:spacing w:before="0" w:after="180"/>
              <w:jc w:val="both"/>
              <w:rPr>
                <w:rFonts w:cs="Arial"/>
              </w:rPr>
            </w:pPr>
            <w:r w:rsidRPr="00514EFA">
              <w:rPr>
                <w:rFonts w:cs="Arial"/>
              </w:rPr>
              <w:lastRenderedPageBreak/>
              <w:t>OSMasterMap</w:t>
            </w:r>
          </w:p>
          <w:p w14:paraId="71361040" w14:textId="77777777" w:rsidR="00101F25" w:rsidRPr="00514EFA" w:rsidRDefault="00101F25" w:rsidP="00F0636B">
            <w:pPr>
              <w:numPr>
                <w:ilvl w:val="0"/>
                <w:numId w:val="25"/>
              </w:numPr>
              <w:spacing w:before="0" w:after="180"/>
              <w:jc w:val="both"/>
              <w:rPr>
                <w:rFonts w:cs="Arial"/>
              </w:rPr>
            </w:pPr>
            <w:r w:rsidRPr="00514EFA">
              <w:rPr>
                <w:rFonts w:cs="Arial"/>
              </w:rPr>
              <w:t>OpenStreetMap</w:t>
            </w:r>
          </w:p>
          <w:p w14:paraId="421A5B04" w14:textId="77777777" w:rsidR="00101F25" w:rsidRPr="00514EFA" w:rsidRDefault="00101F25" w:rsidP="00F0636B">
            <w:pPr>
              <w:numPr>
                <w:ilvl w:val="0"/>
                <w:numId w:val="25"/>
              </w:numPr>
              <w:spacing w:before="0" w:after="180"/>
              <w:jc w:val="both"/>
              <w:rPr>
                <w:rFonts w:cs="Arial"/>
              </w:rPr>
            </w:pPr>
            <w:r w:rsidRPr="00514EFA">
              <w:rPr>
                <w:rFonts w:cs="Arial"/>
              </w:rPr>
              <w:t>POIplaza</w:t>
            </w:r>
          </w:p>
          <w:p w14:paraId="0822745C" w14:textId="77777777" w:rsidR="00101F25" w:rsidRPr="00514EFA" w:rsidRDefault="00101F25" w:rsidP="00F0636B">
            <w:pPr>
              <w:numPr>
                <w:ilvl w:val="0"/>
                <w:numId w:val="25"/>
              </w:numPr>
              <w:spacing w:before="0" w:after="180"/>
              <w:jc w:val="both"/>
              <w:rPr>
                <w:rFonts w:cs="Arial"/>
              </w:rPr>
            </w:pPr>
            <w:r w:rsidRPr="00514EFA">
              <w:rPr>
                <w:rFonts w:cs="Arial"/>
              </w:rPr>
              <w:t>Points of Interest Northern Ireland, Isle of Man, Channel Islands</w:t>
            </w:r>
          </w:p>
          <w:p w14:paraId="2CD6A0F9" w14:textId="77777777" w:rsidR="00101F25" w:rsidRPr="00514EFA" w:rsidRDefault="00101F25" w:rsidP="00F0636B">
            <w:pPr>
              <w:numPr>
                <w:ilvl w:val="0"/>
                <w:numId w:val="25"/>
              </w:numPr>
              <w:spacing w:before="0" w:after="180"/>
              <w:jc w:val="both"/>
              <w:rPr>
                <w:rFonts w:cs="Arial"/>
              </w:rPr>
            </w:pPr>
            <w:r w:rsidRPr="00514EFA">
              <w:rPr>
                <w:rFonts w:cs="Arial"/>
              </w:rPr>
              <w:t>OpenPOIS</w:t>
            </w:r>
          </w:p>
          <w:p w14:paraId="40EA4919" w14:textId="77777777" w:rsidR="00101F25" w:rsidRPr="00514EFA" w:rsidRDefault="00101F25" w:rsidP="00F0636B">
            <w:pPr>
              <w:numPr>
                <w:ilvl w:val="0"/>
                <w:numId w:val="25"/>
              </w:numPr>
              <w:spacing w:before="0" w:after="180"/>
              <w:jc w:val="both"/>
              <w:rPr>
                <w:rFonts w:cs="Arial"/>
              </w:rPr>
            </w:pPr>
            <w:r w:rsidRPr="00514EFA">
              <w:rPr>
                <w:rFonts w:cs="Arial"/>
              </w:rPr>
              <w:t>GPS POI data</w:t>
            </w:r>
          </w:p>
        </w:tc>
        <w:tc>
          <w:tcPr>
            <w:tcW w:w="5211" w:type="dxa"/>
          </w:tcPr>
          <w:p w14:paraId="77031959" w14:textId="77777777" w:rsidR="00101F25" w:rsidRPr="00514EFA" w:rsidRDefault="00101F25" w:rsidP="00522071">
            <w:pPr>
              <w:rPr>
                <w:rFonts w:cs="Arial"/>
                <w:b/>
              </w:rPr>
            </w:pPr>
            <w:r w:rsidRPr="00514EFA">
              <w:rPr>
                <w:rFonts w:cs="Arial"/>
                <w:b/>
              </w:rPr>
              <w:lastRenderedPageBreak/>
              <w:t>Investment:</w:t>
            </w:r>
          </w:p>
          <w:p w14:paraId="4CF0604B" w14:textId="77777777" w:rsidR="00101F25" w:rsidRPr="00514EFA" w:rsidRDefault="00101F25" w:rsidP="00F0636B">
            <w:pPr>
              <w:numPr>
                <w:ilvl w:val="0"/>
                <w:numId w:val="24"/>
              </w:numPr>
              <w:spacing w:before="0" w:after="180"/>
              <w:jc w:val="both"/>
              <w:rPr>
                <w:rFonts w:cs="Arial"/>
              </w:rPr>
            </w:pPr>
            <w:r w:rsidRPr="00514EFA">
              <w:rPr>
                <w:rFonts w:cs="Arial"/>
              </w:rPr>
              <w:t>Local authority revenue expenditure</w:t>
            </w:r>
          </w:p>
          <w:p w14:paraId="3CAB0BEA" w14:textId="77777777" w:rsidR="00101F25" w:rsidRPr="00514EFA" w:rsidRDefault="00101F25" w:rsidP="00F0636B">
            <w:pPr>
              <w:numPr>
                <w:ilvl w:val="0"/>
                <w:numId w:val="24"/>
              </w:numPr>
              <w:spacing w:before="0" w:after="180"/>
              <w:jc w:val="both"/>
              <w:rPr>
                <w:rFonts w:cs="Arial"/>
              </w:rPr>
            </w:pPr>
            <w:r w:rsidRPr="00514EFA">
              <w:rPr>
                <w:rFonts w:cs="Arial"/>
              </w:rPr>
              <w:t>Local authority capital expenditure</w:t>
            </w:r>
          </w:p>
          <w:p w14:paraId="08F4F4B7" w14:textId="77777777" w:rsidR="00101F25" w:rsidRPr="00514EFA" w:rsidRDefault="00101F25" w:rsidP="00F0636B">
            <w:pPr>
              <w:numPr>
                <w:ilvl w:val="0"/>
                <w:numId w:val="24"/>
              </w:numPr>
              <w:spacing w:before="0" w:after="180"/>
              <w:jc w:val="both"/>
              <w:rPr>
                <w:rFonts w:cs="Arial"/>
              </w:rPr>
            </w:pPr>
            <w:r w:rsidRPr="00514EFA">
              <w:rPr>
                <w:rFonts w:cs="Arial"/>
              </w:rPr>
              <w:t>National English Heritage Grants</w:t>
            </w:r>
          </w:p>
          <w:p w14:paraId="385CC8C1" w14:textId="39E9FB56" w:rsidR="00101F25" w:rsidRPr="00514EFA" w:rsidRDefault="00101F25" w:rsidP="00F0636B">
            <w:pPr>
              <w:numPr>
                <w:ilvl w:val="0"/>
                <w:numId w:val="24"/>
              </w:numPr>
              <w:spacing w:before="0" w:after="180"/>
              <w:jc w:val="both"/>
              <w:rPr>
                <w:rFonts w:cs="Arial"/>
              </w:rPr>
            </w:pPr>
            <w:r w:rsidRPr="00514EFA">
              <w:rPr>
                <w:rFonts w:cs="Arial"/>
              </w:rPr>
              <w:t xml:space="preserve">Heritage Lottery Fund </w:t>
            </w:r>
            <w:r w:rsidR="00CC5E33">
              <w:rPr>
                <w:rFonts w:cs="Arial"/>
              </w:rPr>
              <w:t>–</w:t>
            </w:r>
            <w:r w:rsidR="00CC5E33" w:rsidRPr="00514EFA">
              <w:rPr>
                <w:rFonts w:cs="Arial"/>
              </w:rPr>
              <w:t xml:space="preserve"> </w:t>
            </w:r>
            <w:r w:rsidRPr="00514EFA">
              <w:rPr>
                <w:rFonts w:cs="Arial"/>
              </w:rPr>
              <w:t>20 years in 12 places</w:t>
            </w:r>
          </w:p>
          <w:p w14:paraId="5A8E5766" w14:textId="605BEB55" w:rsidR="00101F25" w:rsidRPr="00514EFA" w:rsidRDefault="00101F25" w:rsidP="00F0636B">
            <w:pPr>
              <w:numPr>
                <w:ilvl w:val="0"/>
                <w:numId w:val="24"/>
              </w:numPr>
              <w:spacing w:before="0" w:after="180"/>
              <w:jc w:val="both"/>
              <w:rPr>
                <w:rFonts w:cs="Arial"/>
              </w:rPr>
            </w:pPr>
            <w:r w:rsidRPr="00514EFA">
              <w:rPr>
                <w:rFonts w:cs="Arial"/>
              </w:rPr>
              <w:t xml:space="preserve">Heritage Lottery Fund </w:t>
            </w:r>
            <w:r w:rsidR="00CC5E33">
              <w:rPr>
                <w:rFonts w:cs="Arial"/>
              </w:rPr>
              <w:t>–</w:t>
            </w:r>
            <w:r w:rsidR="00CC5E33" w:rsidRPr="00514EFA">
              <w:rPr>
                <w:rFonts w:cs="Arial"/>
              </w:rPr>
              <w:t xml:space="preserve"> </w:t>
            </w:r>
            <w:r w:rsidRPr="00514EFA">
              <w:rPr>
                <w:rFonts w:cs="Arial"/>
              </w:rPr>
              <w:t>Grants research</w:t>
            </w:r>
          </w:p>
          <w:p w14:paraId="21BBC23E" w14:textId="77777777" w:rsidR="00101F25" w:rsidRPr="00514EFA" w:rsidRDefault="00101F25" w:rsidP="00F0636B">
            <w:pPr>
              <w:numPr>
                <w:ilvl w:val="0"/>
                <w:numId w:val="24"/>
              </w:numPr>
              <w:spacing w:before="0" w:after="180"/>
              <w:jc w:val="both"/>
              <w:rPr>
                <w:rFonts w:cs="Arial"/>
              </w:rPr>
            </w:pPr>
            <w:r w:rsidRPr="00514EFA">
              <w:rPr>
                <w:rFonts w:cs="Arial"/>
              </w:rPr>
              <w:t>Churches Conservation Trust</w:t>
            </w:r>
          </w:p>
          <w:p w14:paraId="3B17845D" w14:textId="77777777" w:rsidR="00101F25" w:rsidRPr="00514EFA" w:rsidRDefault="00101F25" w:rsidP="00F0636B">
            <w:pPr>
              <w:numPr>
                <w:ilvl w:val="0"/>
                <w:numId w:val="24"/>
              </w:numPr>
              <w:spacing w:before="0" w:after="180"/>
              <w:jc w:val="both"/>
              <w:rPr>
                <w:rFonts w:cs="Arial"/>
              </w:rPr>
            </w:pPr>
            <w:r w:rsidRPr="00514EFA">
              <w:rPr>
                <w:rFonts w:cs="Arial"/>
              </w:rPr>
              <w:t>Listed Places of Worship Grant Scheme</w:t>
            </w:r>
          </w:p>
          <w:p w14:paraId="103DB456" w14:textId="77777777" w:rsidR="00101F25" w:rsidRPr="00514EFA" w:rsidRDefault="00101F25" w:rsidP="00F0636B">
            <w:pPr>
              <w:numPr>
                <w:ilvl w:val="0"/>
                <w:numId w:val="24"/>
              </w:numPr>
              <w:spacing w:before="0" w:after="180"/>
              <w:jc w:val="both"/>
              <w:rPr>
                <w:rFonts w:cs="Arial"/>
              </w:rPr>
            </w:pPr>
            <w:r w:rsidRPr="00514EFA">
              <w:rPr>
                <w:rFonts w:cs="Arial"/>
              </w:rPr>
              <w:t>National Heritage Memorial Fund</w:t>
            </w:r>
          </w:p>
          <w:p w14:paraId="2A3C04D6" w14:textId="77777777" w:rsidR="00101F25" w:rsidRPr="00514EFA" w:rsidRDefault="00101F25" w:rsidP="00F0636B">
            <w:pPr>
              <w:numPr>
                <w:ilvl w:val="0"/>
                <w:numId w:val="24"/>
              </w:numPr>
              <w:spacing w:before="0" w:after="180"/>
              <w:jc w:val="both"/>
              <w:rPr>
                <w:rFonts w:cs="Arial"/>
              </w:rPr>
            </w:pPr>
            <w:r w:rsidRPr="00514EFA">
              <w:rPr>
                <w:rFonts w:cs="Arial"/>
              </w:rPr>
              <w:t>DCMS Arms Length Bodies funding</w:t>
            </w:r>
          </w:p>
          <w:p w14:paraId="5B92450E" w14:textId="77777777" w:rsidR="00101F25" w:rsidRPr="00514EFA" w:rsidRDefault="00101F25" w:rsidP="00F0636B">
            <w:pPr>
              <w:numPr>
                <w:ilvl w:val="0"/>
                <w:numId w:val="24"/>
              </w:numPr>
              <w:spacing w:before="0" w:after="180"/>
              <w:jc w:val="both"/>
              <w:rPr>
                <w:rFonts w:cs="Arial"/>
              </w:rPr>
            </w:pPr>
            <w:r w:rsidRPr="00514EFA">
              <w:rPr>
                <w:rFonts w:cs="Arial"/>
              </w:rPr>
              <w:t>Rural Development programme budget</w:t>
            </w:r>
          </w:p>
          <w:p w14:paraId="15701696" w14:textId="77777777" w:rsidR="00101F25" w:rsidRPr="00514EFA" w:rsidRDefault="00101F25" w:rsidP="00F0636B">
            <w:pPr>
              <w:numPr>
                <w:ilvl w:val="0"/>
                <w:numId w:val="24"/>
              </w:numPr>
              <w:spacing w:before="0" w:after="180"/>
              <w:jc w:val="both"/>
              <w:rPr>
                <w:rFonts w:cs="Arial"/>
              </w:rPr>
            </w:pPr>
            <w:r w:rsidRPr="00514EFA">
              <w:rPr>
                <w:rFonts w:cs="Arial"/>
              </w:rPr>
              <w:t>Rural Development programme budget</w:t>
            </w:r>
          </w:p>
          <w:p w14:paraId="081F2C92" w14:textId="77777777" w:rsidR="00101F25" w:rsidRPr="00514EFA" w:rsidRDefault="00101F25" w:rsidP="00F0636B">
            <w:pPr>
              <w:numPr>
                <w:ilvl w:val="0"/>
                <w:numId w:val="24"/>
              </w:numPr>
              <w:spacing w:before="0" w:after="180"/>
              <w:jc w:val="both"/>
              <w:rPr>
                <w:rFonts w:cs="Arial"/>
              </w:rPr>
            </w:pPr>
            <w:r w:rsidRPr="00514EFA">
              <w:rPr>
                <w:rFonts w:cs="Arial"/>
              </w:rPr>
              <w:t>CAP Payments</w:t>
            </w:r>
          </w:p>
          <w:p w14:paraId="2EFD99BB" w14:textId="77777777" w:rsidR="00101F25" w:rsidRPr="00514EFA" w:rsidRDefault="00101F25" w:rsidP="00F0636B">
            <w:pPr>
              <w:numPr>
                <w:ilvl w:val="0"/>
                <w:numId w:val="24"/>
              </w:numPr>
              <w:spacing w:before="0" w:after="180"/>
              <w:jc w:val="both"/>
              <w:rPr>
                <w:rFonts w:cs="Arial"/>
              </w:rPr>
            </w:pPr>
            <w:r w:rsidRPr="00514EFA">
              <w:rPr>
                <w:rFonts w:cs="Arial"/>
              </w:rPr>
              <w:t>Science and Heritage Programme</w:t>
            </w:r>
          </w:p>
          <w:p w14:paraId="51FF79B8" w14:textId="77777777" w:rsidR="00101F25" w:rsidRPr="00514EFA" w:rsidRDefault="00101F25" w:rsidP="00F0636B">
            <w:pPr>
              <w:numPr>
                <w:ilvl w:val="0"/>
                <w:numId w:val="24"/>
              </w:numPr>
              <w:spacing w:before="0" w:after="180"/>
              <w:jc w:val="both"/>
              <w:rPr>
                <w:rFonts w:cs="Arial"/>
              </w:rPr>
            </w:pPr>
            <w:r w:rsidRPr="00514EFA">
              <w:rPr>
                <w:rFonts w:cs="Arial"/>
              </w:rPr>
              <w:t>Gateway to Research (GtR)</w:t>
            </w:r>
          </w:p>
          <w:p w14:paraId="50ED5911" w14:textId="77777777" w:rsidR="00101F25" w:rsidRPr="00514EFA" w:rsidRDefault="00101F25" w:rsidP="00F0636B">
            <w:pPr>
              <w:numPr>
                <w:ilvl w:val="0"/>
                <w:numId w:val="24"/>
              </w:numPr>
              <w:spacing w:before="0" w:after="180"/>
              <w:jc w:val="both"/>
              <w:rPr>
                <w:rFonts w:cs="Arial"/>
                <w:color w:val="1F497D"/>
              </w:rPr>
            </w:pPr>
            <w:r w:rsidRPr="00514EFA">
              <w:rPr>
                <w:rFonts w:cs="Arial"/>
              </w:rPr>
              <w:t>CIPFA data</w:t>
            </w:r>
          </w:p>
          <w:p w14:paraId="3C7EB71E" w14:textId="77777777" w:rsidR="00101F25" w:rsidRPr="00514EFA" w:rsidRDefault="00101F25" w:rsidP="00522071">
            <w:pPr>
              <w:rPr>
                <w:rFonts w:cs="Arial"/>
              </w:rPr>
            </w:pPr>
          </w:p>
        </w:tc>
      </w:tr>
    </w:tbl>
    <w:p w14:paraId="5BF87092" w14:textId="77777777" w:rsidR="00101F25" w:rsidRPr="00514EFA" w:rsidRDefault="00101F25" w:rsidP="00F0636B">
      <w:pPr>
        <w:pStyle w:val="Heading2Numbered"/>
      </w:pPr>
      <w:bookmarkStart w:id="138" w:name="_Toc417910959"/>
      <w:bookmarkStart w:id="139" w:name="_Toc467569645"/>
      <w:r w:rsidRPr="00514EFA">
        <w:t>Assets</w:t>
      </w:r>
      <w:bookmarkEnd w:id="138"/>
      <w:bookmarkEnd w:id="139"/>
    </w:p>
    <w:p w14:paraId="650383C1" w14:textId="0A9A8788" w:rsidR="00101F25" w:rsidRPr="00514EFA" w:rsidRDefault="00101F25" w:rsidP="00101F25">
      <w:pPr>
        <w:rPr>
          <w:rFonts w:cs="Arial"/>
        </w:rPr>
      </w:pPr>
      <w:r w:rsidRPr="00514EFA">
        <w:rPr>
          <w:rFonts w:cs="Arial"/>
        </w:rPr>
        <w:t xml:space="preserve">The data review </w:t>
      </w:r>
      <w:r w:rsidR="00890A24">
        <w:rPr>
          <w:rFonts w:cs="Arial"/>
        </w:rPr>
        <w:t>did</w:t>
      </w:r>
      <w:r w:rsidR="00890A24" w:rsidRPr="00514EFA">
        <w:rPr>
          <w:rFonts w:cs="Arial"/>
        </w:rPr>
        <w:t xml:space="preserve"> </w:t>
      </w:r>
      <w:r w:rsidRPr="00514EFA">
        <w:rPr>
          <w:rFonts w:cs="Arial"/>
        </w:rPr>
        <w:t xml:space="preserve">not </w:t>
      </w:r>
      <w:r w:rsidR="00890A24" w:rsidRPr="00514EFA">
        <w:rPr>
          <w:rFonts w:cs="Arial"/>
        </w:rPr>
        <w:t>identif</w:t>
      </w:r>
      <w:r w:rsidR="00890A24">
        <w:rPr>
          <w:rFonts w:cs="Arial"/>
        </w:rPr>
        <w:t>y</w:t>
      </w:r>
      <w:r w:rsidR="00890A24" w:rsidRPr="00514EFA">
        <w:rPr>
          <w:rFonts w:cs="Arial"/>
        </w:rPr>
        <w:t xml:space="preserve"> </w:t>
      </w:r>
      <w:r w:rsidRPr="00514EFA">
        <w:rPr>
          <w:rFonts w:cs="Arial"/>
        </w:rPr>
        <w:t xml:space="preserve">a single source which provides comprehensive coverage of all CS&amp;H assets. A number of datasets are available which appear to ‘definitively’ identify assets in a particular category – culture, sport </w:t>
      </w:r>
      <w:r w:rsidRPr="00514EFA">
        <w:rPr>
          <w:rFonts w:cs="Arial"/>
          <w:i/>
        </w:rPr>
        <w:t>or</w:t>
      </w:r>
      <w:r w:rsidRPr="00514EFA">
        <w:rPr>
          <w:rFonts w:cs="Arial"/>
        </w:rPr>
        <w:t xml:space="preserve"> heritage – but not all three. While this means the analysis </w:t>
      </w:r>
      <w:r w:rsidR="00890A24">
        <w:rPr>
          <w:rFonts w:cs="Arial"/>
        </w:rPr>
        <w:t>might</w:t>
      </w:r>
      <w:r w:rsidR="00890A24" w:rsidRPr="00514EFA">
        <w:rPr>
          <w:rFonts w:cs="Arial"/>
        </w:rPr>
        <w:t xml:space="preserve"> </w:t>
      </w:r>
      <w:r w:rsidRPr="00514EFA">
        <w:rPr>
          <w:rFonts w:cs="Arial"/>
        </w:rPr>
        <w:t xml:space="preserve">potentially examine the impacts of each type of asset separately, in order to test the impact of the CS&amp;H offer as a whole it is </w:t>
      </w:r>
      <w:r w:rsidR="00890A24">
        <w:rPr>
          <w:rFonts w:cs="Arial"/>
        </w:rPr>
        <w:t>necessary</w:t>
      </w:r>
      <w:r w:rsidRPr="00514EFA">
        <w:rPr>
          <w:rFonts w:cs="Arial"/>
        </w:rPr>
        <w:t xml:space="preserve"> to collate data from a number of different sources.</w:t>
      </w:r>
    </w:p>
    <w:p w14:paraId="52E26079" w14:textId="77777777" w:rsidR="00101F25" w:rsidRPr="00514EFA" w:rsidRDefault="00101F25" w:rsidP="00101F25">
      <w:pPr>
        <w:rPr>
          <w:rFonts w:cs="Arial"/>
        </w:rPr>
      </w:pPr>
      <w:r w:rsidRPr="00514EFA">
        <w:rPr>
          <w:rFonts w:cs="Arial"/>
        </w:rPr>
        <w:t>In the absence of detailed local knowledge of all the places to be examined in the analysis it is, of course, difficult to judge the comprehensiveness of many of the data sources reviewed. At the national level, this is impossible. Where they relate to assets which receive public funding, or which are managed by public bodies, we can generally expect coverage of data sources to be comprehensive (within the definitions of the dataset). Other data sources may vary in their coverage, especially where data is supplied by individual organisations which own or manage the assets themselves (as in the case of the Culture24 website/dataset). There may also be spatial variation in comprehensiveness – that is, a single source may provide comprehensive coverage of the assets in one place, while coverage may be patchy in another.</w:t>
      </w:r>
    </w:p>
    <w:p w14:paraId="519BE83C" w14:textId="77777777" w:rsidR="00101F25" w:rsidRPr="00514EFA" w:rsidRDefault="00101F25" w:rsidP="00101F25">
      <w:pPr>
        <w:rPr>
          <w:rFonts w:cs="Arial"/>
        </w:rPr>
      </w:pPr>
      <w:r w:rsidRPr="00514EFA">
        <w:rPr>
          <w:rFonts w:cs="Arial"/>
        </w:rPr>
        <w:t>Commercial datasets (e.g. point of interest data) are likely to provide the broadest coverage (that is, include a broad range of CS&amp;H assets) but are hardest to judge in terms of comprehensiveness without arranging access to the data and comparing with the available public data. There is also a cost implication to the use of commercial datasets which needs to be considered, of course.</w:t>
      </w:r>
    </w:p>
    <w:p w14:paraId="65291D50" w14:textId="4B29D22E" w:rsidR="00101F25" w:rsidRPr="00514EFA" w:rsidRDefault="00101F25" w:rsidP="00101F25">
      <w:pPr>
        <w:rPr>
          <w:rFonts w:cs="Arial"/>
        </w:rPr>
      </w:pPr>
      <w:r w:rsidRPr="00514EFA">
        <w:rPr>
          <w:rFonts w:cs="Arial"/>
        </w:rPr>
        <w:t>Identifying the places in which CS&amp;H assets are located is generally straightforward – the data sources reviewed include postcodes, grid references or both. This means that assets can be georeferenced at detailed spatial levels, and other indicators used in the analysis are</w:t>
      </w:r>
      <w:r w:rsidR="00890A24">
        <w:rPr>
          <w:rFonts w:cs="Arial"/>
        </w:rPr>
        <w:t xml:space="preserve"> more</w:t>
      </w:r>
      <w:r w:rsidRPr="00514EFA">
        <w:rPr>
          <w:rFonts w:cs="Arial"/>
        </w:rPr>
        <w:t xml:space="preserve"> likely to determine the spatial level at which CS&amp;H impacts can be tested. However, it should be noted that our experience of some sources available from public bodies shows that geo</w:t>
      </w:r>
      <w:r w:rsidR="00AD0C23" w:rsidRPr="00514EFA">
        <w:rPr>
          <w:rFonts w:cs="Arial"/>
        </w:rPr>
        <w:t>-</w:t>
      </w:r>
      <w:r w:rsidRPr="00514EFA">
        <w:rPr>
          <w:rFonts w:cs="Arial"/>
        </w:rPr>
        <w:t>referencing variables are not alwa</w:t>
      </w:r>
      <w:r w:rsidR="00AD0C23" w:rsidRPr="00514EFA">
        <w:rPr>
          <w:rFonts w:cs="Arial"/>
        </w:rPr>
        <w:t xml:space="preserve">ys fully populated or accurate. </w:t>
      </w:r>
      <w:r w:rsidRPr="00514EFA">
        <w:rPr>
          <w:rFonts w:cs="Arial"/>
        </w:rPr>
        <w:t>This points to a wider need to validate the sources used.</w:t>
      </w:r>
    </w:p>
    <w:p w14:paraId="755665E5" w14:textId="77777777" w:rsidR="00101F25" w:rsidRPr="00514EFA" w:rsidRDefault="00101F25" w:rsidP="00101F25">
      <w:pPr>
        <w:rPr>
          <w:rFonts w:cs="Arial"/>
        </w:rPr>
      </w:pPr>
      <w:r w:rsidRPr="00514EFA">
        <w:rPr>
          <w:rFonts w:cs="Arial"/>
        </w:rPr>
        <w:t>Time-series data on CS&amp;H assets is not readily available. Many data sources provide a recent snapshot of assets, without historical comparisons. In some cases, time series might be constructed by comparing historical versions of the datasets. In many cases, however, historical datasets are not available – this is particularly the case where data is sourced from a continuously updated database or from a commercial supplier.</w:t>
      </w:r>
    </w:p>
    <w:p w14:paraId="0E8FE83F" w14:textId="77777777" w:rsidR="00101F25" w:rsidRPr="00514EFA" w:rsidRDefault="00101F25" w:rsidP="00101F25">
      <w:pPr>
        <w:rPr>
          <w:rFonts w:cs="Arial"/>
        </w:rPr>
      </w:pPr>
      <w:r w:rsidRPr="00514EFA">
        <w:rPr>
          <w:rFonts w:cs="Arial"/>
        </w:rPr>
        <w:lastRenderedPageBreak/>
        <w:t>Data on the value of CS&amp;H assets is not readily available. Value indicators may be available on a case-study basis, though collating this data would require extensive desk research and is unlikely to provide a consistent picture across either the range of CS&amp;H assets or the places examined. It may be possible to match data sources in order to identify the economic value of commercial assets (e.g. turnover, GVA or output). However, the definition of ‘value’ needs to be considered and agreed – it may be that value is better defined in terms of usage or public perception/satisfaction, rather than in purely economic terms. One or more proxy indicators of value may need to be defined and suitable sources identified.</w:t>
      </w:r>
    </w:p>
    <w:p w14:paraId="41CD7BA6" w14:textId="74EA5CA8" w:rsidR="00101F25" w:rsidRPr="00514EFA" w:rsidRDefault="00101F25" w:rsidP="00101F25">
      <w:pPr>
        <w:rPr>
          <w:rFonts w:cs="Arial"/>
        </w:rPr>
      </w:pPr>
      <w:r w:rsidRPr="00514EFA">
        <w:rPr>
          <w:rFonts w:cs="Arial"/>
        </w:rPr>
        <w:t xml:space="preserve">It must also be recognised that examining stocks </w:t>
      </w:r>
      <w:r w:rsidRPr="00890A24">
        <w:rPr>
          <w:rFonts w:cs="Arial"/>
          <w:i/>
        </w:rPr>
        <w:t>and</w:t>
      </w:r>
      <w:r w:rsidRPr="00514EFA">
        <w:rPr>
          <w:rFonts w:cs="Arial"/>
        </w:rPr>
        <w:t xml:space="preserve"> flows, in terms of assets and investments (discussed below) will add value to the analysis.</w:t>
      </w:r>
      <w:r w:rsidR="00A033C6">
        <w:rPr>
          <w:rFonts w:cs="Arial"/>
        </w:rPr>
        <w:t xml:space="preserve"> </w:t>
      </w:r>
      <w:r w:rsidRPr="00514EFA">
        <w:rPr>
          <w:rFonts w:cs="Arial"/>
        </w:rPr>
        <w:t>The key implication is that longitudinal data would be required to examine flows.</w:t>
      </w:r>
    </w:p>
    <w:p w14:paraId="030D6314" w14:textId="77777777" w:rsidR="00101F25" w:rsidRPr="00514EFA" w:rsidRDefault="00101F25" w:rsidP="00101F25">
      <w:pPr>
        <w:rPr>
          <w:rFonts w:cs="Arial"/>
        </w:rPr>
      </w:pPr>
      <w:r w:rsidRPr="00514EFA">
        <w:rPr>
          <w:rFonts w:cs="Arial"/>
        </w:rPr>
        <w:t xml:space="preserve">Also, the measurement of the existence of an asset (at one or more points in time) is ‘easier’ than measuring quality, given the nature of available data. </w:t>
      </w:r>
    </w:p>
    <w:p w14:paraId="339EAC97" w14:textId="77777777" w:rsidR="00101F25" w:rsidRPr="00514EFA" w:rsidRDefault="00101F25" w:rsidP="00F0636B">
      <w:pPr>
        <w:pStyle w:val="Heading2Numbered"/>
      </w:pPr>
      <w:bookmarkStart w:id="140" w:name="_Toc417910960"/>
      <w:bookmarkStart w:id="141" w:name="_Toc467569646"/>
      <w:r w:rsidRPr="00514EFA">
        <w:t>Investment</w:t>
      </w:r>
      <w:bookmarkEnd w:id="140"/>
      <w:bookmarkEnd w:id="141"/>
    </w:p>
    <w:p w14:paraId="694FEAC8" w14:textId="77777777" w:rsidR="00101F25" w:rsidRPr="00514EFA" w:rsidRDefault="00101F25" w:rsidP="00101F25">
      <w:pPr>
        <w:rPr>
          <w:rFonts w:cs="Arial"/>
        </w:rPr>
      </w:pPr>
      <w:r w:rsidRPr="00514EFA">
        <w:rPr>
          <w:rFonts w:cs="Arial"/>
        </w:rPr>
        <w:t xml:space="preserve">Data on investment in CS&amp;H assets – and in particular, data on private investment – is less readily available than data relating to the type or location of assets themselves. As with data on value, investment data (including private investment) may be available on a case-study basis, though again collating this would require extensive desk research and is unlikely to provide a consistent picture across the range of CS&amp;H assets or the places examined. </w:t>
      </w:r>
    </w:p>
    <w:p w14:paraId="39EEE7E7" w14:textId="415FF498" w:rsidR="00101F25" w:rsidRPr="00514EFA" w:rsidRDefault="00101F25" w:rsidP="00101F25">
      <w:pPr>
        <w:rPr>
          <w:rFonts w:cs="Arial"/>
        </w:rPr>
      </w:pPr>
      <w:r w:rsidRPr="00514EFA">
        <w:rPr>
          <w:rFonts w:cs="Arial"/>
        </w:rPr>
        <w:t xml:space="preserve">Where it is available, investment data is often not specific to individual assets but is only available at aggregate levels. </w:t>
      </w:r>
      <w:r w:rsidR="00890A24">
        <w:rPr>
          <w:rFonts w:cs="Arial"/>
        </w:rPr>
        <w:t>T</w:t>
      </w:r>
      <w:r w:rsidRPr="00514EFA">
        <w:rPr>
          <w:rFonts w:cs="Arial"/>
        </w:rPr>
        <w:t xml:space="preserve">he availability of investment data </w:t>
      </w:r>
      <w:r w:rsidR="00890A24">
        <w:rPr>
          <w:rFonts w:cs="Arial"/>
        </w:rPr>
        <w:t>was a key</w:t>
      </w:r>
      <w:r w:rsidRPr="00514EFA">
        <w:rPr>
          <w:rFonts w:cs="Arial"/>
        </w:rPr>
        <w:t xml:space="preserve"> factor in determining the spatial level at which CS&amp;H impacts </w:t>
      </w:r>
      <w:r w:rsidR="00D91B68">
        <w:rPr>
          <w:rFonts w:cs="Arial"/>
        </w:rPr>
        <w:t>could</w:t>
      </w:r>
      <w:r w:rsidR="00D91B68" w:rsidRPr="00514EFA">
        <w:rPr>
          <w:rFonts w:cs="Arial"/>
        </w:rPr>
        <w:t xml:space="preserve"> </w:t>
      </w:r>
      <w:r w:rsidRPr="00514EFA">
        <w:rPr>
          <w:rFonts w:cs="Arial"/>
        </w:rPr>
        <w:t xml:space="preserve">be </w:t>
      </w:r>
      <w:r w:rsidR="00D91B68" w:rsidRPr="00514EFA">
        <w:rPr>
          <w:rFonts w:cs="Arial"/>
        </w:rPr>
        <w:t>teste</w:t>
      </w:r>
      <w:r w:rsidR="00C26CA6">
        <w:rPr>
          <w:rFonts w:cs="Arial"/>
        </w:rPr>
        <w:t>d</w:t>
      </w:r>
      <w:r w:rsidR="00D91B68">
        <w:rPr>
          <w:rFonts w:cs="Arial"/>
        </w:rPr>
        <w:t xml:space="preserve"> in this study</w:t>
      </w:r>
      <w:r w:rsidRPr="00514EFA">
        <w:rPr>
          <w:rFonts w:cs="Arial"/>
        </w:rPr>
        <w:t>.</w:t>
      </w:r>
      <w:r w:rsidR="00A033C6">
        <w:rPr>
          <w:rFonts w:cs="Arial"/>
        </w:rPr>
        <w:t xml:space="preserve"> </w:t>
      </w:r>
      <w:r w:rsidR="00D91B68">
        <w:rPr>
          <w:rFonts w:cs="Arial"/>
        </w:rPr>
        <w:t>T</w:t>
      </w:r>
      <w:r w:rsidRPr="00514EFA">
        <w:rPr>
          <w:rFonts w:cs="Arial"/>
        </w:rPr>
        <w:t>he most consistent source of investment data is on local authority expenditure, which would not allow analysis at spatial levels below local authority boundaries.</w:t>
      </w:r>
    </w:p>
    <w:p w14:paraId="1D435C51" w14:textId="77777777" w:rsidR="00101F25" w:rsidRPr="00514EFA" w:rsidRDefault="00101F25" w:rsidP="00101F25">
      <w:pPr>
        <w:rPr>
          <w:rFonts w:cs="Arial"/>
        </w:rPr>
      </w:pPr>
      <w:r w:rsidRPr="00514EFA">
        <w:rPr>
          <w:rFonts w:cs="Arial"/>
        </w:rPr>
        <w:t>It may be possible to use proxy indicators for investment. At the broadest level, for example, an increase in the number of CS&amp;H assets in a place would imply investment in the CS&amp;H infrastructure. However, the extent of investment is likely to be difficult to measure by proxy, and the suitability of proxy indicators needs further consideration.</w:t>
      </w:r>
    </w:p>
    <w:p w14:paraId="3C394945" w14:textId="77777777" w:rsidR="00101F25" w:rsidRPr="00514EFA" w:rsidRDefault="00101F25" w:rsidP="00F0636B">
      <w:pPr>
        <w:pStyle w:val="Heading2Numbered"/>
      </w:pPr>
      <w:bookmarkStart w:id="142" w:name="_Toc417910961"/>
      <w:bookmarkStart w:id="143" w:name="_Toc467569647"/>
      <w:r w:rsidRPr="00514EFA">
        <w:t>Dependent variables</w:t>
      </w:r>
      <w:bookmarkEnd w:id="142"/>
      <w:bookmarkEnd w:id="143"/>
    </w:p>
    <w:p w14:paraId="7CBCBE98" w14:textId="5B4C7B89" w:rsidR="00101F25" w:rsidRPr="00514EFA" w:rsidRDefault="00101F25" w:rsidP="00101F25">
      <w:pPr>
        <w:rPr>
          <w:rFonts w:cs="Arial"/>
        </w:rPr>
      </w:pPr>
      <w:r w:rsidRPr="00514EFA">
        <w:rPr>
          <w:rFonts w:cs="Arial"/>
        </w:rPr>
        <w:t xml:space="preserve">A wide range of data sources </w:t>
      </w:r>
      <w:r w:rsidR="00D91B68">
        <w:rPr>
          <w:rFonts w:cs="Arial"/>
        </w:rPr>
        <w:t>is</w:t>
      </w:r>
      <w:r w:rsidR="00D91B68" w:rsidRPr="00514EFA">
        <w:rPr>
          <w:rFonts w:cs="Arial"/>
        </w:rPr>
        <w:t xml:space="preserve"> </w:t>
      </w:r>
      <w:r w:rsidRPr="00514EFA">
        <w:rPr>
          <w:rFonts w:cs="Arial"/>
        </w:rPr>
        <w:t>available which can provide dependent variables (and control variables) for the analysis. These include data on business infrastructure and performance (including the Inter-Departmental Business Register as well as commercial datasets), demography, labour market indicators, indicators relating to quality of life and well-being, and indicators relating to the local infrastructure. In most cases, data is freely available. In a few cases (e.g. availability and cost of business premises) the use of commercial datasets is needed.</w:t>
      </w:r>
    </w:p>
    <w:p w14:paraId="6FE8C7F3" w14:textId="7E060328" w:rsidR="00101F25" w:rsidRPr="00514EFA" w:rsidRDefault="00101F25" w:rsidP="00101F25">
      <w:pPr>
        <w:rPr>
          <w:rFonts w:cs="Arial"/>
        </w:rPr>
      </w:pPr>
      <w:r w:rsidRPr="00514EFA">
        <w:rPr>
          <w:rFonts w:cs="Arial"/>
        </w:rPr>
        <w:t xml:space="preserve">Data is available at various spatial levels, depending on the specific indicator and the source used. Data on business infrastructure and performance and data on demography is generally available at detailed spatial levels (though in the case </w:t>
      </w:r>
      <w:r w:rsidR="00D91B68">
        <w:rPr>
          <w:rFonts w:cs="Arial"/>
        </w:rPr>
        <w:br/>
      </w:r>
      <w:r w:rsidRPr="00514EFA">
        <w:rPr>
          <w:rFonts w:cs="Arial"/>
        </w:rPr>
        <w:t xml:space="preserve">of demography, time-series data at fine resolution is only available from the </w:t>
      </w:r>
      <w:r w:rsidRPr="00514EFA">
        <w:rPr>
          <w:rFonts w:cs="Arial"/>
        </w:rPr>
        <w:lastRenderedPageBreak/>
        <w:t>Census and therefore covers change over ten-year periods). Other data may only be available at local authority level and not for smaller geographies.</w:t>
      </w:r>
    </w:p>
    <w:p w14:paraId="504BA37F" w14:textId="77777777" w:rsidR="00101F25" w:rsidRPr="00514EFA" w:rsidRDefault="00101F25" w:rsidP="00F0636B">
      <w:pPr>
        <w:pStyle w:val="Heading2Numbered"/>
      </w:pPr>
      <w:bookmarkStart w:id="144" w:name="_Toc417910962"/>
      <w:bookmarkStart w:id="145" w:name="_Toc467569648"/>
      <w:r w:rsidRPr="00514EFA">
        <w:t>Conclusions</w:t>
      </w:r>
      <w:bookmarkEnd w:id="144"/>
      <w:bookmarkEnd w:id="145"/>
    </w:p>
    <w:p w14:paraId="00CC2079" w14:textId="3C254296" w:rsidR="00101F25" w:rsidRPr="00514EFA" w:rsidRDefault="00101F25" w:rsidP="00101F25">
      <w:pPr>
        <w:rPr>
          <w:rFonts w:cs="Arial"/>
        </w:rPr>
      </w:pPr>
      <w:r w:rsidRPr="00514EFA">
        <w:rPr>
          <w:rFonts w:cs="Arial"/>
        </w:rPr>
        <w:t xml:space="preserve">Identifying the CS&amp;H assets in a place is relatively straightforward, though a comprehensive picture </w:t>
      </w:r>
      <w:r w:rsidR="00D91B68">
        <w:rPr>
          <w:rFonts w:cs="Arial"/>
        </w:rPr>
        <w:t>needs</w:t>
      </w:r>
      <w:r w:rsidRPr="00514EFA">
        <w:rPr>
          <w:rFonts w:cs="Arial"/>
        </w:rPr>
        <w:t xml:space="preserve"> to be collated from a number of different data sources. Identifying changes in the number, type and quality of assets is more difficult. Similarly, developing a comprehensive picture of investment in CS&amp;H assets is also difficult. </w:t>
      </w:r>
      <w:r w:rsidR="00C65E4A">
        <w:rPr>
          <w:rFonts w:cs="Arial"/>
        </w:rPr>
        <w:t>D</w:t>
      </w:r>
      <w:r w:rsidR="00C65E4A" w:rsidRPr="00514EFA">
        <w:rPr>
          <w:rFonts w:cs="Arial"/>
        </w:rPr>
        <w:t xml:space="preserve">ata </w:t>
      </w:r>
      <w:r w:rsidRPr="00514EFA">
        <w:rPr>
          <w:rFonts w:cs="Arial"/>
        </w:rPr>
        <w:t xml:space="preserve">availability </w:t>
      </w:r>
      <w:r w:rsidR="00C26CA6">
        <w:rPr>
          <w:rFonts w:cs="Arial"/>
        </w:rPr>
        <w:t>was taken to</w:t>
      </w:r>
      <w:r w:rsidR="00C26CA6" w:rsidRPr="00514EFA">
        <w:rPr>
          <w:rFonts w:cs="Arial"/>
        </w:rPr>
        <w:t xml:space="preserve"> </w:t>
      </w:r>
      <w:r w:rsidRPr="00514EFA">
        <w:rPr>
          <w:rFonts w:cs="Arial"/>
        </w:rPr>
        <w:t>determine the specification for analysis.</w:t>
      </w:r>
    </w:p>
    <w:p w14:paraId="32067390" w14:textId="37C89474" w:rsidR="00101F25" w:rsidRPr="00514EFA" w:rsidRDefault="00101F25" w:rsidP="00101F25">
      <w:pPr>
        <w:rPr>
          <w:rFonts w:cs="Arial"/>
        </w:rPr>
      </w:pPr>
      <w:r w:rsidRPr="00514EFA">
        <w:rPr>
          <w:rFonts w:cs="Arial"/>
        </w:rPr>
        <w:t>A range of indicators is available to examine the impacts of CS&amp;H assets and investment. The available data will also allow impacts to be tested at a range of spatial levels</w:t>
      </w:r>
      <w:r w:rsidR="00C65E4A">
        <w:rPr>
          <w:rFonts w:cs="Arial"/>
        </w:rPr>
        <w:t>, though generally not robustly below local authority level</w:t>
      </w:r>
      <w:r w:rsidRPr="00514EFA">
        <w:rPr>
          <w:rFonts w:cs="Arial"/>
        </w:rPr>
        <w:t xml:space="preserve">. The specific indicators to be used as dependent and control variables </w:t>
      </w:r>
      <w:r w:rsidR="00C26CA6">
        <w:rPr>
          <w:rFonts w:cs="Arial"/>
        </w:rPr>
        <w:t>were</w:t>
      </w:r>
      <w:r w:rsidRPr="00514EFA">
        <w:rPr>
          <w:rFonts w:cs="Arial"/>
        </w:rPr>
        <w:t xml:space="preserve"> defined in line with the specification for analysis.</w:t>
      </w:r>
    </w:p>
    <w:p w14:paraId="658A6842" w14:textId="14FE0E16" w:rsidR="00101F25" w:rsidRPr="00514EFA" w:rsidRDefault="00101F25" w:rsidP="00101F25">
      <w:pPr>
        <w:rPr>
          <w:rFonts w:cs="Arial"/>
        </w:rPr>
      </w:pPr>
      <w:r w:rsidRPr="00514EFA">
        <w:rPr>
          <w:rFonts w:cs="Arial"/>
        </w:rPr>
        <w:t xml:space="preserve">The ecosystem presented </w:t>
      </w:r>
      <w:r w:rsidR="00C26CA6">
        <w:rPr>
          <w:rFonts w:cs="Arial"/>
        </w:rPr>
        <w:t xml:space="preserve">in section </w:t>
      </w:r>
      <w:r w:rsidR="00C26CA6">
        <w:rPr>
          <w:rFonts w:cs="Arial"/>
        </w:rPr>
        <w:fldChar w:fldCharType="begin"/>
      </w:r>
      <w:r w:rsidR="00C26CA6">
        <w:rPr>
          <w:rFonts w:cs="Arial"/>
        </w:rPr>
        <w:instrText xml:space="preserve"> REF _Ref464048813 \r \h </w:instrText>
      </w:r>
      <w:r w:rsidR="00C26CA6">
        <w:rPr>
          <w:rFonts w:cs="Arial"/>
        </w:rPr>
      </w:r>
      <w:r w:rsidR="00C26CA6">
        <w:rPr>
          <w:rFonts w:cs="Arial"/>
        </w:rPr>
        <w:fldChar w:fldCharType="separate"/>
      </w:r>
      <w:r w:rsidR="00F0636B">
        <w:rPr>
          <w:rFonts w:cs="Arial"/>
        </w:rPr>
        <w:t>2.3.3</w:t>
      </w:r>
      <w:r w:rsidR="00C26CA6">
        <w:rPr>
          <w:rFonts w:cs="Arial"/>
        </w:rPr>
        <w:fldChar w:fldCharType="end"/>
      </w:r>
      <w:r w:rsidR="00C26CA6">
        <w:rPr>
          <w:rFonts w:cs="Arial"/>
        </w:rPr>
        <w:t xml:space="preserve"> (p.</w:t>
      </w:r>
      <w:r w:rsidR="00C26CA6">
        <w:rPr>
          <w:rFonts w:cs="Arial"/>
        </w:rPr>
        <w:fldChar w:fldCharType="begin"/>
      </w:r>
      <w:r w:rsidR="00C26CA6">
        <w:rPr>
          <w:rFonts w:cs="Arial"/>
        </w:rPr>
        <w:instrText xml:space="preserve"> PAGEREF _Ref464048822 \h </w:instrText>
      </w:r>
      <w:r w:rsidR="00C26CA6">
        <w:rPr>
          <w:rFonts w:cs="Arial"/>
        </w:rPr>
      </w:r>
      <w:r w:rsidR="00C26CA6">
        <w:rPr>
          <w:rFonts w:cs="Arial"/>
        </w:rPr>
        <w:fldChar w:fldCharType="separate"/>
      </w:r>
      <w:r w:rsidR="00F0636B">
        <w:rPr>
          <w:rFonts w:cs="Arial"/>
          <w:noProof/>
        </w:rPr>
        <w:t>13</w:t>
      </w:r>
      <w:r w:rsidR="00C26CA6">
        <w:rPr>
          <w:rFonts w:cs="Arial"/>
        </w:rPr>
        <w:fldChar w:fldCharType="end"/>
      </w:r>
      <w:r w:rsidR="00C26CA6">
        <w:rPr>
          <w:rFonts w:cs="Arial"/>
        </w:rPr>
        <w:t>)</w:t>
      </w:r>
      <w:r w:rsidR="00C26CA6" w:rsidRPr="00514EFA">
        <w:rPr>
          <w:rFonts w:cs="Arial"/>
        </w:rPr>
        <w:t xml:space="preserve"> </w:t>
      </w:r>
      <w:r w:rsidRPr="00514EFA">
        <w:rPr>
          <w:rFonts w:cs="Arial"/>
        </w:rPr>
        <w:t>highlights some of the theoretical impacts of CS&amp;H assets/investments.</w:t>
      </w:r>
      <w:r w:rsidR="00A033C6">
        <w:rPr>
          <w:rFonts w:cs="Arial"/>
        </w:rPr>
        <w:t xml:space="preserve"> </w:t>
      </w:r>
      <w:r w:rsidR="00C26CA6">
        <w:rPr>
          <w:rFonts w:cs="Arial"/>
        </w:rPr>
        <w:t>T</w:t>
      </w:r>
      <w:r w:rsidRPr="00514EFA">
        <w:rPr>
          <w:rFonts w:cs="Arial"/>
        </w:rPr>
        <w:t xml:space="preserve">his study </w:t>
      </w:r>
      <w:r w:rsidR="00C26CA6">
        <w:rPr>
          <w:rFonts w:cs="Arial"/>
        </w:rPr>
        <w:t>presented an opportunity</w:t>
      </w:r>
      <w:r w:rsidR="00C26CA6" w:rsidRPr="00514EFA">
        <w:rPr>
          <w:rFonts w:cs="Arial"/>
        </w:rPr>
        <w:t xml:space="preserve"> </w:t>
      </w:r>
      <w:r w:rsidRPr="00514EFA">
        <w:rPr>
          <w:rFonts w:cs="Arial"/>
        </w:rPr>
        <w:t>to test a variety of these potential impacts to understand where relationships do and do not exist and then to focus in on strong relationships in order to understand how they are generated.</w:t>
      </w:r>
      <w:r w:rsidR="00C65E4A">
        <w:rPr>
          <w:rFonts w:cs="Arial"/>
        </w:rPr>
        <w:t xml:space="preserve"> </w:t>
      </w:r>
      <w:r w:rsidRPr="00514EFA">
        <w:rPr>
          <w:rFonts w:cs="Arial"/>
        </w:rPr>
        <w:t xml:space="preserve">In some cases, however, specific indicators </w:t>
      </w:r>
      <w:r w:rsidR="00C26CA6">
        <w:rPr>
          <w:rFonts w:cs="Arial"/>
        </w:rPr>
        <w:t>were</w:t>
      </w:r>
      <w:r w:rsidR="00C26CA6" w:rsidRPr="00514EFA">
        <w:rPr>
          <w:rFonts w:cs="Arial"/>
        </w:rPr>
        <w:t xml:space="preserve"> </w:t>
      </w:r>
      <w:r w:rsidRPr="00514EFA">
        <w:rPr>
          <w:rFonts w:cs="Arial"/>
        </w:rPr>
        <w:t>not available. This is the case</w:t>
      </w:r>
      <w:r w:rsidR="00C65E4A">
        <w:rPr>
          <w:rFonts w:cs="Arial"/>
        </w:rPr>
        <w:t>, for example,</w:t>
      </w:r>
      <w:r w:rsidRPr="00514EFA">
        <w:rPr>
          <w:rFonts w:cs="Arial"/>
        </w:rPr>
        <w:t xml:space="preserve"> in relation to independent and dependent variables relating to quality or value (e.g. the quality of the CS&amp;H offer). Where the data review </w:t>
      </w:r>
      <w:r w:rsidR="00C26CA6" w:rsidRPr="00514EFA">
        <w:rPr>
          <w:rFonts w:cs="Arial"/>
        </w:rPr>
        <w:t>identifie</w:t>
      </w:r>
      <w:r w:rsidR="00C26CA6">
        <w:rPr>
          <w:rFonts w:cs="Arial"/>
        </w:rPr>
        <w:t>d</w:t>
      </w:r>
      <w:r w:rsidR="00C26CA6" w:rsidRPr="00514EFA">
        <w:rPr>
          <w:rFonts w:cs="Arial"/>
        </w:rPr>
        <w:t xml:space="preserve"> </w:t>
      </w:r>
      <w:r w:rsidRPr="00514EFA">
        <w:rPr>
          <w:rFonts w:cs="Arial"/>
        </w:rPr>
        <w:t xml:space="preserve">a gap in the available data, a suitable proxy </w:t>
      </w:r>
      <w:r w:rsidR="00C26CA6">
        <w:rPr>
          <w:rFonts w:cs="Arial"/>
        </w:rPr>
        <w:t>was sought</w:t>
      </w:r>
      <w:r w:rsidRPr="00514EFA">
        <w:rPr>
          <w:rFonts w:cs="Arial"/>
        </w:rPr>
        <w:t>.</w:t>
      </w:r>
      <w:r w:rsidR="00A033C6">
        <w:rPr>
          <w:rFonts w:cs="Arial"/>
        </w:rPr>
        <w:t xml:space="preserve"> </w:t>
      </w:r>
      <w:r w:rsidR="00C26CA6">
        <w:rPr>
          <w:rFonts w:cs="Arial"/>
        </w:rPr>
        <w:t>However, t</w:t>
      </w:r>
      <w:r w:rsidR="00C26CA6" w:rsidRPr="00514EFA">
        <w:rPr>
          <w:rFonts w:cs="Arial"/>
        </w:rPr>
        <w:t xml:space="preserve">he </w:t>
      </w:r>
      <w:r w:rsidRPr="00514EFA">
        <w:rPr>
          <w:rFonts w:cs="Arial"/>
        </w:rPr>
        <w:t xml:space="preserve">analysis </w:t>
      </w:r>
      <w:r w:rsidR="00C26CA6">
        <w:rPr>
          <w:rFonts w:cs="Arial"/>
        </w:rPr>
        <w:t>was</w:t>
      </w:r>
      <w:r w:rsidRPr="00514EFA">
        <w:rPr>
          <w:rFonts w:cs="Arial"/>
        </w:rPr>
        <w:t xml:space="preserve"> driven by available data.</w:t>
      </w:r>
    </w:p>
    <w:p w14:paraId="349D7EEB" w14:textId="4D133437" w:rsidR="00C65E4A" w:rsidRPr="00514EFA" w:rsidRDefault="00101F25" w:rsidP="00C65E4A">
      <w:pPr>
        <w:rPr>
          <w:rFonts w:cs="Arial"/>
        </w:rPr>
      </w:pPr>
      <w:r w:rsidRPr="00514EFA">
        <w:rPr>
          <w:rFonts w:cs="Arial"/>
        </w:rPr>
        <w:t xml:space="preserve">It </w:t>
      </w:r>
      <w:r w:rsidR="00C65E4A">
        <w:rPr>
          <w:rFonts w:cs="Arial"/>
        </w:rPr>
        <w:t>was recognised</w:t>
      </w:r>
      <w:r w:rsidRPr="00514EFA">
        <w:rPr>
          <w:rFonts w:cs="Arial"/>
        </w:rPr>
        <w:t xml:space="preserve"> that the process of reviewing data sources and developing a specification for the analysis </w:t>
      </w:r>
      <w:r w:rsidR="00C65E4A">
        <w:rPr>
          <w:rFonts w:cs="Arial"/>
        </w:rPr>
        <w:t>should be</w:t>
      </w:r>
      <w:r w:rsidR="00C65E4A" w:rsidRPr="00514EFA">
        <w:rPr>
          <w:rFonts w:cs="Arial"/>
        </w:rPr>
        <w:t xml:space="preserve"> </w:t>
      </w:r>
      <w:r w:rsidRPr="00514EFA">
        <w:rPr>
          <w:rFonts w:cs="Arial"/>
        </w:rPr>
        <w:t>an iterative one</w:t>
      </w:r>
      <w:r w:rsidR="00C65E4A">
        <w:rPr>
          <w:rFonts w:cs="Arial"/>
        </w:rPr>
        <w:t>, with</w:t>
      </w:r>
      <w:r w:rsidRPr="00514EFA">
        <w:rPr>
          <w:rFonts w:cs="Arial"/>
        </w:rPr>
        <w:t xml:space="preserve"> each </w:t>
      </w:r>
      <w:r w:rsidR="00C65E4A" w:rsidRPr="00514EFA">
        <w:rPr>
          <w:rFonts w:cs="Arial"/>
        </w:rPr>
        <w:t>inform</w:t>
      </w:r>
      <w:r w:rsidR="00C65E4A">
        <w:rPr>
          <w:rFonts w:cs="Arial"/>
        </w:rPr>
        <w:t>ing</w:t>
      </w:r>
      <w:r w:rsidR="00C65E4A" w:rsidRPr="00514EFA">
        <w:rPr>
          <w:rFonts w:cs="Arial"/>
        </w:rPr>
        <w:t xml:space="preserve"> </w:t>
      </w:r>
      <w:r w:rsidRPr="00514EFA">
        <w:rPr>
          <w:rFonts w:cs="Arial"/>
        </w:rPr>
        <w:t xml:space="preserve">the other. A data specification which describes the indicators to be used in the analysis and the sources from which they are drawn </w:t>
      </w:r>
      <w:r w:rsidR="00C65E4A">
        <w:rPr>
          <w:rFonts w:cs="Arial"/>
        </w:rPr>
        <w:t>was</w:t>
      </w:r>
      <w:r w:rsidRPr="00514EFA">
        <w:rPr>
          <w:rFonts w:cs="Arial"/>
        </w:rPr>
        <w:t xml:space="preserve"> developed as </w:t>
      </w:r>
      <w:r w:rsidR="00C65E4A">
        <w:rPr>
          <w:rFonts w:cs="Arial"/>
        </w:rPr>
        <w:t>the study</w:t>
      </w:r>
      <w:r w:rsidR="00C65E4A" w:rsidRPr="00514EFA">
        <w:rPr>
          <w:rFonts w:cs="Arial"/>
        </w:rPr>
        <w:t xml:space="preserve"> </w:t>
      </w:r>
      <w:r w:rsidRPr="00514EFA">
        <w:rPr>
          <w:rFonts w:cs="Arial"/>
        </w:rPr>
        <w:t>progress</w:t>
      </w:r>
      <w:r w:rsidR="00C65E4A">
        <w:rPr>
          <w:rFonts w:cs="Arial"/>
        </w:rPr>
        <w:t>ed</w:t>
      </w:r>
      <w:r w:rsidRPr="00514EFA">
        <w:rPr>
          <w:rFonts w:cs="Arial"/>
        </w:rPr>
        <w:t>.</w:t>
      </w:r>
      <w:r w:rsidR="00C65E4A">
        <w:rPr>
          <w:rFonts w:eastAsiaTheme="minorHAnsi" w:cs="Arial"/>
        </w:rPr>
        <w:t xml:space="preserve"> Details of the dataset used in the analysis can be found in section </w:t>
      </w:r>
      <w:r w:rsidR="00C65E4A">
        <w:rPr>
          <w:rFonts w:eastAsiaTheme="minorHAnsi" w:cs="Arial"/>
        </w:rPr>
        <w:fldChar w:fldCharType="begin"/>
      </w:r>
      <w:r w:rsidR="00C65E4A">
        <w:rPr>
          <w:rFonts w:eastAsiaTheme="minorHAnsi" w:cs="Arial"/>
        </w:rPr>
        <w:instrText xml:space="preserve"> REF _Ref460261622 \r \h </w:instrText>
      </w:r>
      <w:r w:rsidR="00C65E4A">
        <w:rPr>
          <w:rFonts w:eastAsiaTheme="minorHAnsi" w:cs="Arial"/>
        </w:rPr>
      </w:r>
      <w:r w:rsidR="00C65E4A">
        <w:rPr>
          <w:rFonts w:eastAsiaTheme="minorHAnsi" w:cs="Arial"/>
        </w:rPr>
        <w:fldChar w:fldCharType="separate"/>
      </w:r>
      <w:r w:rsidR="00F0636B">
        <w:rPr>
          <w:rFonts w:eastAsiaTheme="minorHAnsi" w:cs="Arial"/>
        </w:rPr>
        <w:t>11:</w:t>
      </w:r>
      <w:r w:rsidR="00C65E4A">
        <w:rPr>
          <w:rFonts w:eastAsiaTheme="minorHAnsi" w:cs="Arial"/>
        </w:rPr>
        <w:fldChar w:fldCharType="end"/>
      </w:r>
      <w:r w:rsidR="00C65E4A">
        <w:rPr>
          <w:rFonts w:eastAsiaTheme="minorHAnsi" w:cs="Arial"/>
        </w:rPr>
        <w:t xml:space="preserve"> (p.</w:t>
      </w:r>
      <w:r w:rsidR="00C65E4A">
        <w:rPr>
          <w:rFonts w:eastAsiaTheme="minorHAnsi" w:cs="Arial"/>
        </w:rPr>
        <w:fldChar w:fldCharType="begin"/>
      </w:r>
      <w:r w:rsidR="00C65E4A">
        <w:rPr>
          <w:rFonts w:eastAsiaTheme="minorHAnsi" w:cs="Arial"/>
        </w:rPr>
        <w:instrText xml:space="preserve"> PAGEREF _Ref460261622 \h </w:instrText>
      </w:r>
      <w:r w:rsidR="00C65E4A">
        <w:rPr>
          <w:rFonts w:eastAsiaTheme="minorHAnsi" w:cs="Arial"/>
        </w:rPr>
      </w:r>
      <w:r w:rsidR="00C65E4A">
        <w:rPr>
          <w:rFonts w:eastAsiaTheme="minorHAnsi" w:cs="Arial"/>
        </w:rPr>
        <w:fldChar w:fldCharType="separate"/>
      </w:r>
      <w:r w:rsidR="00F0636B">
        <w:rPr>
          <w:rFonts w:eastAsiaTheme="minorHAnsi" w:cs="Arial"/>
          <w:noProof/>
        </w:rPr>
        <w:t>102</w:t>
      </w:r>
      <w:r w:rsidR="00C65E4A">
        <w:rPr>
          <w:rFonts w:eastAsiaTheme="minorHAnsi" w:cs="Arial"/>
        </w:rPr>
        <w:fldChar w:fldCharType="end"/>
      </w:r>
      <w:r w:rsidR="00C65E4A">
        <w:rPr>
          <w:rFonts w:eastAsiaTheme="minorHAnsi" w:cs="Arial"/>
        </w:rPr>
        <w:t>).</w:t>
      </w:r>
    </w:p>
    <w:p w14:paraId="75358BBF" w14:textId="77777777" w:rsidR="004E0FEF" w:rsidRPr="00514EFA" w:rsidRDefault="004E0FEF" w:rsidP="00EC6821">
      <w:pPr>
        <w:widowControl w:val="0"/>
        <w:autoSpaceDE w:val="0"/>
        <w:autoSpaceDN w:val="0"/>
        <w:adjustRightInd w:val="0"/>
        <w:spacing w:before="0" w:after="120" w:line="276" w:lineRule="auto"/>
        <w:ind w:left="0"/>
        <w:contextualSpacing/>
        <w:rPr>
          <w:rFonts w:eastAsia="Calibri" w:cs="Arial"/>
          <w:szCs w:val="22"/>
        </w:rPr>
      </w:pPr>
    </w:p>
    <w:p w14:paraId="4A99BC68" w14:textId="77777777" w:rsidR="0030150C" w:rsidRPr="00514EFA" w:rsidRDefault="0030150C" w:rsidP="0030150C">
      <w:pPr>
        <w:pStyle w:val="Heading2Numbered"/>
        <w:rPr>
          <w:rFonts w:eastAsia="Calibri"/>
        </w:rPr>
      </w:pPr>
      <w:r w:rsidRPr="00514EFA">
        <w:rPr>
          <w:rFonts w:eastAsia="Calibri"/>
        </w:rPr>
        <w:br w:type="page"/>
      </w:r>
    </w:p>
    <w:p w14:paraId="223F2183" w14:textId="481091D3" w:rsidR="004E0FEF" w:rsidRPr="00514EFA" w:rsidRDefault="003318C7" w:rsidP="00F0636B">
      <w:pPr>
        <w:pStyle w:val="Heading1Numbered"/>
        <w:rPr>
          <w:rFonts w:eastAsia="Calibri"/>
        </w:rPr>
      </w:pPr>
      <w:bookmarkStart w:id="146" w:name="_Toc467569649"/>
      <w:r>
        <w:rPr>
          <w:rFonts w:eastAsia="Calibri"/>
        </w:rPr>
        <w:lastRenderedPageBreak/>
        <w:t xml:space="preserve">Appendix </w:t>
      </w:r>
      <w:r w:rsidR="00C17BF2">
        <w:rPr>
          <w:rFonts w:eastAsia="Calibri"/>
        </w:rPr>
        <w:t>V</w:t>
      </w:r>
      <w:r w:rsidR="0030150C" w:rsidRPr="00514EFA">
        <w:rPr>
          <w:rFonts w:eastAsia="Calibri"/>
        </w:rPr>
        <w:t xml:space="preserve"> – </w:t>
      </w:r>
      <w:r w:rsidR="00F922D0" w:rsidRPr="00514EFA">
        <w:rPr>
          <w:rFonts w:eastAsia="Calibri"/>
        </w:rPr>
        <w:t xml:space="preserve">Sector </w:t>
      </w:r>
      <w:r w:rsidR="0030150C" w:rsidRPr="00514EFA">
        <w:rPr>
          <w:rFonts w:eastAsia="Calibri"/>
        </w:rPr>
        <w:t>definition</w:t>
      </w:r>
      <w:r w:rsidR="00F922D0" w:rsidRPr="00514EFA">
        <w:rPr>
          <w:rFonts w:eastAsia="Calibri"/>
        </w:rPr>
        <w:t>s</w:t>
      </w:r>
      <w:bookmarkEnd w:id="146"/>
    </w:p>
    <w:p w14:paraId="598C52B8" w14:textId="4B853568" w:rsidR="00F922D0" w:rsidRPr="00514EFA" w:rsidRDefault="00F922D0" w:rsidP="00F922D0">
      <w:pPr>
        <w:rPr>
          <w:rFonts w:eastAsia="Calibri" w:cs="Arial"/>
        </w:rPr>
      </w:pPr>
      <w:r w:rsidRPr="00514EFA">
        <w:rPr>
          <w:rFonts w:eastAsia="Calibri" w:cs="Arial"/>
        </w:rPr>
        <w:t xml:space="preserve">This section provides </w:t>
      </w:r>
      <w:r w:rsidR="00C65E4A">
        <w:rPr>
          <w:rFonts w:eastAsia="Calibri" w:cs="Arial"/>
        </w:rPr>
        <w:t>Standard Industrial Classification</w:t>
      </w:r>
      <w:r w:rsidR="00C65E4A" w:rsidRPr="00514EFA">
        <w:rPr>
          <w:rFonts w:eastAsia="Calibri" w:cs="Arial"/>
        </w:rPr>
        <w:t xml:space="preserve"> </w:t>
      </w:r>
      <w:r w:rsidRPr="00514EFA">
        <w:rPr>
          <w:rFonts w:eastAsia="Calibri" w:cs="Arial"/>
        </w:rPr>
        <w:t>definitions for the four sectors tested in the analysis: creative industries, knowledge industries, tourism and professional services.</w:t>
      </w:r>
    </w:p>
    <w:p w14:paraId="6779E388" w14:textId="77777777" w:rsidR="00E3489C" w:rsidRPr="00514EFA" w:rsidRDefault="00E3489C" w:rsidP="00F0636B">
      <w:pPr>
        <w:pStyle w:val="Heading2Numbered"/>
      </w:pPr>
      <w:bookmarkStart w:id="147" w:name="_Toc467569650"/>
      <w:r w:rsidRPr="00514EFA">
        <w:t>Creative Industries</w:t>
      </w:r>
      <w:bookmarkEnd w:id="147"/>
    </w:p>
    <w:p w14:paraId="4A1AD456" w14:textId="77777777" w:rsidR="00E3489C" w:rsidRPr="00514EFA" w:rsidRDefault="00E3489C" w:rsidP="00E3489C">
      <w:pPr>
        <w:rPr>
          <w:rFonts w:cs="Arial"/>
        </w:rPr>
      </w:pPr>
      <w:r>
        <w:rPr>
          <w:rFonts w:cs="Arial"/>
        </w:rPr>
        <w:t>Analysis is based on the DCMS definition of the Creative Industries</w:t>
      </w:r>
      <w:r>
        <w:rPr>
          <w:rStyle w:val="FootnoteReference"/>
          <w:rFonts w:cs="Arial"/>
        </w:rPr>
        <w:footnoteReference w:id="4"/>
      </w:r>
      <w:r>
        <w:rPr>
          <w:rFonts w:cs="Arial"/>
        </w:rPr>
        <w:t>. T</w:t>
      </w:r>
      <w:r w:rsidRPr="00514EFA">
        <w:rPr>
          <w:rFonts w:cs="Arial"/>
        </w:rPr>
        <w:t>ier 1 is the standard definition used unless specified otherwise. Tier 2 and 3 industries were successively added to test the robustness of the analysis.</w:t>
      </w:r>
    </w:p>
    <w:p w14:paraId="0250D1B8" w14:textId="77777777" w:rsidR="00E3489C" w:rsidRPr="00514EFA" w:rsidRDefault="00E3489C" w:rsidP="00E3489C">
      <w:pPr>
        <w:rPr>
          <w:rFonts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512"/>
        <w:gridCol w:w="993"/>
      </w:tblGrid>
      <w:tr w:rsidR="00E3489C" w:rsidRPr="006C0A42" w14:paraId="69FEA00E" w14:textId="77777777" w:rsidTr="00D262DC">
        <w:trPr>
          <w:trHeight w:val="300"/>
          <w:tblHeader/>
        </w:trPr>
        <w:tc>
          <w:tcPr>
            <w:tcW w:w="1101" w:type="dxa"/>
            <w:shd w:val="clear" w:color="auto" w:fill="auto"/>
            <w:noWrap/>
            <w:vAlign w:val="center"/>
            <w:hideMark/>
          </w:tcPr>
          <w:p w14:paraId="718A3796" w14:textId="74C6F91F" w:rsidR="00E3489C" w:rsidRPr="006C0A42" w:rsidRDefault="00C26CA6" w:rsidP="00FA72FB">
            <w:pPr>
              <w:spacing w:before="20" w:after="20"/>
              <w:ind w:hanging="1361"/>
              <w:jc w:val="center"/>
              <w:rPr>
                <w:rFonts w:cs="Arial"/>
                <w:b/>
                <w:bCs/>
                <w:sz w:val="18"/>
                <w:szCs w:val="18"/>
                <w:lang w:eastAsia="en-GB"/>
              </w:rPr>
            </w:pPr>
            <w:r>
              <w:rPr>
                <w:rFonts w:cs="Arial"/>
                <w:b/>
                <w:bCs/>
                <w:sz w:val="18"/>
                <w:szCs w:val="18"/>
                <w:lang w:eastAsia="en-GB"/>
              </w:rPr>
              <w:t>SIC07</w:t>
            </w:r>
          </w:p>
        </w:tc>
        <w:tc>
          <w:tcPr>
            <w:tcW w:w="7512" w:type="dxa"/>
            <w:shd w:val="clear" w:color="auto" w:fill="auto"/>
            <w:noWrap/>
            <w:vAlign w:val="center"/>
            <w:hideMark/>
          </w:tcPr>
          <w:p w14:paraId="5E837B17" w14:textId="77777777" w:rsidR="00E3489C" w:rsidRPr="006C0A42" w:rsidRDefault="00E3489C" w:rsidP="00C26CA6">
            <w:pPr>
              <w:spacing w:before="20" w:after="20"/>
              <w:ind w:left="33"/>
              <w:rPr>
                <w:rFonts w:cs="Arial"/>
                <w:b/>
                <w:bCs/>
                <w:sz w:val="18"/>
                <w:szCs w:val="18"/>
                <w:lang w:eastAsia="en-GB"/>
              </w:rPr>
            </w:pPr>
            <w:r w:rsidRPr="006C0A42">
              <w:rPr>
                <w:rFonts w:cs="Arial"/>
                <w:b/>
                <w:bCs/>
                <w:sz w:val="18"/>
                <w:szCs w:val="18"/>
                <w:lang w:eastAsia="en-GB"/>
              </w:rPr>
              <w:t>Description</w:t>
            </w:r>
          </w:p>
        </w:tc>
        <w:tc>
          <w:tcPr>
            <w:tcW w:w="993" w:type="dxa"/>
            <w:shd w:val="clear" w:color="auto" w:fill="auto"/>
            <w:noWrap/>
            <w:vAlign w:val="center"/>
            <w:hideMark/>
          </w:tcPr>
          <w:p w14:paraId="75160D06" w14:textId="77777777" w:rsidR="00E3489C" w:rsidRPr="006C0A42" w:rsidRDefault="00E3489C" w:rsidP="00FA72FB">
            <w:pPr>
              <w:spacing w:before="20" w:after="20"/>
              <w:ind w:hanging="1327"/>
              <w:jc w:val="center"/>
              <w:rPr>
                <w:rFonts w:cs="Arial"/>
                <w:b/>
                <w:bCs/>
                <w:sz w:val="18"/>
                <w:szCs w:val="18"/>
                <w:lang w:eastAsia="en-GB"/>
              </w:rPr>
            </w:pPr>
            <w:r w:rsidRPr="006C0A42">
              <w:rPr>
                <w:rFonts w:cs="Arial"/>
                <w:b/>
                <w:bCs/>
                <w:sz w:val="18"/>
                <w:szCs w:val="18"/>
                <w:lang w:eastAsia="en-GB"/>
              </w:rPr>
              <w:t>Tier</w:t>
            </w:r>
          </w:p>
        </w:tc>
      </w:tr>
      <w:tr w:rsidR="00E3489C" w:rsidRPr="006C0A42" w14:paraId="243C6E07" w14:textId="77777777" w:rsidTr="00D262DC">
        <w:trPr>
          <w:trHeight w:val="300"/>
        </w:trPr>
        <w:tc>
          <w:tcPr>
            <w:tcW w:w="1101" w:type="dxa"/>
            <w:shd w:val="clear" w:color="auto" w:fill="auto"/>
            <w:noWrap/>
            <w:vAlign w:val="center"/>
            <w:hideMark/>
          </w:tcPr>
          <w:p w14:paraId="684F231B"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32120</w:t>
            </w:r>
          </w:p>
        </w:tc>
        <w:tc>
          <w:tcPr>
            <w:tcW w:w="7512" w:type="dxa"/>
            <w:shd w:val="clear" w:color="auto" w:fill="auto"/>
            <w:noWrap/>
            <w:vAlign w:val="center"/>
            <w:hideMark/>
          </w:tcPr>
          <w:p w14:paraId="3F02C3D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Manufacture of jewellery and related articles</w:t>
            </w:r>
          </w:p>
        </w:tc>
        <w:tc>
          <w:tcPr>
            <w:tcW w:w="993" w:type="dxa"/>
            <w:shd w:val="clear" w:color="auto" w:fill="auto"/>
            <w:noWrap/>
            <w:vAlign w:val="center"/>
            <w:hideMark/>
          </w:tcPr>
          <w:p w14:paraId="681FBA5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FFDC53E" w14:textId="77777777" w:rsidTr="00D262DC">
        <w:trPr>
          <w:trHeight w:val="300"/>
        </w:trPr>
        <w:tc>
          <w:tcPr>
            <w:tcW w:w="1101" w:type="dxa"/>
            <w:shd w:val="clear" w:color="auto" w:fill="auto"/>
            <w:noWrap/>
            <w:vAlign w:val="center"/>
            <w:hideMark/>
          </w:tcPr>
          <w:p w14:paraId="3D55D4E4"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32300</w:t>
            </w:r>
          </w:p>
        </w:tc>
        <w:tc>
          <w:tcPr>
            <w:tcW w:w="7512" w:type="dxa"/>
            <w:shd w:val="clear" w:color="auto" w:fill="auto"/>
            <w:noWrap/>
            <w:vAlign w:val="center"/>
            <w:hideMark/>
          </w:tcPr>
          <w:p w14:paraId="20D4FA3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Manufacture of sports goods</w:t>
            </w:r>
          </w:p>
        </w:tc>
        <w:tc>
          <w:tcPr>
            <w:tcW w:w="993" w:type="dxa"/>
            <w:shd w:val="clear" w:color="auto" w:fill="auto"/>
            <w:noWrap/>
            <w:vAlign w:val="center"/>
            <w:hideMark/>
          </w:tcPr>
          <w:p w14:paraId="258F92C1"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1DDF322" w14:textId="77777777" w:rsidTr="00D262DC">
        <w:trPr>
          <w:trHeight w:val="300"/>
        </w:trPr>
        <w:tc>
          <w:tcPr>
            <w:tcW w:w="1101" w:type="dxa"/>
            <w:shd w:val="clear" w:color="auto" w:fill="auto"/>
            <w:noWrap/>
            <w:vAlign w:val="center"/>
            <w:hideMark/>
          </w:tcPr>
          <w:p w14:paraId="158487CF"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58110</w:t>
            </w:r>
          </w:p>
        </w:tc>
        <w:tc>
          <w:tcPr>
            <w:tcW w:w="7512" w:type="dxa"/>
            <w:shd w:val="clear" w:color="auto" w:fill="auto"/>
            <w:noWrap/>
            <w:vAlign w:val="center"/>
            <w:hideMark/>
          </w:tcPr>
          <w:p w14:paraId="185AD117"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Book publishing</w:t>
            </w:r>
          </w:p>
        </w:tc>
        <w:tc>
          <w:tcPr>
            <w:tcW w:w="993" w:type="dxa"/>
            <w:shd w:val="clear" w:color="auto" w:fill="auto"/>
            <w:noWrap/>
            <w:vAlign w:val="center"/>
            <w:hideMark/>
          </w:tcPr>
          <w:p w14:paraId="6F141E5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E59598C" w14:textId="77777777" w:rsidTr="00D262DC">
        <w:trPr>
          <w:trHeight w:val="300"/>
        </w:trPr>
        <w:tc>
          <w:tcPr>
            <w:tcW w:w="1101" w:type="dxa"/>
            <w:shd w:val="clear" w:color="auto" w:fill="auto"/>
            <w:noWrap/>
            <w:vAlign w:val="center"/>
            <w:hideMark/>
          </w:tcPr>
          <w:p w14:paraId="6AC54A46"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58120</w:t>
            </w:r>
          </w:p>
        </w:tc>
        <w:tc>
          <w:tcPr>
            <w:tcW w:w="7512" w:type="dxa"/>
            <w:shd w:val="clear" w:color="auto" w:fill="auto"/>
            <w:noWrap/>
            <w:vAlign w:val="center"/>
            <w:hideMark/>
          </w:tcPr>
          <w:p w14:paraId="2DBF411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Publishing of directories and mailing lists</w:t>
            </w:r>
          </w:p>
        </w:tc>
        <w:tc>
          <w:tcPr>
            <w:tcW w:w="993" w:type="dxa"/>
            <w:shd w:val="clear" w:color="auto" w:fill="auto"/>
            <w:noWrap/>
            <w:vAlign w:val="center"/>
            <w:hideMark/>
          </w:tcPr>
          <w:p w14:paraId="1D2FD05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7B502F5" w14:textId="77777777" w:rsidTr="00D262DC">
        <w:trPr>
          <w:trHeight w:val="300"/>
        </w:trPr>
        <w:tc>
          <w:tcPr>
            <w:tcW w:w="1101" w:type="dxa"/>
            <w:shd w:val="clear" w:color="auto" w:fill="auto"/>
            <w:noWrap/>
            <w:vAlign w:val="center"/>
            <w:hideMark/>
          </w:tcPr>
          <w:p w14:paraId="54CD40ED"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58130</w:t>
            </w:r>
          </w:p>
        </w:tc>
        <w:tc>
          <w:tcPr>
            <w:tcW w:w="7512" w:type="dxa"/>
            <w:shd w:val="clear" w:color="auto" w:fill="auto"/>
            <w:noWrap/>
            <w:vAlign w:val="center"/>
            <w:hideMark/>
          </w:tcPr>
          <w:p w14:paraId="6140A19B"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Publishing of newspapers</w:t>
            </w:r>
          </w:p>
        </w:tc>
        <w:tc>
          <w:tcPr>
            <w:tcW w:w="993" w:type="dxa"/>
            <w:shd w:val="clear" w:color="auto" w:fill="auto"/>
            <w:noWrap/>
            <w:vAlign w:val="center"/>
            <w:hideMark/>
          </w:tcPr>
          <w:p w14:paraId="0784AB8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81E3C42" w14:textId="77777777" w:rsidTr="00D262DC">
        <w:trPr>
          <w:trHeight w:val="300"/>
        </w:trPr>
        <w:tc>
          <w:tcPr>
            <w:tcW w:w="1101" w:type="dxa"/>
            <w:shd w:val="clear" w:color="auto" w:fill="auto"/>
            <w:noWrap/>
            <w:vAlign w:val="center"/>
            <w:hideMark/>
          </w:tcPr>
          <w:p w14:paraId="463F2B39"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58141</w:t>
            </w:r>
          </w:p>
        </w:tc>
        <w:tc>
          <w:tcPr>
            <w:tcW w:w="7512" w:type="dxa"/>
            <w:shd w:val="clear" w:color="auto" w:fill="auto"/>
            <w:noWrap/>
            <w:vAlign w:val="center"/>
            <w:hideMark/>
          </w:tcPr>
          <w:p w14:paraId="006A08B8"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Publishing of learned journals</w:t>
            </w:r>
          </w:p>
        </w:tc>
        <w:tc>
          <w:tcPr>
            <w:tcW w:w="993" w:type="dxa"/>
            <w:shd w:val="clear" w:color="auto" w:fill="auto"/>
            <w:noWrap/>
            <w:vAlign w:val="center"/>
            <w:hideMark/>
          </w:tcPr>
          <w:p w14:paraId="7EDD3A9B"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669F1281" w14:textId="77777777" w:rsidTr="00D262DC">
        <w:trPr>
          <w:trHeight w:val="300"/>
        </w:trPr>
        <w:tc>
          <w:tcPr>
            <w:tcW w:w="1101" w:type="dxa"/>
            <w:shd w:val="clear" w:color="auto" w:fill="auto"/>
            <w:noWrap/>
            <w:vAlign w:val="center"/>
            <w:hideMark/>
          </w:tcPr>
          <w:p w14:paraId="0AFA59B7"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58142</w:t>
            </w:r>
          </w:p>
        </w:tc>
        <w:tc>
          <w:tcPr>
            <w:tcW w:w="7512" w:type="dxa"/>
            <w:shd w:val="clear" w:color="auto" w:fill="auto"/>
            <w:noWrap/>
            <w:vAlign w:val="center"/>
            <w:hideMark/>
          </w:tcPr>
          <w:p w14:paraId="41507BA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Publishing of consumer and business journals and periodicals</w:t>
            </w:r>
          </w:p>
        </w:tc>
        <w:tc>
          <w:tcPr>
            <w:tcW w:w="993" w:type="dxa"/>
            <w:shd w:val="clear" w:color="auto" w:fill="auto"/>
            <w:noWrap/>
            <w:vAlign w:val="center"/>
            <w:hideMark/>
          </w:tcPr>
          <w:p w14:paraId="47A3812A"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53551EB" w14:textId="77777777" w:rsidTr="00D262DC">
        <w:trPr>
          <w:trHeight w:val="300"/>
        </w:trPr>
        <w:tc>
          <w:tcPr>
            <w:tcW w:w="1101" w:type="dxa"/>
            <w:shd w:val="clear" w:color="auto" w:fill="auto"/>
            <w:noWrap/>
            <w:vAlign w:val="center"/>
            <w:hideMark/>
          </w:tcPr>
          <w:p w14:paraId="7F95CE6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58190</w:t>
            </w:r>
          </w:p>
        </w:tc>
        <w:tc>
          <w:tcPr>
            <w:tcW w:w="7512" w:type="dxa"/>
            <w:shd w:val="clear" w:color="auto" w:fill="auto"/>
            <w:noWrap/>
            <w:vAlign w:val="center"/>
            <w:hideMark/>
          </w:tcPr>
          <w:p w14:paraId="311D3D8F"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Other publishing activities</w:t>
            </w:r>
          </w:p>
        </w:tc>
        <w:tc>
          <w:tcPr>
            <w:tcW w:w="993" w:type="dxa"/>
            <w:shd w:val="clear" w:color="auto" w:fill="auto"/>
            <w:noWrap/>
            <w:vAlign w:val="center"/>
            <w:hideMark/>
          </w:tcPr>
          <w:p w14:paraId="49CF6A7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AF9C3DF" w14:textId="77777777" w:rsidTr="00D262DC">
        <w:trPr>
          <w:trHeight w:val="300"/>
        </w:trPr>
        <w:tc>
          <w:tcPr>
            <w:tcW w:w="1101" w:type="dxa"/>
            <w:shd w:val="clear" w:color="auto" w:fill="auto"/>
            <w:noWrap/>
            <w:vAlign w:val="center"/>
            <w:hideMark/>
          </w:tcPr>
          <w:p w14:paraId="59947EA9"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58210</w:t>
            </w:r>
          </w:p>
        </w:tc>
        <w:tc>
          <w:tcPr>
            <w:tcW w:w="7512" w:type="dxa"/>
            <w:shd w:val="clear" w:color="auto" w:fill="auto"/>
            <w:noWrap/>
            <w:vAlign w:val="center"/>
            <w:hideMark/>
          </w:tcPr>
          <w:p w14:paraId="30CBEE84"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Publishing of computer games</w:t>
            </w:r>
          </w:p>
        </w:tc>
        <w:tc>
          <w:tcPr>
            <w:tcW w:w="993" w:type="dxa"/>
            <w:shd w:val="clear" w:color="auto" w:fill="auto"/>
            <w:noWrap/>
            <w:vAlign w:val="center"/>
            <w:hideMark/>
          </w:tcPr>
          <w:p w14:paraId="1A89FE9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96F3F61" w14:textId="77777777" w:rsidTr="00D262DC">
        <w:trPr>
          <w:trHeight w:val="300"/>
        </w:trPr>
        <w:tc>
          <w:tcPr>
            <w:tcW w:w="1101" w:type="dxa"/>
            <w:shd w:val="clear" w:color="auto" w:fill="auto"/>
            <w:noWrap/>
            <w:vAlign w:val="center"/>
            <w:hideMark/>
          </w:tcPr>
          <w:p w14:paraId="1ADC1F0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58290</w:t>
            </w:r>
          </w:p>
        </w:tc>
        <w:tc>
          <w:tcPr>
            <w:tcW w:w="7512" w:type="dxa"/>
            <w:shd w:val="clear" w:color="auto" w:fill="auto"/>
            <w:noWrap/>
            <w:vAlign w:val="center"/>
            <w:hideMark/>
          </w:tcPr>
          <w:p w14:paraId="099E067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Other software publishing</w:t>
            </w:r>
          </w:p>
        </w:tc>
        <w:tc>
          <w:tcPr>
            <w:tcW w:w="993" w:type="dxa"/>
            <w:shd w:val="clear" w:color="auto" w:fill="auto"/>
            <w:noWrap/>
            <w:vAlign w:val="center"/>
            <w:hideMark/>
          </w:tcPr>
          <w:p w14:paraId="0E69BC73"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2291B10" w14:textId="77777777" w:rsidTr="00D262DC">
        <w:trPr>
          <w:trHeight w:val="300"/>
        </w:trPr>
        <w:tc>
          <w:tcPr>
            <w:tcW w:w="1101" w:type="dxa"/>
            <w:shd w:val="clear" w:color="auto" w:fill="auto"/>
            <w:noWrap/>
            <w:vAlign w:val="center"/>
            <w:hideMark/>
          </w:tcPr>
          <w:p w14:paraId="0BDF172D"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59111</w:t>
            </w:r>
          </w:p>
        </w:tc>
        <w:tc>
          <w:tcPr>
            <w:tcW w:w="7512" w:type="dxa"/>
            <w:shd w:val="clear" w:color="auto" w:fill="auto"/>
            <w:noWrap/>
            <w:vAlign w:val="center"/>
            <w:hideMark/>
          </w:tcPr>
          <w:p w14:paraId="0888CFE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Motion picture production activities</w:t>
            </w:r>
          </w:p>
        </w:tc>
        <w:tc>
          <w:tcPr>
            <w:tcW w:w="993" w:type="dxa"/>
            <w:shd w:val="clear" w:color="auto" w:fill="auto"/>
            <w:noWrap/>
            <w:vAlign w:val="center"/>
            <w:hideMark/>
          </w:tcPr>
          <w:p w14:paraId="039C670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6B8C3F42" w14:textId="77777777" w:rsidTr="00D262DC">
        <w:trPr>
          <w:trHeight w:val="300"/>
        </w:trPr>
        <w:tc>
          <w:tcPr>
            <w:tcW w:w="1101" w:type="dxa"/>
            <w:shd w:val="clear" w:color="auto" w:fill="auto"/>
            <w:noWrap/>
            <w:vAlign w:val="center"/>
            <w:hideMark/>
          </w:tcPr>
          <w:p w14:paraId="1DFFEC09"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59112</w:t>
            </w:r>
          </w:p>
        </w:tc>
        <w:tc>
          <w:tcPr>
            <w:tcW w:w="7512" w:type="dxa"/>
            <w:shd w:val="clear" w:color="auto" w:fill="auto"/>
            <w:noWrap/>
            <w:vAlign w:val="center"/>
            <w:hideMark/>
          </w:tcPr>
          <w:p w14:paraId="7E0EEA1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Video production activities</w:t>
            </w:r>
          </w:p>
        </w:tc>
        <w:tc>
          <w:tcPr>
            <w:tcW w:w="993" w:type="dxa"/>
            <w:shd w:val="clear" w:color="auto" w:fill="auto"/>
            <w:noWrap/>
            <w:vAlign w:val="center"/>
            <w:hideMark/>
          </w:tcPr>
          <w:p w14:paraId="1D373F83"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53DD62A7" w14:textId="77777777" w:rsidTr="00D262DC">
        <w:trPr>
          <w:trHeight w:val="300"/>
        </w:trPr>
        <w:tc>
          <w:tcPr>
            <w:tcW w:w="1101" w:type="dxa"/>
            <w:shd w:val="clear" w:color="auto" w:fill="auto"/>
            <w:noWrap/>
            <w:vAlign w:val="center"/>
            <w:hideMark/>
          </w:tcPr>
          <w:p w14:paraId="7E63A96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59113</w:t>
            </w:r>
          </w:p>
        </w:tc>
        <w:tc>
          <w:tcPr>
            <w:tcW w:w="7512" w:type="dxa"/>
            <w:shd w:val="clear" w:color="auto" w:fill="auto"/>
            <w:noWrap/>
            <w:vAlign w:val="center"/>
            <w:hideMark/>
          </w:tcPr>
          <w:p w14:paraId="5067D4E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Television programme production activities</w:t>
            </w:r>
          </w:p>
        </w:tc>
        <w:tc>
          <w:tcPr>
            <w:tcW w:w="993" w:type="dxa"/>
            <w:shd w:val="clear" w:color="auto" w:fill="auto"/>
            <w:noWrap/>
            <w:vAlign w:val="center"/>
            <w:hideMark/>
          </w:tcPr>
          <w:p w14:paraId="3A5E6F3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ED74EFF" w14:textId="77777777" w:rsidTr="00D262DC">
        <w:trPr>
          <w:trHeight w:val="300"/>
        </w:trPr>
        <w:tc>
          <w:tcPr>
            <w:tcW w:w="1101" w:type="dxa"/>
            <w:shd w:val="clear" w:color="auto" w:fill="auto"/>
            <w:noWrap/>
            <w:vAlign w:val="center"/>
            <w:hideMark/>
          </w:tcPr>
          <w:p w14:paraId="6F1E7A0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59120</w:t>
            </w:r>
          </w:p>
        </w:tc>
        <w:tc>
          <w:tcPr>
            <w:tcW w:w="7512" w:type="dxa"/>
            <w:shd w:val="clear" w:color="auto" w:fill="auto"/>
            <w:noWrap/>
            <w:vAlign w:val="center"/>
            <w:hideMark/>
          </w:tcPr>
          <w:p w14:paraId="7F3D5FAC"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Motion picture, video and television programme post-production activities</w:t>
            </w:r>
          </w:p>
        </w:tc>
        <w:tc>
          <w:tcPr>
            <w:tcW w:w="993" w:type="dxa"/>
            <w:shd w:val="clear" w:color="auto" w:fill="auto"/>
            <w:noWrap/>
            <w:vAlign w:val="center"/>
            <w:hideMark/>
          </w:tcPr>
          <w:p w14:paraId="708C3B99"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9CD721B" w14:textId="77777777" w:rsidTr="00D262DC">
        <w:trPr>
          <w:trHeight w:val="300"/>
        </w:trPr>
        <w:tc>
          <w:tcPr>
            <w:tcW w:w="1101" w:type="dxa"/>
            <w:shd w:val="clear" w:color="auto" w:fill="auto"/>
            <w:noWrap/>
            <w:vAlign w:val="center"/>
            <w:hideMark/>
          </w:tcPr>
          <w:p w14:paraId="34FE749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59131</w:t>
            </w:r>
          </w:p>
        </w:tc>
        <w:tc>
          <w:tcPr>
            <w:tcW w:w="7512" w:type="dxa"/>
            <w:shd w:val="clear" w:color="auto" w:fill="auto"/>
            <w:noWrap/>
            <w:vAlign w:val="center"/>
            <w:hideMark/>
          </w:tcPr>
          <w:p w14:paraId="20CA8FA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Motion picture distribution activities</w:t>
            </w:r>
          </w:p>
        </w:tc>
        <w:tc>
          <w:tcPr>
            <w:tcW w:w="993" w:type="dxa"/>
            <w:shd w:val="clear" w:color="auto" w:fill="auto"/>
            <w:noWrap/>
            <w:vAlign w:val="center"/>
            <w:hideMark/>
          </w:tcPr>
          <w:p w14:paraId="15F6D81C"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1AF138F6" w14:textId="77777777" w:rsidTr="00D262DC">
        <w:trPr>
          <w:trHeight w:val="300"/>
        </w:trPr>
        <w:tc>
          <w:tcPr>
            <w:tcW w:w="1101" w:type="dxa"/>
            <w:shd w:val="clear" w:color="auto" w:fill="auto"/>
            <w:noWrap/>
            <w:vAlign w:val="center"/>
            <w:hideMark/>
          </w:tcPr>
          <w:p w14:paraId="199F37AC"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59132</w:t>
            </w:r>
          </w:p>
        </w:tc>
        <w:tc>
          <w:tcPr>
            <w:tcW w:w="7512" w:type="dxa"/>
            <w:shd w:val="clear" w:color="auto" w:fill="auto"/>
            <w:noWrap/>
            <w:vAlign w:val="center"/>
            <w:hideMark/>
          </w:tcPr>
          <w:p w14:paraId="0C278E5D"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Video distribution activities</w:t>
            </w:r>
          </w:p>
        </w:tc>
        <w:tc>
          <w:tcPr>
            <w:tcW w:w="993" w:type="dxa"/>
            <w:shd w:val="clear" w:color="auto" w:fill="auto"/>
            <w:noWrap/>
            <w:vAlign w:val="center"/>
            <w:hideMark/>
          </w:tcPr>
          <w:p w14:paraId="648D4732"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2FDC8A2" w14:textId="77777777" w:rsidTr="00D262DC">
        <w:trPr>
          <w:trHeight w:val="300"/>
        </w:trPr>
        <w:tc>
          <w:tcPr>
            <w:tcW w:w="1101" w:type="dxa"/>
            <w:shd w:val="clear" w:color="auto" w:fill="auto"/>
            <w:noWrap/>
            <w:vAlign w:val="center"/>
            <w:hideMark/>
          </w:tcPr>
          <w:p w14:paraId="3322E92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59133</w:t>
            </w:r>
          </w:p>
        </w:tc>
        <w:tc>
          <w:tcPr>
            <w:tcW w:w="7512" w:type="dxa"/>
            <w:shd w:val="clear" w:color="auto" w:fill="auto"/>
            <w:noWrap/>
            <w:vAlign w:val="center"/>
            <w:hideMark/>
          </w:tcPr>
          <w:p w14:paraId="5D56F79F"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Television programme distribution activities</w:t>
            </w:r>
          </w:p>
        </w:tc>
        <w:tc>
          <w:tcPr>
            <w:tcW w:w="993" w:type="dxa"/>
            <w:shd w:val="clear" w:color="auto" w:fill="auto"/>
            <w:noWrap/>
            <w:vAlign w:val="center"/>
            <w:hideMark/>
          </w:tcPr>
          <w:p w14:paraId="6C667E0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1E6A2D2" w14:textId="77777777" w:rsidTr="00D262DC">
        <w:trPr>
          <w:trHeight w:val="300"/>
        </w:trPr>
        <w:tc>
          <w:tcPr>
            <w:tcW w:w="1101" w:type="dxa"/>
            <w:shd w:val="clear" w:color="auto" w:fill="auto"/>
            <w:noWrap/>
            <w:vAlign w:val="center"/>
            <w:hideMark/>
          </w:tcPr>
          <w:p w14:paraId="4D06AC84"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59140</w:t>
            </w:r>
          </w:p>
        </w:tc>
        <w:tc>
          <w:tcPr>
            <w:tcW w:w="7512" w:type="dxa"/>
            <w:shd w:val="clear" w:color="auto" w:fill="auto"/>
            <w:noWrap/>
            <w:vAlign w:val="center"/>
            <w:hideMark/>
          </w:tcPr>
          <w:p w14:paraId="1415309A"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Motion picture projection activities</w:t>
            </w:r>
          </w:p>
        </w:tc>
        <w:tc>
          <w:tcPr>
            <w:tcW w:w="993" w:type="dxa"/>
            <w:shd w:val="clear" w:color="auto" w:fill="auto"/>
            <w:noWrap/>
            <w:vAlign w:val="center"/>
            <w:hideMark/>
          </w:tcPr>
          <w:p w14:paraId="0BF645F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9596429" w14:textId="77777777" w:rsidTr="00D262DC">
        <w:trPr>
          <w:trHeight w:val="300"/>
        </w:trPr>
        <w:tc>
          <w:tcPr>
            <w:tcW w:w="1101" w:type="dxa"/>
            <w:shd w:val="clear" w:color="auto" w:fill="auto"/>
            <w:noWrap/>
            <w:vAlign w:val="center"/>
            <w:hideMark/>
          </w:tcPr>
          <w:p w14:paraId="08010B77"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59200</w:t>
            </w:r>
          </w:p>
        </w:tc>
        <w:tc>
          <w:tcPr>
            <w:tcW w:w="7512" w:type="dxa"/>
            <w:shd w:val="clear" w:color="auto" w:fill="auto"/>
            <w:noWrap/>
            <w:vAlign w:val="center"/>
            <w:hideMark/>
          </w:tcPr>
          <w:p w14:paraId="2B21780D"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Sound recording and music publishing activities</w:t>
            </w:r>
          </w:p>
        </w:tc>
        <w:tc>
          <w:tcPr>
            <w:tcW w:w="993" w:type="dxa"/>
            <w:shd w:val="clear" w:color="auto" w:fill="auto"/>
            <w:noWrap/>
            <w:vAlign w:val="center"/>
            <w:hideMark/>
          </w:tcPr>
          <w:p w14:paraId="3E074E73"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A37DF60" w14:textId="77777777" w:rsidTr="00D262DC">
        <w:trPr>
          <w:trHeight w:val="300"/>
        </w:trPr>
        <w:tc>
          <w:tcPr>
            <w:tcW w:w="1101" w:type="dxa"/>
            <w:shd w:val="clear" w:color="auto" w:fill="auto"/>
            <w:noWrap/>
            <w:vAlign w:val="center"/>
            <w:hideMark/>
          </w:tcPr>
          <w:p w14:paraId="35645AE7"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60100</w:t>
            </w:r>
          </w:p>
        </w:tc>
        <w:tc>
          <w:tcPr>
            <w:tcW w:w="7512" w:type="dxa"/>
            <w:shd w:val="clear" w:color="auto" w:fill="auto"/>
            <w:noWrap/>
            <w:vAlign w:val="center"/>
            <w:hideMark/>
          </w:tcPr>
          <w:p w14:paraId="660019DF"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Radio broadcasting</w:t>
            </w:r>
          </w:p>
        </w:tc>
        <w:tc>
          <w:tcPr>
            <w:tcW w:w="993" w:type="dxa"/>
            <w:shd w:val="clear" w:color="auto" w:fill="auto"/>
            <w:noWrap/>
            <w:vAlign w:val="center"/>
            <w:hideMark/>
          </w:tcPr>
          <w:p w14:paraId="2CED6491"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05F9B73" w14:textId="77777777" w:rsidTr="00D262DC">
        <w:trPr>
          <w:trHeight w:val="300"/>
        </w:trPr>
        <w:tc>
          <w:tcPr>
            <w:tcW w:w="1101" w:type="dxa"/>
            <w:shd w:val="clear" w:color="auto" w:fill="auto"/>
            <w:noWrap/>
            <w:vAlign w:val="center"/>
            <w:hideMark/>
          </w:tcPr>
          <w:p w14:paraId="3C813167"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60200</w:t>
            </w:r>
          </w:p>
        </w:tc>
        <w:tc>
          <w:tcPr>
            <w:tcW w:w="7512" w:type="dxa"/>
            <w:shd w:val="clear" w:color="auto" w:fill="auto"/>
            <w:noWrap/>
            <w:vAlign w:val="center"/>
            <w:hideMark/>
          </w:tcPr>
          <w:p w14:paraId="435119DB"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Television programming and broadcasting activities</w:t>
            </w:r>
          </w:p>
        </w:tc>
        <w:tc>
          <w:tcPr>
            <w:tcW w:w="993" w:type="dxa"/>
            <w:shd w:val="clear" w:color="auto" w:fill="auto"/>
            <w:noWrap/>
            <w:vAlign w:val="center"/>
            <w:hideMark/>
          </w:tcPr>
          <w:p w14:paraId="1959AD72"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5D01DC1A" w14:textId="77777777" w:rsidTr="00D262DC">
        <w:trPr>
          <w:trHeight w:val="300"/>
        </w:trPr>
        <w:tc>
          <w:tcPr>
            <w:tcW w:w="1101" w:type="dxa"/>
            <w:shd w:val="clear" w:color="auto" w:fill="auto"/>
            <w:noWrap/>
            <w:vAlign w:val="center"/>
            <w:hideMark/>
          </w:tcPr>
          <w:p w14:paraId="0EDB44A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62011</w:t>
            </w:r>
          </w:p>
        </w:tc>
        <w:tc>
          <w:tcPr>
            <w:tcW w:w="7512" w:type="dxa"/>
            <w:shd w:val="clear" w:color="auto" w:fill="auto"/>
            <w:noWrap/>
            <w:vAlign w:val="center"/>
            <w:hideMark/>
          </w:tcPr>
          <w:p w14:paraId="0CE46A4C"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Ready-made interactive leisure and entertainment software development</w:t>
            </w:r>
          </w:p>
        </w:tc>
        <w:tc>
          <w:tcPr>
            <w:tcW w:w="993" w:type="dxa"/>
            <w:shd w:val="clear" w:color="auto" w:fill="auto"/>
            <w:noWrap/>
            <w:vAlign w:val="center"/>
            <w:hideMark/>
          </w:tcPr>
          <w:p w14:paraId="31CE939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FD6C25A" w14:textId="77777777" w:rsidTr="00D262DC">
        <w:trPr>
          <w:trHeight w:val="300"/>
        </w:trPr>
        <w:tc>
          <w:tcPr>
            <w:tcW w:w="1101" w:type="dxa"/>
            <w:shd w:val="clear" w:color="auto" w:fill="auto"/>
            <w:noWrap/>
            <w:vAlign w:val="center"/>
            <w:hideMark/>
          </w:tcPr>
          <w:p w14:paraId="2B65CB21"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62012</w:t>
            </w:r>
          </w:p>
        </w:tc>
        <w:tc>
          <w:tcPr>
            <w:tcW w:w="7512" w:type="dxa"/>
            <w:shd w:val="clear" w:color="auto" w:fill="auto"/>
            <w:noWrap/>
            <w:vAlign w:val="center"/>
            <w:hideMark/>
          </w:tcPr>
          <w:p w14:paraId="7B2E8A39"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Business and domestic software development</w:t>
            </w:r>
          </w:p>
        </w:tc>
        <w:tc>
          <w:tcPr>
            <w:tcW w:w="993" w:type="dxa"/>
            <w:shd w:val="clear" w:color="auto" w:fill="auto"/>
            <w:noWrap/>
            <w:vAlign w:val="center"/>
            <w:hideMark/>
          </w:tcPr>
          <w:p w14:paraId="4379B9B9"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8EA8473" w14:textId="77777777" w:rsidTr="00D262DC">
        <w:trPr>
          <w:trHeight w:val="300"/>
        </w:trPr>
        <w:tc>
          <w:tcPr>
            <w:tcW w:w="1101" w:type="dxa"/>
            <w:shd w:val="clear" w:color="auto" w:fill="auto"/>
            <w:noWrap/>
            <w:vAlign w:val="center"/>
            <w:hideMark/>
          </w:tcPr>
          <w:p w14:paraId="5CEACFDC"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62020</w:t>
            </w:r>
          </w:p>
        </w:tc>
        <w:tc>
          <w:tcPr>
            <w:tcW w:w="7512" w:type="dxa"/>
            <w:shd w:val="clear" w:color="auto" w:fill="auto"/>
            <w:noWrap/>
            <w:vAlign w:val="center"/>
            <w:hideMark/>
          </w:tcPr>
          <w:p w14:paraId="37350A9B"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Computer consultancy activities</w:t>
            </w:r>
          </w:p>
        </w:tc>
        <w:tc>
          <w:tcPr>
            <w:tcW w:w="993" w:type="dxa"/>
            <w:shd w:val="clear" w:color="auto" w:fill="auto"/>
            <w:noWrap/>
            <w:vAlign w:val="center"/>
            <w:hideMark/>
          </w:tcPr>
          <w:p w14:paraId="08E4B46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1807B57" w14:textId="77777777" w:rsidTr="00D262DC">
        <w:trPr>
          <w:trHeight w:val="300"/>
        </w:trPr>
        <w:tc>
          <w:tcPr>
            <w:tcW w:w="1101" w:type="dxa"/>
            <w:shd w:val="clear" w:color="auto" w:fill="auto"/>
            <w:noWrap/>
            <w:vAlign w:val="center"/>
            <w:hideMark/>
          </w:tcPr>
          <w:p w14:paraId="67E81B39"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lastRenderedPageBreak/>
              <w:t>70210</w:t>
            </w:r>
          </w:p>
        </w:tc>
        <w:tc>
          <w:tcPr>
            <w:tcW w:w="7512" w:type="dxa"/>
            <w:shd w:val="clear" w:color="auto" w:fill="auto"/>
            <w:noWrap/>
            <w:vAlign w:val="center"/>
            <w:hideMark/>
          </w:tcPr>
          <w:p w14:paraId="4E6945A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Public relations and communications activities</w:t>
            </w:r>
          </w:p>
        </w:tc>
        <w:tc>
          <w:tcPr>
            <w:tcW w:w="993" w:type="dxa"/>
            <w:shd w:val="clear" w:color="auto" w:fill="auto"/>
            <w:noWrap/>
            <w:vAlign w:val="center"/>
            <w:hideMark/>
          </w:tcPr>
          <w:p w14:paraId="37A2F43C"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10C4283" w14:textId="77777777" w:rsidTr="00D262DC">
        <w:trPr>
          <w:trHeight w:val="300"/>
        </w:trPr>
        <w:tc>
          <w:tcPr>
            <w:tcW w:w="1101" w:type="dxa"/>
            <w:shd w:val="clear" w:color="auto" w:fill="auto"/>
            <w:noWrap/>
            <w:vAlign w:val="center"/>
            <w:hideMark/>
          </w:tcPr>
          <w:p w14:paraId="39086E68"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71111</w:t>
            </w:r>
          </w:p>
        </w:tc>
        <w:tc>
          <w:tcPr>
            <w:tcW w:w="7512" w:type="dxa"/>
            <w:shd w:val="clear" w:color="auto" w:fill="auto"/>
            <w:noWrap/>
            <w:vAlign w:val="center"/>
            <w:hideMark/>
          </w:tcPr>
          <w:p w14:paraId="13804F4C"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Architectural activities</w:t>
            </w:r>
          </w:p>
        </w:tc>
        <w:tc>
          <w:tcPr>
            <w:tcW w:w="993" w:type="dxa"/>
            <w:shd w:val="clear" w:color="auto" w:fill="auto"/>
            <w:noWrap/>
            <w:vAlign w:val="center"/>
            <w:hideMark/>
          </w:tcPr>
          <w:p w14:paraId="3C6EC870"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66373FA4" w14:textId="77777777" w:rsidTr="00D262DC">
        <w:trPr>
          <w:trHeight w:val="300"/>
        </w:trPr>
        <w:tc>
          <w:tcPr>
            <w:tcW w:w="1101" w:type="dxa"/>
            <w:shd w:val="clear" w:color="auto" w:fill="auto"/>
            <w:noWrap/>
            <w:vAlign w:val="center"/>
            <w:hideMark/>
          </w:tcPr>
          <w:p w14:paraId="4E605C8D"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71112</w:t>
            </w:r>
          </w:p>
        </w:tc>
        <w:tc>
          <w:tcPr>
            <w:tcW w:w="7512" w:type="dxa"/>
            <w:shd w:val="clear" w:color="auto" w:fill="auto"/>
            <w:noWrap/>
            <w:vAlign w:val="center"/>
            <w:hideMark/>
          </w:tcPr>
          <w:p w14:paraId="61CB7992"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Urban planning and landscape architectural activities</w:t>
            </w:r>
          </w:p>
        </w:tc>
        <w:tc>
          <w:tcPr>
            <w:tcW w:w="993" w:type="dxa"/>
            <w:shd w:val="clear" w:color="auto" w:fill="auto"/>
            <w:noWrap/>
            <w:vAlign w:val="center"/>
            <w:hideMark/>
          </w:tcPr>
          <w:p w14:paraId="5603AE01"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DE35B84" w14:textId="77777777" w:rsidTr="00D262DC">
        <w:trPr>
          <w:trHeight w:val="300"/>
        </w:trPr>
        <w:tc>
          <w:tcPr>
            <w:tcW w:w="1101" w:type="dxa"/>
            <w:shd w:val="clear" w:color="auto" w:fill="auto"/>
            <w:noWrap/>
            <w:vAlign w:val="center"/>
            <w:hideMark/>
          </w:tcPr>
          <w:p w14:paraId="70916A44"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73110</w:t>
            </w:r>
          </w:p>
        </w:tc>
        <w:tc>
          <w:tcPr>
            <w:tcW w:w="7512" w:type="dxa"/>
            <w:shd w:val="clear" w:color="auto" w:fill="auto"/>
            <w:noWrap/>
            <w:vAlign w:val="center"/>
            <w:hideMark/>
          </w:tcPr>
          <w:p w14:paraId="15A69DE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Advertising agencies</w:t>
            </w:r>
          </w:p>
        </w:tc>
        <w:tc>
          <w:tcPr>
            <w:tcW w:w="993" w:type="dxa"/>
            <w:shd w:val="clear" w:color="auto" w:fill="auto"/>
            <w:noWrap/>
            <w:vAlign w:val="center"/>
            <w:hideMark/>
          </w:tcPr>
          <w:p w14:paraId="3405643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6B31890" w14:textId="77777777" w:rsidTr="00D262DC">
        <w:trPr>
          <w:trHeight w:val="300"/>
        </w:trPr>
        <w:tc>
          <w:tcPr>
            <w:tcW w:w="1101" w:type="dxa"/>
            <w:shd w:val="clear" w:color="auto" w:fill="auto"/>
            <w:noWrap/>
            <w:vAlign w:val="center"/>
            <w:hideMark/>
          </w:tcPr>
          <w:p w14:paraId="263AAB4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73120</w:t>
            </w:r>
          </w:p>
        </w:tc>
        <w:tc>
          <w:tcPr>
            <w:tcW w:w="7512" w:type="dxa"/>
            <w:shd w:val="clear" w:color="auto" w:fill="auto"/>
            <w:noWrap/>
            <w:vAlign w:val="center"/>
            <w:hideMark/>
          </w:tcPr>
          <w:p w14:paraId="33C876FD"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Media representation services</w:t>
            </w:r>
          </w:p>
        </w:tc>
        <w:tc>
          <w:tcPr>
            <w:tcW w:w="993" w:type="dxa"/>
            <w:shd w:val="clear" w:color="auto" w:fill="auto"/>
            <w:noWrap/>
            <w:vAlign w:val="center"/>
            <w:hideMark/>
          </w:tcPr>
          <w:p w14:paraId="2C899F5A"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F4756BF" w14:textId="77777777" w:rsidTr="00D262DC">
        <w:trPr>
          <w:trHeight w:val="300"/>
        </w:trPr>
        <w:tc>
          <w:tcPr>
            <w:tcW w:w="1101" w:type="dxa"/>
            <w:shd w:val="clear" w:color="auto" w:fill="auto"/>
            <w:noWrap/>
            <w:vAlign w:val="center"/>
            <w:hideMark/>
          </w:tcPr>
          <w:p w14:paraId="0FC2102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74100</w:t>
            </w:r>
          </w:p>
        </w:tc>
        <w:tc>
          <w:tcPr>
            <w:tcW w:w="7512" w:type="dxa"/>
            <w:shd w:val="clear" w:color="auto" w:fill="auto"/>
            <w:noWrap/>
            <w:vAlign w:val="center"/>
            <w:hideMark/>
          </w:tcPr>
          <w:p w14:paraId="22F15DDD"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specialised design activities</w:t>
            </w:r>
          </w:p>
        </w:tc>
        <w:tc>
          <w:tcPr>
            <w:tcW w:w="993" w:type="dxa"/>
            <w:shd w:val="clear" w:color="auto" w:fill="auto"/>
            <w:noWrap/>
            <w:vAlign w:val="center"/>
            <w:hideMark/>
          </w:tcPr>
          <w:p w14:paraId="20AAB0A4"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D22C037" w14:textId="77777777" w:rsidTr="00D262DC">
        <w:trPr>
          <w:trHeight w:val="300"/>
        </w:trPr>
        <w:tc>
          <w:tcPr>
            <w:tcW w:w="1101" w:type="dxa"/>
            <w:shd w:val="clear" w:color="auto" w:fill="auto"/>
            <w:noWrap/>
            <w:vAlign w:val="center"/>
            <w:hideMark/>
          </w:tcPr>
          <w:p w14:paraId="7ED7CF0D"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74201</w:t>
            </w:r>
          </w:p>
        </w:tc>
        <w:tc>
          <w:tcPr>
            <w:tcW w:w="7512" w:type="dxa"/>
            <w:shd w:val="clear" w:color="auto" w:fill="auto"/>
            <w:noWrap/>
            <w:vAlign w:val="center"/>
            <w:hideMark/>
          </w:tcPr>
          <w:p w14:paraId="382F149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Portrait photographic activities</w:t>
            </w:r>
          </w:p>
        </w:tc>
        <w:tc>
          <w:tcPr>
            <w:tcW w:w="993" w:type="dxa"/>
            <w:shd w:val="clear" w:color="auto" w:fill="auto"/>
            <w:noWrap/>
            <w:vAlign w:val="center"/>
            <w:hideMark/>
          </w:tcPr>
          <w:p w14:paraId="0136C4A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16DE66F8" w14:textId="77777777" w:rsidTr="00D262DC">
        <w:trPr>
          <w:trHeight w:val="300"/>
        </w:trPr>
        <w:tc>
          <w:tcPr>
            <w:tcW w:w="1101" w:type="dxa"/>
            <w:shd w:val="clear" w:color="auto" w:fill="auto"/>
            <w:noWrap/>
            <w:vAlign w:val="center"/>
            <w:hideMark/>
          </w:tcPr>
          <w:p w14:paraId="2934C26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74202</w:t>
            </w:r>
          </w:p>
        </w:tc>
        <w:tc>
          <w:tcPr>
            <w:tcW w:w="7512" w:type="dxa"/>
            <w:shd w:val="clear" w:color="auto" w:fill="auto"/>
            <w:noWrap/>
            <w:vAlign w:val="center"/>
            <w:hideMark/>
          </w:tcPr>
          <w:p w14:paraId="68125573"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Other specialist photography (not including portrait photography)</w:t>
            </w:r>
          </w:p>
        </w:tc>
        <w:tc>
          <w:tcPr>
            <w:tcW w:w="993" w:type="dxa"/>
            <w:shd w:val="clear" w:color="auto" w:fill="auto"/>
            <w:noWrap/>
            <w:vAlign w:val="center"/>
            <w:hideMark/>
          </w:tcPr>
          <w:p w14:paraId="2264FA2D"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9A3E2C3" w14:textId="77777777" w:rsidTr="00D262DC">
        <w:trPr>
          <w:trHeight w:val="300"/>
        </w:trPr>
        <w:tc>
          <w:tcPr>
            <w:tcW w:w="1101" w:type="dxa"/>
            <w:shd w:val="clear" w:color="auto" w:fill="auto"/>
            <w:noWrap/>
            <w:vAlign w:val="center"/>
            <w:hideMark/>
          </w:tcPr>
          <w:p w14:paraId="6D20EAAB"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74203</w:t>
            </w:r>
          </w:p>
        </w:tc>
        <w:tc>
          <w:tcPr>
            <w:tcW w:w="7512" w:type="dxa"/>
            <w:shd w:val="clear" w:color="auto" w:fill="auto"/>
            <w:noWrap/>
            <w:vAlign w:val="center"/>
            <w:hideMark/>
          </w:tcPr>
          <w:p w14:paraId="22D79344"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Film processing</w:t>
            </w:r>
          </w:p>
        </w:tc>
        <w:tc>
          <w:tcPr>
            <w:tcW w:w="993" w:type="dxa"/>
            <w:shd w:val="clear" w:color="auto" w:fill="auto"/>
            <w:noWrap/>
            <w:vAlign w:val="center"/>
            <w:hideMark/>
          </w:tcPr>
          <w:p w14:paraId="433955F8"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D65F91F" w14:textId="77777777" w:rsidTr="00D262DC">
        <w:trPr>
          <w:trHeight w:val="300"/>
        </w:trPr>
        <w:tc>
          <w:tcPr>
            <w:tcW w:w="1101" w:type="dxa"/>
            <w:shd w:val="clear" w:color="auto" w:fill="auto"/>
            <w:noWrap/>
            <w:vAlign w:val="center"/>
            <w:hideMark/>
          </w:tcPr>
          <w:p w14:paraId="6F3F1A3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74209</w:t>
            </w:r>
          </w:p>
        </w:tc>
        <w:tc>
          <w:tcPr>
            <w:tcW w:w="7512" w:type="dxa"/>
            <w:shd w:val="clear" w:color="auto" w:fill="auto"/>
            <w:noWrap/>
            <w:vAlign w:val="center"/>
            <w:hideMark/>
          </w:tcPr>
          <w:p w14:paraId="62DEC0B2"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Photographic activities not elsewhere classified</w:t>
            </w:r>
          </w:p>
        </w:tc>
        <w:tc>
          <w:tcPr>
            <w:tcW w:w="993" w:type="dxa"/>
            <w:shd w:val="clear" w:color="auto" w:fill="auto"/>
            <w:noWrap/>
            <w:vAlign w:val="center"/>
            <w:hideMark/>
          </w:tcPr>
          <w:p w14:paraId="16935664"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CD85E99" w14:textId="77777777" w:rsidTr="00D262DC">
        <w:trPr>
          <w:trHeight w:val="300"/>
        </w:trPr>
        <w:tc>
          <w:tcPr>
            <w:tcW w:w="1101" w:type="dxa"/>
            <w:shd w:val="clear" w:color="auto" w:fill="auto"/>
            <w:noWrap/>
            <w:vAlign w:val="center"/>
            <w:hideMark/>
          </w:tcPr>
          <w:p w14:paraId="3C12D5FB"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74300</w:t>
            </w:r>
          </w:p>
        </w:tc>
        <w:tc>
          <w:tcPr>
            <w:tcW w:w="7512" w:type="dxa"/>
            <w:shd w:val="clear" w:color="auto" w:fill="auto"/>
            <w:noWrap/>
            <w:vAlign w:val="center"/>
            <w:hideMark/>
          </w:tcPr>
          <w:p w14:paraId="39A7CF1B"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Translation and interpretation activities</w:t>
            </w:r>
          </w:p>
        </w:tc>
        <w:tc>
          <w:tcPr>
            <w:tcW w:w="993" w:type="dxa"/>
            <w:shd w:val="clear" w:color="auto" w:fill="auto"/>
            <w:noWrap/>
            <w:vAlign w:val="center"/>
            <w:hideMark/>
          </w:tcPr>
          <w:p w14:paraId="75C11F3D"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FCD4EDA" w14:textId="77777777" w:rsidTr="00D262DC">
        <w:trPr>
          <w:trHeight w:val="300"/>
        </w:trPr>
        <w:tc>
          <w:tcPr>
            <w:tcW w:w="1101" w:type="dxa"/>
            <w:shd w:val="clear" w:color="auto" w:fill="auto"/>
            <w:noWrap/>
            <w:vAlign w:val="center"/>
            <w:hideMark/>
          </w:tcPr>
          <w:p w14:paraId="63B1DBBC"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85510</w:t>
            </w:r>
          </w:p>
        </w:tc>
        <w:tc>
          <w:tcPr>
            <w:tcW w:w="7512" w:type="dxa"/>
            <w:shd w:val="clear" w:color="auto" w:fill="auto"/>
            <w:noWrap/>
            <w:vAlign w:val="center"/>
            <w:hideMark/>
          </w:tcPr>
          <w:p w14:paraId="3947B86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Sports and recreation education</w:t>
            </w:r>
          </w:p>
        </w:tc>
        <w:tc>
          <w:tcPr>
            <w:tcW w:w="993" w:type="dxa"/>
            <w:shd w:val="clear" w:color="auto" w:fill="auto"/>
            <w:noWrap/>
            <w:vAlign w:val="center"/>
            <w:hideMark/>
          </w:tcPr>
          <w:p w14:paraId="0F7B147A"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DA0124F" w14:textId="77777777" w:rsidTr="00D262DC">
        <w:trPr>
          <w:trHeight w:val="300"/>
        </w:trPr>
        <w:tc>
          <w:tcPr>
            <w:tcW w:w="1101" w:type="dxa"/>
            <w:shd w:val="clear" w:color="auto" w:fill="auto"/>
            <w:noWrap/>
            <w:vAlign w:val="center"/>
            <w:hideMark/>
          </w:tcPr>
          <w:p w14:paraId="02570CCA"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85520</w:t>
            </w:r>
          </w:p>
        </w:tc>
        <w:tc>
          <w:tcPr>
            <w:tcW w:w="7512" w:type="dxa"/>
            <w:shd w:val="clear" w:color="auto" w:fill="auto"/>
            <w:noWrap/>
            <w:vAlign w:val="center"/>
            <w:hideMark/>
          </w:tcPr>
          <w:p w14:paraId="60926424"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Cultural education</w:t>
            </w:r>
          </w:p>
        </w:tc>
        <w:tc>
          <w:tcPr>
            <w:tcW w:w="993" w:type="dxa"/>
            <w:shd w:val="clear" w:color="auto" w:fill="auto"/>
            <w:noWrap/>
            <w:vAlign w:val="center"/>
            <w:hideMark/>
          </w:tcPr>
          <w:p w14:paraId="6B18B33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6CCD3743" w14:textId="77777777" w:rsidTr="00D262DC">
        <w:trPr>
          <w:trHeight w:val="300"/>
        </w:trPr>
        <w:tc>
          <w:tcPr>
            <w:tcW w:w="1101" w:type="dxa"/>
            <w:shd w:val="clear" w:color="auto" w:fill="auto"/>
            <w:noWrap/>
            <w:vAlign w:val="center"/>
            <w:hideMark/>
          </w:tcPr>
          <w:p w14:paraId="70EB258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90010</w:t>
            </w:r>
          </w:p>
        </w:tc>
        <w:tc>
          <w:tcPr>
            <w:tcW w:w="7512" w:type="dxa"/>
            <w:shd w:val="clear" w:color="auto" w:fill="auto"/>
            <w:noWrap/>
            <w:vAlign w:val="center"/>
            <w:hideMark/>
          </w:tcPr>
          <w:p w14:paraId="080CB60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Performing arts</w:t>
            </w:r>
          </w:p>
        </w:tc>
        <w:tc>
          <w:tcPr>
            <w:tcW w:w="993" w:type="dxa"/>
            <w:shd w:val="clear" w:color="auto" w:fill="auto"/>
            <w:noWrap/>
            <w:vAlign w:val="center"/>
            <w:hideMark/>
          </w:tcPr>
          <w:p w14:paraId="6AAF93FD"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93A5DF5" w14:textId="77777777" w:rsidTr="00D262DC">
        <w:trPr>
          <w:trHeight w:val="300"/>
        </w:trPr>
        <w:tc>
          <w:tcPr>
            <w:tcW w:w="1101" w:type="dxa"/>
            <w:shd w:val="clear" w:color="auto" w:fill="auto"/>
            <w:noWrap/>
            <w:vAlign w:val="center"/>
            <w:hideMark/>
          </w:tcPr>
          <w:p w14:paraId="17CDE3D4"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90020</w:t>
            </w:r>
          </w:p>
        </w:tc>
        <w:tc>
          <w:tcPr>
            <w:tcW w:w="7512" w:type="dxa"/>
            <w:shd w:val="clear" w:color="auto" w:fill="auto"/>
            <w:noWrap/>
            <w:vAlign w:val="center"/>
            <w:hideMark/>
          </w:tcPr>
          <w:p w14:paraId="50A9F17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Support activities to performing arts</w:t>
            </w:r>
          </w:p>
        </w:tc>
        <w:tc>
          <w:tcPr>
            <w:tcW w:w="993" w:type="dxa"/>
            <w:shd w:val="clear" w:color="auto" w:fill="auto"/>
            <w:noWrap/>
            <w:vAlign w:val="center"/>
            <w:hideMark/>
          </w:tcPr>
          <w:p w14:paraId="22A0431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50202359" w14:textId="77777777" w:rsidTr="00D262DC">
        <w:trPr>
          <w:trHeight w:val="300"/>
        </w:trPr>
        <w:tc>
          <w:tcPr>
            <w:tcW w:w="1101" w:type="dxa"/>
            <w:shd w:val="clear" w:color="auto" w:fill="auto"/>
            <w:noWrap/>
            <w:vAlign w:val="center"/>
            <w:hideMark/>
          </w:tcPr>
          <w:p w14:paraId="4F337E5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90030</w:t>
            </w:r>
          </w:p>
        </w:tc>
        <w:tc>
          <w:tcPr>
            <w:tcW w:w="7512" w:type="dxa"/>
            <w:shd w:val="clear" w:color="auto" w:fill="auto"/>
            <w:noWrap/>
            <w:vAlign w:val="center"/>
            <w:hideMark/>
          </w:tcPr>
          <w:p w14:paraId="0582665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Artistic creation</w:t>
            </w:r>
          </w:p>
        </w:tc>
        <w:tc>
          <w:tcPr>
            <w:tcW w:w="993" w:type="dxa"/>
            <w:shd w:val="clear" w:color="auto" w:fill="auto"/>
            <w:noWrap/>
            <w:vAlign w:val="center"/>
            <w:hideMark/>
          </w:tcPr>
          <w:p w14:paraId="769BBFF5"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A27FA2F" w14:textId="77777777" w:rsidTr="00D262DC">
        <w:trPr>
          <w:trHeight w:val="300"/>
        </w:trPr>
        <w:tc>
          <w:tcPr>
            <w:tcW w:w="1101" w:type="dxa"/>
            <w:shd w:val="clear" w:color="auto" w:fill="auto"/>
            <w:noWrap/>
            <w:vAlign w:val="center"/>
            <w:hideMark/>
          </w:tcPr>
          <w:p w14:paraId="7BF8E538"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90040</w:t>
            </w:r>
          </w:p>
        </w:tc>
        <w:tc>
          <w:tcPr>
            <w:tcW w:w="7512" w:type="dxa"/>
            <w:shd w:val="clear" w:color="auto" w:fill="auto"/>
            <w:noWrap/>
            <w:vAlign w:val="center"/>
            <w:hideMark/>
          </w:tcPr>
          <w:p w14:paraId="167E980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Operation of arts facilities</w:t>
            </w:r>
          </w:p>
        </w:tc>
        <w:tc>
          <w:tcPr>
            <w:tcW w:w="993" w:type="dxa"/>
            <w:shd w:val="clear" w:color="auto" w:fill="auto"/>
            <w:noWrap/>
            <w:vAlign w:val="center"/>
            <w:hideMark/>
          </w:tcPr>
          <w:p w14:paraId="119AC944"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56091E8" w14:textId="77777777" w:rsidTr="00D262DC">
        <w:trPr>
          <w:trHeight w:val="300"/>
        </w:trPr>
        <w:tc>
          <w:tcPr>
            <w:tcW w:w="1101" w:type="dxa"/>
            <w:shd w:val="clear" w:color="auto" w:fill="auto"/>
            <w:noWrap/>
            <w:vAlign w:val="center"/>
            <w:hideMark/>
          </w:tcPr>
          <w:p w14:paraId="6AB5DE06"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91011</w:t>
            </w:r>
          </w:p>
        </w:tc>
        <w:tc>
          <w:tcPr>
            <w:tcW w:w="7512" w:type="dxa"/>
            <w:shd w:val="clear" w:color="auto" w:fill="auto"/>
            <w:noWrap/>
            <w:vAlign w:val="center"/>
            <w:hideMark/>
          </w:tcPr>
          <w:p w14:paraId="5E137D3F"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Library activities</w:t>
            </w:r>
          </w:p>
        </w:tc>
        <w:tc>
          <w:tcPr>
            <w:tcW w:w="993" w:type="dxa"/>
            <w:shd w:val="clear" w:color="auto" w:fill="auto"/>
            <w:noWrap/>
            <w:vAlign w:val="center"/>
            <w:hideMark/>
          </w:tcPr>
          <w:p w14:paraId="2CB8B76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655BE9E" w14:textId="77777777" w:rsidTr="00D262DC">
        <w:trPr>
          <w:trHeight w:val="300"/>
        </w:trPr>
        <w:tc>
          <w:tcPr>
            <w:tcW w:w="1101" w:type="dxa"/>
            <w:shd w:val="clear" w:color="auto" w:fill="auto"/>
            <w:noWrap/>
            <w:vAlign w:val="center"/>
            <w:hideMark/>
          </w:tcPr>
          <w:p w14:paraId="24CA408F"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91012</w:t>
            </w:r>
          </w:p>
        </w:tc>
        <w:tc>
          <w:tcPr>
            <w:tcW w:w="7512" w:type="dxa"/>
            <w:shd w:val="clear" w:color="auto" w:fill="auto"/>
            <w:noWrap/>
            <w:vAlign w:val="center"/>
            <w:hideMark/>
          </w:tcPr>
          <w:p w14:paraId="7E1B682A"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Archives activities</w:t>
            </w:r>
          </w:p>
        </w:tc>
        <w:tc>
          <w:tcPr>
            <w:tcW w:w="993" w:type="dxa"/>
            <w:shd w:val="clear" w:color="auto" w:fill="auto"/>
            <w:noWrap/>
            <w:vAlign w:val="center"/>
            <w:hideMark/>
          </w:tcPr>
          <w:p w14:paraId="7C7818A0"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DE0F9FE" w14:textId="77777777" w:rsidTr="00D262DC">
        <w:trPr>
          <w:trHeight w:val="300"/>
        </w:trPr>
        <w:tc>
          <w:tcPr>
            <w:tcW w:w="1101" w:type="dxa"/>
            <w:shd w:val="clear" w:color="auto" w:fill="auto"/>
            <w:noWrap/>
            <w:vAlign w:val="center"/>
            <w:hideMark/>
          </w:tcPr>
          <w:p w14:paraId="427E7D0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91020</w:t>
            </w:r>
          </w:p>
        </w:tc>
        <w:tc>
          <w:tcPr>
            <w:tcW w:w="7512" w:type="dxa"/>
            <w:shd w:val="clear" w:color="auto" w:fill="auto"/>
            <w:noWrap/>
            <w:vAlign w:val="center"/>
            <w:hideMark/>
          </w:tcPr>
          <w:p w14:paraId="09904AC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Museums activities</w:t>
            </w:r>
          </w:p>
        </w:tc>
        <w:tc>
          <w:tcPr>
            <w:tcW w:w="993" w:type="dxa"/>
            <w:shd w:val="clear" w:color="auto" w:fill="auto"/>
            <w:noWrap/>
            <w:vAlign w:val="center"/>
            <w:hideMark/>
          </w:tcPr>
          <w:p w14:paraId="7F912262"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587418E9" w14:textId="77777777" w:rsidTr="00D262DC">
        <w:trPr>
          <w:trHeight w:val="300"/>
        </w:trPr>
        <w:tc>
          <w:tcPr>
            <w:tcW w:w="1101" w:type="dxa"/>
            <w:shd w:val="clear" w:color="auto" w:fill="auto"/>
            <w:noWrap/>
            <w:vAlign w:val="center"/>
            <w:hideMark/>
          </w:tcPr>
          <w:p w14:paraId="3AE370CC"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93110</w:t>
            </w:r>
          </w:p>
        </w:tc>
        <w:tc>
          <w:tcPr>
            <w:tcW w:w="7512" w:type="dxa"/>
            <w:shd w:val="clear" w:color="auto" w:fill="auto"/>
            <w:noWrap/>
            <w:vAlign w:val="center"/>
            <w:hideMark/>
          </w:tcPr>
          <w:p w14:paraId="426B0EC3"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Operation of sports facilities</w:t>
            </w:r>
          </w:p>
        </w:tc>
        <w:tc>
          <w:tcPr>
            <w:tcW w:w="993" w:type="dxa"/>
            <w:shd w:val="clear" w:color="auto" w:fill="auto"/>
            <w:noWrap/>
            <w:vAlign w:val="center"/>
            <w:hideMark/>
          </w:tcPr>
          <w:p w14:paraId="202221B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9FBF7AA" w14:textId="77777777" w:rsidTr="00D262DC">
        <w:trPr>
          <w:trHeight w:val="300"/>
        </w:trPr>
        <w:tc>
          <w:tcPr>
            <w:tcW w:w="1101" w:type="dxa"/>
            <w:shd w:val="clear" w:color="auto" w:fill="auto"/>
            <w:noWrap/>
            <w:vAlign w:val="center"/>
            <w:hideMark/>
          </w:tcPr>
          <w:p w14:paraId="78EC7BA8"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93120</w:t>
            </w:r>
          </w:p>
        </w:tc>
        <w:tc>
          <w:tcPr>
            <w:tcW w:w="7512" w:type="dxa"/>
            <w:shd w:val="clear" w:color="auto" w:fill="auto"/>
            <w:noWrap/>
            <w:vAlign w:val="center"/>
            <w:hideMark/>
          </w:tcPr>
          <w:p w14:paraId="2350D42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Activities of sport clubs</w:t>
            </w:r>
          </w:p>
        </w:tc>
        <w:tc>
          <w:tcPr>
            <w:tcW w:w="993" w:type="dxa"/>
            <w:shd w:val="clear" w:color="auto" w:fill="auto"/>
            <w:noWrap/>
            <w:vAlign w:val="center"/>
            <w:hideMark/>
          </w:tcPr>
          <w:p w14:paraId="6EE74982"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6F131CCF" w14:textId="77777777" w:rsidTr="00D262DC">
        <w:trPr>
          <w:trHeight w:val="300"/>
        </w:trPr>
        <w:tc>
          <w:tcPr>
            <w:tcW w:w="1101" w:type="dxa"/>
            <w:shd w:val="clear" w:color="auto" w:fill="auto"/>
            <w:noWrap/>
            <w:vAlign w:val="center"/>
            <w:hideMark/>
          </w:tcPr>
          <w:p w14:paraId="1258FCEB"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93130</w:t>
            </w:r>
          </w:p>
        </w:tc>
        <w:tc>
          <w:tcPr>
            <w:tcW w:w="7512" w:type="dxa"/>
            <w:shd w:val="clear" w:color="auto" w:fill="auto"/>
            <w:noWrap/>
            <w:vAlign w:val="center"/>
            <w:hideMark/>
          </w:tcPr>
          <w:p w14:paraId="7AEB73C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Fitness facilities</w:t>
            </w:r>
          </w:p>
        </w:tc>
        <w:tc>
          <w:tcPr>
            <w:tcW w:w="993" w:type="dxa"/>
            <w:shd w:val="clear" w:color="auto" w:fill="auto"/>
            <w:noWrap/>
            <w:vAlign w:val="center"/>
            <w:hideMark/>
          </w:tcPr>
          <w:p w14:paraId="35C559CF"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86D0478" w14:textId="77777777" w:rsidTr="00D262DC">
        <w:trPr>
          <w:trHeight w:val="300"/>
        </w:trPr>
        <w:tc>
          <w:tcPr>
            <w:tcW w:w="1101" w:type="dxa"/>
            <w:shd w:val="clear" w:color="auto" w:fill="auto"/>
            <w:noWrap/>
            <w:vAlign w:val="center"/>
            <w:hideMark/>
          </w:tcPr>
          <w:p w14:paraId="4B451D6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93191</w:t>
            </w:r>
          </w:p>
        </w:tc>
        <w:tc>
          <w:tcPr>
            <w:tcW w:w="7512" w:type="dxa"/>
            <w:shd w:val="clear" w:color="auto" w:fill="auto"/>
            <w:noWrap/>
            <w:vAlign w:val="center"/>
            <w:hideMark/>
          </w:tcPr>
          <w:p w14:paraId="3585909F"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Activities of racehorse owners</w:t>
            </w:r>
          </w:p>
        </w:tc>
        <w:tc>
          <w:tcPr>
            <w:tcW w:w="993" w:type="dxa"/>
            <w:shd w:val="clear" w:color="auto" w:fill="auto"/>
            <w:noWrap/>
            <w:vAlign w:val="center"/>
            <w:hideMark/>
          </w:tcPr>
          <w:p w14:paraId="6009F0F0"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A02A963" w14:textId="77777777" w:rsidTr="00D262DC">
        <w:trPr>
          <w:trHeight w:val="300"/>
        </w:trPr>
        <w:tc>
          <w:tcPr>
            <w:tcW w:w="1101" w:type="dxa"/>
            <w:shd w:val="clear" w:color="auto" w:fill="auto"/>
            <w:noWrap/>
            <w:vAlign w:val="center"/>
            <w:hideMark/>
          </w:tcPr>
          <w:p w14:paraId="0951754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93199</w:t>
            </w:r>
          </w:p>
        </w:tc>
        <w:tc>
          <w:tcPr>
            <w:tcW w:w="7512" w:type="dxa"/>
            <w:shd w:val="clear" w:color="auto" w:fill="auto"/>
            <w:noWrap/>
            <w:vAlign w:val="center"/>
            <w:hideMark/>
          </w:tcPr>
          <w:p w14:paraId="150C8D58"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Other sports activities</w:t>
            </w:r>
          </w:p>
        </w:tc>
        <w:tc>
          <w:tcPr>
            <w:tcW w:w="993" w:type="dxa"/>
            <w:shd w:val="clear" w:color="auto" w:fill="auto"/>
            <w:noWrap/>
            <w:vAlign w:val="center"/>
            <w:hideMark/>
          </w:tcPr>
          <w:p w14:paraId="1D972211"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8969C87" w14:textId="77777777" w:rsidTr="00D262DC">
        <w:trPr>
          <w:trHeight w:val="300"/>
        </w:trPr>
        <w:tc>
          <w:tcPr>
            <w:tcW w:w="1101" w:type="dxa"/>
            <w:shd w:val="clear" w:color="auto" w:fill="auto"/>
            <w:noWrap/>
            <w:vAlign w:val="center"/>
            <w:hideMark/>
          </w:tcPr>
          <w:p w14:paraId="6329122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18110</w:t>
            </w:r>
          </w:p>
        </w:tc>
        <w:tc>
          <w:tcPr>
            <w:tcW w:w="7512" w:type="dxa"/>
            <w:shd w:val="clear" w:color="auto" w:fill="auto"/>
            <w:noWrap/>
            <w:vAlign w:val="center"/>
            <w:hideMark/>
          </w:tcPr>
          <w:p w14:paraId="39AB5909"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Printing of newspapers</w:t>
            </w:r>
          </w:p>
        </w:tc>
        <w:tc>
          <w:tcPr>
            <w:tcW w:w="993" w:type="dxa"/>
            <w:shd w:val="clear" w:color="auto" w:fill="auto"/>
            <w:noWrap/>
            <w:vAlign w:val="center"/>
            <w:hideMark/>
          </w:tcPr>
          <w:p w14:paraId="7D837E70"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4EE22033" w14:textId="77777777" w:rsidTr="00D262DC">
        <w:trPr>
          <w:trHeight w:val="300"/>
        </w:trPr>
        <w:tc>
          <w:tcPr>
            <w:tcW w:w="1101" w:type="dxa"/>
            <w:shd w:val="clear" w:color="auto" w:fill="auto"/>
            <w:noWrap/>
            <w:vAlign w:val="center"/>
            <w:hideMark/>
          </w:tcPr>
          <w:p w14:paraId="04FFBB0B"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18201</w:t>
            </w:r>
          </w:p>
        </w:tc>
        <w:tc>
          <w:tcPr>
            <w:tcW w:w="7512" w:type="dxa"/>
            <w:shd w:val="clear" w:color="auto" w:fill="auto"/>
            <w:noWrap/>
            <w:vAlign w:val="center"/>
            <w:hideMark/>
          </w:tcPr>
          <w:p w14:paraId="61B739DC"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Reproduction of sound recording</w:t>
            </w:r>
          </w:p>
        </w:tc>
        <w:tc>
          <w:tcPr>
            <w:tcW w:w="993" w:type="dxa"/>
            <w:shd w:val="clear" w:color="auto" w:fill="auto"/>
            <w:noWrap/>
            <w:vAlign w:val="center"/>
            <w:hideMark/>
          </w:tcPr>
          <w:p w14:paraId="4D3394D9"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73AA0DF1" w14:textId="77777777" w:rsidTr="00D262DC">
        <w:trPr>
          <w:trHeight w:val="300"/>
        </w:trPr>
        <w:tc>
          <w:tcPr>
            <w:tcW w:w="1101" w:type="dxa"/>
            <w:shd w:val="clear" w:color="auto" w:fill="auto"/>
            <w:noWrap/>
            <w:vAlign w:val="center"/>
            <w:hideMark/>
          </w:tcPr>
          <w:p w14:paraId="53FA166C"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18202</w:t>
            </w:r>
          </w:p>
        </w:tc>
        <w:tc>
          <w:tcPr>
            <w:tcW w:w="7512" w:type="dxa"/>
            <w:shd w:val="clear" w:color="auto" w:fill="auto"/>
            <w:noWrap/>
            <w:vAlign w:val="center"/>
            <w:hideMark/>
          </w:tcPr>
          <w:p w14:paraId="3C3B1B88"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Reproduction of video recording</w:t>
            </w:r>
          </w:p>
        </w:tc>
        <w:tc>
          <w:tcPr>
            <w:tcW w:w="993" w:type="dxa"/>
            <w:shd w:val="clear" w:color="auto" w:fill="auto"/>
            <w:noWrap/>
            <w:vAlign w:val="center"/>
            <w:hideMark/>
          </w:tcPr>
          <w:p w14:paraId="429BF245"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039C7D2A" w14:textId="77777777" w:rsidTr="00D262DC">
        <w:trPr>
          <w:trHeight w:val="300"/>
        </w:trPr>
        <w:tc>
          <w:tcPr>
            <w:tcW w:w="1101" w:type="dxa"/>
            <w:shd w:val="clear" w:color="auto" w:fill="auto"/>
            <w:noWrap/>
            <w:vAlign w:val="center"/>
            <w:hideMark/>
          </w:tcPr>
          <w:p w14:paraId="5DE5BE53"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18203</w:t>
            </w:r>
          </w:p>
        </w:tc>
        <w:tc>
          <w:tcPr>
            <w:tcW w:w="7512" w:type="dxa"/>
            <w:shd w:val="clear" w:color="auto" w:fill="auto"/>
            <w:noWrap/>
            <w:vAlign w:val="center"/>
            <w:hideMark/>
          </w:tcPr>
          <w:p w14:paraId="51C3660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Reproduction of computer media</w:t>
            </w:r>
          </w:p>
        </w:tc>
        <w:tc>
          <w:tcPr>
            <w:tcW w:w="993" w:type="dxa"/>
            <w:shd w:val="clear" w:color="auto" w:fill="auto"/>
            <w:noWrap/>
            <w:vAlign w:val="center"/>
            <w:hideMark/>
          </w:tcPr>
          <w:p w14:paraId="502DAEEC"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29AEE576" w14:textId="77777777" w:rsidTr="00D262DC">
        <w:trPr>
          <w:trHeight w:val="300"/>
        </w:trPr>
        <w:tc>
          <w:tcPr>
            <w:tcW w:w="1101" w:type="dxa"/>
            <w:shd w:val="clear" w:color="auto" w:fill="auto"/>
            <w:noWrap/>
            <w:vAlign w:val="center"/>
            <w:hideMark/>
          </w:tcPr>
          <w:p w14:paraId="257A572D"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23410</w:t>
            </w:r>
          </w:p>
        </w:tc>
        <w:tc>
          <w:tcPr>
            <w:tcW w:w="7512" w:type="dxa"/>
            <w:shd w:val="clear" w:color="auto" w:fill="auto"/>
            <w:noWrap/>
            <w:vAlign w:val="center"/>
            <w:hideMark/>
          </w:tcPr>
          <w:p w14:paraId="616F258C"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Manufacture of ceramic household and ornamental articles</w:t>
            </w:r>
          </w:p>
        </w:tc>
        <w:tc>
          <w:tcPr>
            <w:tcW w:w="993" w:type="dxa"/>
            <w:shd w:val="clear" w:color="auto" w:fill="auto"/>
            <w:noWrap/>
            <w:vAlign w:val="center"/>
            <w:hideMark/>
          </w:tcPr>
          <w:p w14:paraId="000061A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231187B5" w14:textId="77777777" w:rsidTr="00D262DC">
        <w:trPr>
          <w:trHeight w:val="300"/>
        </w:trPr>
        <w:tc>
          <w:tcPr>
            <w:tcW w:w="1101" w:type="dxa"/>
            <w:shd w:val="clear" w:color="auto" w:fill="auto"/>
            <w:noWrap/>
            <w:vAlign w:val="center"/>
            <w:hideMark/>
          </w:tcPr>
          <w:p w14:paraId="35A5B6A3"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31090</w:t>
            </w:r>
          </w:p>
        </w:tc>
        <w:tc>
          <w:tcPr>
            <w:tcW w:w="7512" w:type="dxa"/>
            <w:shd w:val="clear" w:color="auto" w:fill="auto"/>
            <w:noWrap/>
            <w:vAlign w:val="center"/>
            <w:hideMark/>
          </w:tcPr>
          <w:p w14:paraId="315C5984"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Manufacture of other furniture</w:t>
            </w:r>
          </w:p>
        </w:tc>
        <w:tc>
          <w:tcPr>
            <w:tcW w:w="993" w:type="dxa"/>
            <w:shd w:val="clear" w:color="auto" w:fill="auto"/>
            <w:noWrap/>
            <w:vAlign w:val="center"/>
            <w:hideMark/>
          </w:tcPr>
          <w:p w14:paraId="3EE2EFAD"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3</w:t>
            </w:r>
          </w:p>
        </w:tc>
      </w:tr>
      <w:tr w:rsidR="00E3489C" w:rsidRPr="006C0A42" w14:paraId="2DC18EB3" w14:textId="77777777" w:rsidTr="00D262DC">
        <w:trPr>
          <w:trHeight w:val="300"/>
        </w:trPr>
        <w:tc>
          <w:tcPr>
            <w:tcW w:w="1101" w:type="dxa"/>
            <w:shd w:val="clear" w:color="auto" w:fill="auto"/>
            <w:noWrap/>
            <w:vAlign w:val="center"/>
            <w:hideMark/>
          </w:tcPr>
          <w:p w14:paraId="728FE5A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32200</w:t>
            </w:r>
          </w:p>
        </w:tc>
        <w:tc>
          <w:tcPr>
            <w:tcW w:w="7512" w:type="dxa"/>
            <w:shd w:val="clear" w:color="auto" w:fill="auto"/>
            <w:noWrap/>
            <w:vAlign w:val="center"/>
            <w:hideMark/>
          </w:tcPr>
          <w:p w14:paraId="1569E24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Manufacture of musical instruments</w:t>
            </w:r>
          </w:p>
        </w:tc>
        <w:tc>
          <w:tcPr>
            <w:tcW w:w="993" w:type="dxa"/>
            <w:shd w:val="clear" w:color="auto" w:fill="auto"/>
            <w:noWrap/>
            <w:vAlign w:val="center"/>
            <w:hideMark/>
          </w:tcPr>
          <w:p w14:paraId="1A1B8B74"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054D7F49" w14:textId="77777777" w:rsidTr="00D262DC">
        <w:trPr>
          <w:trHeight w:val="300"/>
        </w:trPr>
        <w:tc>
          <w:tcPr>
            <w:tcW w:w="1101" w:type="dxa"/>
            <w:shd w:val="clear" w:color="auto" w:fill="auto"/>
            <w:noWrap/>
            <w:vAlign w:val="center"/>
            <w:hideMark/>
          </w:tcPr>
          <w:p w14:paraId="758C2D49"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46491</w:t>
            </w:r>
          </w:p>
        </w:tc>
        <w:tc>
          <w:tcPr>
            <w:tcW w:w="7512" w:type="dxa"/>
            <w:shd w:val="clear" w:color="auto" w:fill="auto"/>
            <w:noWrap/>
            <w:vAlign w:val="center"/>
            <w:hideMark/>
          </w:tcPr>
          <w:p w14:paraId="1DB23592"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Wholesale of musical instruments</w:t>
            </w:r>
          </w:p>
        </w:tc>
        <w:tc>
          <w:tcPr>
            <w:tcW w:w="993" w:type="dxa"/>
            <w:shd w:val="clear" w:color="auto" w:fill="auto"/>
            <w:noWrap/>
            <w:vAlign w:val="center"/>
            <w:hideMark/>
          </w:tcPr>
          <w:p w14:paraId="58BDD2D1"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633E2793" w14:textId="77777777" w:rsidTr="00D262DC">
        <w:trPr>
          <w:trHeight w:val="300"/>
        </w:trPr>
        <w:tc>
          <w:tcPr>
            <w:tcW w:w="1101" w:type="dxa"/>
            <w:shd w:val="clear" w:color="auto" w:fill="auto"/>
            <w:noWrap/>
            <w:vAlign w:val="center"/>
            <w:hideMark/>
          </w:tcPr>
          <w:p w14:paraId="0918C174"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47781</w:t>
            </w:r>
          </w:p>
        </w:tc>
        <w:tc>
          <w:tcPr>
            <w:tcW w:w="7512" w:type="dxa"/>
            <w:shd w:val="clear" w:color="auto" w:fill="auto"/>
            <w:noWrap/>
            <w:vAlign w:val="center"/>
            <w:hideMark/>
          </w:tcPr>
          <w:p w14:paraId="15C23FE2"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Retail sale in commercial art galleries</w:t>
            </w:r>
          </w:p>
        </w:tc>
        <w:tc>
          <w:tcPr>
            <w:tcW w:w="993" w:type="dxa"/>
            <w:shd w:val="clear" w:color="auto" w:fill="auto"/>
            <w:noWrap/>
            <w:vAlign w:val="center"/>
            <w:hideMark/>
          </w:tcPr>
          <w:p w14:paraId="5819722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3</w:t>
            </w:r>
          </w:p>
        </w:tc>
      </w:tr>
      <w:tr w:rsidR="00E3489C" w:rsidRPr="006C0A42" w14:paraId="62593503" w14:textId="77777777" w:rsidTr="00D262DC">
        <w:trPr>
          <w:trHeight w:val="300"/>
        </w:trPr>
        <w:tc>
          <w:tcPr>
            <w:tcW w:w="1101" w:type="dxa"/>
            <w:shd w:val="clear" w:color="auto" w:fill="auto"/>
            <w:noWrap/>
            <w:vAlign w:val="center"/>
            <w:hideMark/>
          </w:tcPr>
          <w:p w14:paraId="62811C93"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47791</w:t>
            </w:r>
          </w:p>
        </w:tc>
        <w:tc>
          <w:tcPr>
            <w:tcW w:w="7512" w:type="dxa"/>
            <w:shd w:val="clear" w:color="auto" w:fill="auto"/>
            <w:noWrap/>
            <w:vAlign w:val="center"/>
            <w:hideMark/>
          </w:tcPr>
          <w:p w14:paraId="0E321C01"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Retail sale of antiques including antique books in stores</w:t>
            </w:r>
          </w:p>
        </w:tc>
        <w:tc>
          <w:tcPr>
            <w:tcW w:w="993" w:type="dxa"/>
            <w:shd w:val="clear" w:color="auto" w:fill="auto"/>
            <w:noWrap/>
            <w:vAlign w:val="center"/>
            <w:hideMark/>
          </w:tcPr>
          <w:p w14:paraId="33691BB8"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3</w:t>
            </w:r>
          </w:p>
        </w:tc>
      </w:tr>
      <w:tr w:rsidR="00E3489C" w:rsidRPr="006C0A42" w14:paraId="39A691BB" w14:textId="77777777" w:rsidTr="00D262DC">
        <w:trPr>
          <w:trHeight w:val="300"/>
        </w:trPr>
        <w:tc>
          <w:tcPr>
            <w:tcW w:w="1101" w:type="dxa"/>
            <w:shd w:val="clear" w:color="auto" w:fill="auto"/>
            <w:noWrap/>
            <w:vAlign w:val="center"/>
            <w:hideMark/>
          </w:tcPr>
          <w:p w14:paraId="1353A5C2"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78101</w:t>
            </w:r>
          </w:p>
        </w:tc>
        <w:tc>
          <w:tcPr>
            <w:tcW w:w="7512" w:type="dxa"/>
            <w:shd w:val="clear" w:color="auto" w:fill="auto"/>
            <w:noWrap/>
            <w:vAlign w:val="center"/>
            <w:hideMark/>
          </w:tcPr>
          <w:p w14:paraId="0B0ACC03"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Motion picture, television and other theatrical casting activities</w:t>
            </w:r>
          </w:p>
        </w:tc>
        <w:tc>
          <w:tcPr>
            <w:tcW w:w="993" w:type="dxa"/>
            <w:shd w:val="clear" w:color="auto" w:fill="auto"/>
            <w:noWrap/>
            <w:vAlign w:val="center"/>
            <w:hideMark/>
          </w:tcPr>
          <w:p w14:paraId="38413BF9"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0B10118E" w14:textId="77777777" w:rsidTr="00D262DC">
        <w:trPr>
          <w:trHeight w:val="300"/>
        </w:trPr>
        <w:tc>
          <w:tcPr>
            <w:tcW w:w="1101" w:type="dxa"/>
            <w:shd w:val="clear" w:color="auto" w:fill="auto"/>
            <w:noWrap/>
            <w:vAlign w:val="center"/>
            <w:hideMark/>
          </w:tcPr>
          <w:p w14:paraId="46317758"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91030</w:t>
            </w:r>
          </w:p>
        </w:tc>
        <w:tc>
          <w:tcPr>
            <w:tcW w:w="7512" w:type="dxa"/>
            <w:shd w:val="clear" w:color="auto" w:fill="auto"/>
            <w:noWrap/>
            <w:vAlign w:val="center"/>
            <w:hideMark/>
          </w:tcPr>
          <w:p w14:paraId="72BC3E9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Operation of historical sites and buildings and similar visitor attractions</w:t>
            </w:r>
          </w:p>
        </w:tc>
        <w:tc>
          <w:tcPr>
            <w:tcW w:w="993" w:type="dxa"/>
            <w:shd w:val="clear" w:color="auto" w:fill="auto"/>
            <w:noWrap/>
            <w:vAlign w:val="center"/>
            <w:hideMark/>
          </w:tcPr>
          <w:p w14:paraId="3AB9F59B"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2A8F9204" w14:textId="77777777" w:rsidTr="00D262DC">
        <w:trPr>
          <w:trHeight w:val="300"/>
        </w:trPr>
        <w:tc>
          <w:tcPr>
            <w:tcW w:w="1101" w:type="dxa"/>
            <w:shd w:val="clear" w:color="auto" w:fill="auto"/>
            <w:noWrap/>
            <w:vAlign w:val="center"/>
            <w:hideMark/>
          </w:tcPr>
          <w:p w14:paraId="027E2AB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91040</w:t>
            </w:r>
          </w:p>
        </w:tc>
        <w:tc>
          <w:tcPr>
            <w:tcW w:w="7512" w:type="dxa"/>
            <w:shd w:val="clear" w:color="auto" w:fill="auto"/>
            <w:noWrap/>
            <w:vAlign w:val="center"/>
            <w:hideMark/>
          </w:tcPr>
          <w:p w14:paraId="3D385AF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Botanical and zoological gardens and nature reserves activities</w:t>
            </w:r>
          </w:p>
        </w:tc>
        <w:tc>
          <w:tcPr>
            <w:tcW w:w="993" w:type="dxa"/>
            <w:shd w:val="clear" w:color="auto" w:fill="auto"/>
            <w:noWrap/>
            <w:vAlign w:val="center"/>
            <w:hideMark/>
          </w:tcPr>
          <w:p w14:paraId="36064B9D"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4AAD514F" w14:textId="77777777" w:rsidTr="00D262DC">
        <w:trPr>
          <w:trHeight w:val="300"/>
        </w:trPr>
        <w:tc>
          <w:tcPr>
            <w:tcW w:w="1101" w:type="dxa"/>
            <w:shd w:val="clear" w:color="auto" w:fill="auto"/>
            <w:noWrap/>
            <w:vAlign w:val="center"/>
            <w:hideMark/>
          </w:tcPr>
          <w:p w14:paraId="60E15DF8"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95240</w:t>
            </w:r>
          </w:p>
        </w:tc>
        <w:tc>
          <w:tcPr>
            <w:tcW w:w="7512" w:type="dxa"/>
            <w:shd w:val="clear" w:color="auto" w:fill="auto"/>
            <w:noWrap/>
            <w:vAlign w:val="center"/>
            <w:hideMark/>
          </w:tcPr>
          <w:p w14:paraId="40DEEDFA" w14:textId="77777777" w:rsidR="00E3489C" w:rsidRPr="006C0A42" w:rsidRDefault="00E3489C" w:rsidP="00E311F7">
            <w:pPr>
              <w:spacing w:before="20" w:after="20"/>
              <w:ind w:left="33"/>
              <w:rPr>
                <w:rFonts w:cs="Arial"/>
                <w:sz w:val="18"/>
                <w:szCs w:val="18"/>
                <w:lang w:eastAsia="en-GB"/>
              </w:rPr>
            </w:pPr>
            <w:r w:rsidRPr="006C0A42">
              <w:rPr>
                <w:rFonts w:cs="Arial"/>
                <w:sz w:val="18"/>
                <w:szCs w:val="18"/>
                <w:lang w:eastAsia="en-GB"/>
              </w:rPr>
              <w:t>Repair of furniture and home furnishings</w:t>
            </w:r>
          </w:p>
        </w:tc>
        <w:tc>
          <w:tcPr>
            <w:tcW w:w="993" w:type="dxa"/>
            <w:shd w:val="clear" w:color="auto" w:fill="auto"/>
            <w:noWrap/>
            <w:vAlign w:val="center"/>
            <w:hideMark/>
          </w:tcPr>
          <w:p w14:paraId="435C657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bl>
    <w:p w14:paraId="76151DAF" w14:textId="77777777" w:rsidR="00E3489C" w:rsidRPr="00514EFA" w:rsidRDefault="00E3489C" w:rsidP="00E3489C">
      <w:pPr>
        <w:widowControl w:val="0"/>
        <w:autoSpaceDE w:val="0"/>
        <w:autoSpaceDN w:val="0"/>
        <w:adjustRightInd w:val="0"/>
        <w:spacing w:before="0" w:after="120" w:line="276" w:lineRule="auto"/>
        <w:ind w:left="0"/>
        <w:contextualSpacing/>
        <w:rPr>
          <w:rFonts w:eastAsia="Calibri" w:cs="Arial"/>
          <w:szCs w:val="22"/>
        </w:rPr>
      </w:pPr>
    </w:p>
    <w:p w14:paraId="2320C88C" w14:textId="77777777" w:rsidR="00E3489C" w:rsidRPr="00514EFA" w:rsidRDefault="00E3489C" w:rsidP="00F0636B">
      <w:pPr>
        <w:pStyle w:val="Heading2Numbered"/>
        <w:rPr>
          <w:rFonts w:eastAsia="Calibri"/>
        </w:rPr>
      </w:pPr>
      <w:bookmarkStart w:id="148" w:name="_Toc467569651"/>
      <w:r>
        <w:rPr>
          <w:rFonts w:eastAsia="Calibri"/>
        </w:rPr>
        <w:lastRenderedPageBreak/>
        <w:t>Knowledge I</w:t>
      </w:r>
      <w:r w:rsidRPr="00514EFA">
        <w:rPr>
          <w:rFonts w:eastAsia="Calibri"/>
        </w:rPr>
        <w:t>ndustries</w:t>
      </w:r>
      <w:bookmarkEnd w:id="148"/>
    </w:p>
    <w:p w14:paraId="3BBA7402" w14:textId="77777777" w:rsidR="00E3489C" w:rsidRDefault="00E3489C" w:rsidP="00E3489C">
      <w:r>
        <w:t>Analysis is based on the OECD definition of the Knowledge Industries</w:t>
      </w:r>
      <w:r>
        <w:rPr>
          <w:rStyle w:val="FootnoteReference"/>
        </w:rPr>
        <w:footnoteReference w:id="5"/>
      </w:r>
      <w:r>
        <w:t>, updated from SIC 2003</w:t>
      </w:r>
      <w:r>
        <w:rPr>
          <w:rStyle w:val="FootnoteReference"/>
        </w:rPr>
        <w:footnoteReference w:id="6"/>
      </w:r>
      <w:r>
        <w:t xml:space="preserve"> to SIC 2007 using conversion tables from ONS</w:t>
      </w:r>
      <w:r>
        <w:rPr>
          <w:rStyle w:val="FootnoteReference"/>
        </w:rPr>
        <w:footnoteReference w:id="7"/>
      </w:r>
      <w:r>
        <w:t>.</w:t>
      </w:r>
    </w:p>
    <w:p w14:paraId="7B013FB3" w14:textId="77777777" w:rsidR="00E3489C" w:rsidRDefault="00E3489C" w:rsidP="00E3489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8473"/>
      </w:tblGrid>
      <w:tr w:rsidR="00E311F7" w:rsidRPr="00FA72FB" w14:paraId="415145E2" w14:textId="77777777" w:rsidTr="00FA72FB">
        <w:trPr>
          <w:trHeight w:val="300"/>
          <w:tblHeader/>
        </w:trPr>
        <w:tc>
          <w:tcPr>
            <w:tcW w:w="573" w:type="pct"/>
            <w:shd w:val="clear" w:color="auto" w:fill="auto"/>
            <w:noWrap/>
            <w:vAlign w:val="center"/>
            <w:hideMark/>
          </w:tcPr>
          <w:p w14:paraId="79F5A119" w14:textId="77777777" w:rsidR="00E311F7" w:rsidRPr="00FA72FB" w:rsidRDefault="00E311F7" w:rsidP="00FA72FB">
            <w:pPr>
              <w:spacing w:before="20" w:after="20"/>
              <w:ind w:left="0"/>
              <w:jc w:val="center"/>
              <w:rPr>
                <w:rFonts w:cs="Arial"/>
                <w:b/>
                <w:bCs/>
                <w:sz w:val="18"/>
                <w:szCs w:val="18"/>
                <w:lang w:eastAsia="en-GB"/>
              </w:rPr>
            </w:pPr>
            <w:r w:rsidRPr="00FA72FB">
              <w:rPr>
                <w:rFonts w:cs="Arial"/>
                <w:b/>
                <w:bCs/>
                <w:sz w:val="18"/>
                <w:szCs w:val="18"/>
                <w:lang w:eastAsia="en-GB"/>
              </w:rPr>
              <w:t>SIC03</w:t>
            </w:r>
          </w:p>
        </w:tc>
        <w:tc>
          <w:tcPr>
            <w:tcW w:w="4427" w:type="pct"/>
            <w:shd w:val="clear" w:color="auto" w:fill="auto"/>
            <w:noWrap/>
            <w:vAlign w:val="center"/>
            <w:hideMark/>
          </w:tcPr>
          <w:p w14:paraId="5F322BA6" w14:textId="104FFD9F" w:rsidR="00E311F7" w:rsidRPr="00FA72FB" w:rsidRDefault="00E311F7" w:rsidP="00FA72FB">
            <w:pPr>
              <w:spacing w:before="20" w:after="20"/>
              <w:ind w:left="0"/>
              <w:rPr>
                <w:rFonts w:cs="Arial"/>
                <w:b/>
                <w:bCs/>
                <w:sz w:val="18"/>
                <w:szCs w:val="18"/>
                <w:lang w:eastAsia="en-GB"/>
              </w:rPr>
            </w:pPr>
            <w:r w:rsidRPr="00FA72FB">
              <w:rPr>
                <w:rFonts w:cs="Arial"/>
                <w:b/>
                <w:bCs/>
                <w:sz w:val="18"/>
                <w:szCs w:val="18"/>
                <w:lang w:eastAsia="en-GB"/>
              </w:rPr>
              <w:t>Description</w:t>
            </w:r>
          </w:p>
        </w:tc>
      </w:tr>
      <w:tr w:rsidR="00E311F7" w:rsidRPr="00FA72FB" w14:paraId="598BDCA1" w14:textId="77777777" w:rsidTr="00FA72FB">
        <w:trPr>
          <w:trHeight w:val="300"/>
        </w:trPr>
        <w:tc>
          <w:tcPr>
            <w:tcW w:w="573" w:type="pct"/>
            <w:shd w:val="clear" w:color="auto" w:fill="auto"/>
            <w:noWrap/>
            <w:vAlign w:val="center"/>
            <w:hideMark/>
          </w:tcPr>
          <w:p w14:paraId="65F2C1D2"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2D02838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Legal, accounting, book-keeping and auditing activities; tax consultancy; market research and public opinion polling; business and management consultancy; holdings</w:t>
            </w:r>
          </w:p>
        </w:tc>
      </w:tr>
      <w:tr w:rsidR="00E311F7" w:rsidRPr="00FA72FB" w14:paraId="16BEB64E" w14:textId="77777777" w:rsidTr="00FA72FB">
        <w:trPr>
          <w:trHeight w:val="300"/>
        </w:trPr>
        <w:tc>
          <w:tcPr>
            <w:tcW w:w="573" w:type="pct"/>
            <w:shd w:val="clear" w:color="auto" w:fill="auto"/>
            <w:noWrap/>
            <w:vAlign w:val="center"/>
            <w:hideMark/>
          </w:tcPr>
          <w:p w14:paraId="659BF4F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221</w:t>
            </w:r>
          </w:p>
        </w:tc>
        <w:tc>
          <w:tcPr>
            <w:tcW w:w="4427" w:type="pct"/>
            <w:shd w:val="clear" w:color="auto" w:fill="auto"/>
            <w:noWrap/>
            <w:vAlign w:val="center"/>
            <w:hideMark/>
          </w:tcPr>
          <w:p w14:paraId="2B107CF8"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Publishing</w:t>
            </w:r>
          </w:p>
        </w:tc>
      </w:tr>
      <w:tr w:rsidR="00E311F7" w:rsidRPr="00FA72FB" w14:paraId="2ECB4A3E" w14:textId="77777777" w:rsidTr="00FA72FB">
        <w:trPr>
          <w:trHeight w:val="300"/>
        </w:trPr>
        <w:tc>
          <w:tcPr>
            <w:tcW w:w="573" w:type="pct"/>
            <w:shd w:val="clear" w:color="auto" w:fill="auto"/>
            <w:noWrap/>
            <w:vAlign w:val="center"/>
            <w:hideMark/>
          </w:tcPr>
          <w:p w14:paraId="2D6489D5"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724</w:t>
            </w:r>
          </w:p>
        </w:tc>
        <w:tc>
          <w:tcPr>
            <w:tcW w:w="4427" w:type="pct"/>
            <w:shd w:val="clear" w:color="auto" w:fill="auto"/>
            <w:noWrap/>
            <w:vAlign w:val="center"/>
            <w:hideMark/>
          </w:tcPr>
          <w:p w14:paraId="05086C67"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base activities</w:t>
            </w:r>
          </w:p>
        </w:tc>
      </w:tr>
      <w:tr w:rsidR="00E311F7" w:rsidRPr="00FA72FB" w14:paraId="089EA893" w14:textId="77777777" w:rsidTr="00FA72FB">
        <w:trPr>
          <w:trHeight w:val="300"/>
        </w:trPr>
        <w:tc>
          <w:tcPr>
            <w:tcW w:w="573" w:type="pct"/>
            <w:shd w:val="clear" w:color="auto" w:fill="auto"/>
            <w:noWrap/>
            <w:vAlign w:val="center"/>
            <w:hideMark/>
          </w:tcPr>
          <w:p w14:paraId="47EC001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722</w:t>
            </w:r>
          </w:p>
        </w:tc>
        <w:tc>
          <w:tcPr>
            <w:tcW w:w="4427" w:type="pct"/>
            <w:shd w:val="clear" w:color="auto" w:fill="auto"/>
            <w:noWrap/>
            <w:vAlign w:val="center"/>
            <w:hideMark/>
          </w:tcPr>
          <w:p w14:paraId="43CB7A5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Software consultancy and supply</w:t>
            </w:r>
          </w:p>
        </w:tc>
      </w:tr>
      <w:tr w:rsidR="00E311F7" w:rsidRPr="00FA72FB" w14:paraId="71D51051" w14:textId="77777777" w:rsidTr="00FA72FB">
        <w:trPr>
          <w:trHeight w:val="300"/>
        </w:trPr>
        <w:tc>
          <w:tcPr>
            <w:tcW w:w="573" w:type="pct"/>
            <w:shd w:val="clear" w:color="auto" w:fill="auto"/>
            <w:noWrap/>
            <w:vAlign w:val="center"/>
            <w:hideMark/>
          </w:tcPr>
          <w:p w14:paraId="49B5B5D7"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724</w:t>
            </w:r>
          </w:p>
        </w:tc>
        <w:tc>
          <w:tcPr>
            <w:tcW w:w="4427" w:type="pct"/>
            <w:shd w:val="clear" w:color="auto" w:fill="auto"/>
            <w:noWrap/>
            <w:vAlign w:val="center"/>
            <w:hideMark/>
          </w:tcPr>
          <w:p w14:paraId="5B0DD9E9"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base activities</w:t>
            </w:r>
          </w:p>
        </w:tc>
      </w:tr>
      <w:tr w:rsidR="00E311F7" w:rsidRPr="00FA72FB" w14:paraId="2D495A32" w14:textId="77777777" w:rsidTr="00FA72FB">
        <w:trPr>
          <w:trHeight w:val="300"/>
        </w:trPr>
        <w:tc>
          <w:tcPr>
            <w:tcW w:w="573" w:type="pct"/>
            <w:shd w:val="clear" w:color="auto" w:fill="auto"/>
            <w:noWrap/>
            <w:vAlign w:val="center"/>
            <w:hideMark/>
          </w:tcPr>
          <w:p w14:paraId="15DFDB0E"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921</w:t>
            </w:r>
          </w:p>
        </w:tc>
        <w:tc>
          <w:tcPr>
            <w:tcW w:w="4427" w:type="pct"/>
            <w:shd w:val="clear" w:color="auto" w:fill="auto"/>
            <w:noWrap/>
            <w:vAlign w:val="center"/>
            <w:hideMark/>
          </w:tcPr>
          <w:p w14:paraId="47E363A7"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Motion picture and video activities</w:t>
            </w:r>
          </w:p>
        </w:tc>
      </w:tr>
      <w:tr w:rsidR="00E311F7" w:rsidRPr="00FA72FB" w14:paraId="753A5C03" w14:textId="77777777" w:rsidTr="00FA72FB">
        <w:trPr>
          <w:trHeight w:val="300"/>
        </w:trPr>
        <w:tc>
          <w:tcPr>
            <w:tcW w:w="573" w:type="pct"/>
            <w:shd w:val="clear" w:color="auto" w:fill="auto"/>
            <w:noWrap/>
            <w:vAlign w:val="center"/>
            <w:hideMark/>
          </w:tcPr>
          <w:p w14:paraId="7215EB4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922</w:t>
            </w:r>
          </w:p>
        </w:tc>
        <w:tc>
          <w:tcPr>
            <w:tcW w:w="4427" w:type="pct"/>
            <w:shd w:val="clear" w:color="auto" w:fill="auto"/>
            <w:noWrap/>
            <w:vAlign w:val="center"/>
            <w:hideMark/>
          </w:tcPr>
          <w:p w14:paraId="4DF00F0F"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Radio and television activities</w:t>
            </w:r>
          </w:p>
        </w:tc>
      </w:tr>
      <w:tr w:rsidR="00E311F7" w:rsidRPr="00FA72FB" w14:paraId="0BB98B4E" w14:textId="77777777" w:rsidTr="00FA72FB">
        <w:trPr>
          <w:trHeight w:val="300"/>
        </w:trPr>
        <w:tc>
          <w:tcPr>
            <w:tcW w:w="573" w:type="pct"/>
            <w:shd w:val="clear" w:color="auto" w:fill="auto"/>
            <w:noWrap/>
            <w:vAlign w:val="center"/>
            <w:hideMark/>
          </w:tcPr>
          <w:p w14:paraId="5AE8DDF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221</w:t>
            </w:r>
          </w:p>
        </w:tc>
        <w:tc>
          <w:tcPr>
            <w:tcW w:w="4427" w:type="pct"/>
            <w:shd w:val="clear" w:color="auto" w:fill="auto"/>
            <w:noWrap/>
            <w:vAlign w:val="center"/>
            <w:hideMark/>
          </w:tcPr>
          <w:p w14:paraId="3297545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Publishing</w:t>
            </w:r>
          </w:p>
        </w:tc>
      </w:tr>
      <w:tr w:rsidR="00E311F7" w:rsidRPr="00FA72FB" w14:paraId="024C0874" w14:textId="77777777" w:rsidTr="00FA72FB">
        <w:trPr>
          <w:trHeight w:val="300"/>
        </w:trPr>
        <w:tc>
          <w:tcPr>
            <w:tcW w:w="573" w:type="pct"/>
            <w:shd w:val="clear" w:color="auto" w:fill="auto"/>
            <w:noWrap/>
            <w:vAlign w:val="center"/>
            <w:hideMark/>
          </w:tcPr>
          <w:p w14:paraId="6821D685"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724</w:t>
            </w:r>
          </w:p>
        </w:tc>
        <w:tc>
          <w:tcPr>
            <w:tcW w:w="4427" w:type="pct"/>
            <w:shd w:val="clear" w:color="auto" w:fill="auto"/>
            <w:noWrap/>
            <w:vAlign w:val="center"/>
            <w:hideMark/>
          </w:tcPr>
          <w:p w14:paraId="752FAC71"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base activities</w:t>
            </w:r>
          </w:p>
        </w:tc>
      </w:tr>
      <w:tr w:rsidR="00E311F7" w:rsidRPr="00FA72FB" w14:paraId="2080BEEC" w14:textId="77777777" w:rsidTr="00FA72FB">
        <w:trPr>
          <w:trHeight w:val="300"/>
        </w:trPr>
        <w:tc>
          <w:tcPr>
            <w:tcW w:w="573" w:type="pct"/>
            <w:shd w:val="clear" w:color="auto" w:fill="auto"/>
            <w:noWrap/>
            <w:vAlign w:val="center"/>
            <w:hideMark/>
          </w:tcPr>
          <w:p w14:paraId="39ECF54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528B566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2AFB0637" w14:textId="77777777" w:rsidTr="00FA72FB">
        <w:trPr>
          <w:trHeight w:val="300"/>
        </w:trPr>
        <w:tc>
          <w:tcPr>
            <w:tcW w:w="573" w:type="pct"/>
            <w:shd w:val="clear" w:color="auto" w:fill="auto"/>
            <w:noWrap/>
            <w:vAlign w:val="center"/>
            <w:hideMark/>
          </w:tcPr>
          <w:p w14:paraId="0629347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921</w:t>
            </w:r>
          </w:p>
        </w:tc>
        <w:tc>
          <w:tcPr>
            <w:tcW w:w="4427" w:type="pct"/>
            <w:shd w:val="clear" w:color="auto" w:fill="auto"/>
            <w:noWrap/>
            <w:vAlign w:val="center"/>
            <w:hideMark/>
          </w:tcPr>
          <w:p w14:paraId="75CD51D9"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Motion picture and video activities</w:t>
            </w:r>
          </w:p>
        </w:tc>
      </w:tr>
      <w:tr w:rsidR="00E311F7" w:rsidRPr="00FA72FB" w14:paraId="5C0B97EC" w14:textId="77777777" w:rsidTr="00FA72FB">
        <w:trPr>
          <w:trHeight w:val="300"/>
        </w:trPr>
        <w:tc>
          <w:tcPr>
            <w:tcW w:w="573" w:type="pct"/>
            <w:shd w:val="clear" w:color="auto" w:fill="auto"/>
            <w:noWrap/>
            <w:vAlign w:val="center"/>
            <w:hideMark/>
          </w:tcPr>
          <w:p w14:paraId="7B2A457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922</w:t>
            </w:r>
          </w:p>
        </w:tc>
        <w:tc>
          <w:tcPr>
            <w:tcW w:w="4427" w:type="pct"/>
            <w:shd w:val="clear" w:color="auto" w:fill="auto"/>
            <w:noWrap/>
            <w:vAlign w:val="center"/>
            <w:hideMark/>
          </w:tcPr>
          <w:p w14:paraId="1FB6FB9C"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Radio and television activities</w:t>
            </w:r>
          </w:p>
        </w:tc>
      </w:tr>
      <w:tr w:rsidR="00E311F7" w:rsidRPr="00FA72FB" w14:paraId="13C5CDC1" w14:textId="77777777" w:rsidTr="00FA72FB">
        <w:trPr>
          <w:trHeight w:val="300"/>
        </w:trPr>
        <w:tc>
          <w:tcPr>
            <w:tcW w:w="573" w:type="pct"/>
            <w:shd w:val="clear" w:color="auto" w:fill="auto"/>
            <w:noWrap/>
            <w:vAlign w:val="center"/>
            <w:hideMark/>
          </w:tcPr>
          <w:p w14:paraId="43D020A9"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2281CAC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5A409AD5" w14:textId="77777777" w:rsidTr="00FA72FB">
        <w:trPr>
          <w:trHeight w:val="300"/>
        </w:trPr>
        <w:tc>
          <w:tcPr>
            <w:tcW w:w="573" w:type="pct"/>
            <w:shd w:val="clear" w:color="auto" w:fill="auto"/>
            <w:noWrap/>
            <w:vAlign w:val="center"/>
            <w:hideMark/>
          </w:tcPr>
          <w:p w14:paraId="267310A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922</w:t>
            </w:r>
          </w:p>
        </w:tc>
        <w:tc>
          <w:tcPr>
            <w:tcW w:w="4427" w:type="pct"/>
            <w:shd w:val="clear" w:color="auto" w:fill="auto"/>
            <w:noWrap/>
            <w:vAlign w:val="center"/>
            <w:hideMark/>
          </w:tcPr>
          <w:p w14:paraId="2752783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Radio and television activities</w:t>
            </w:r>
          </w:p>
        </w:tc>
      </w:tr>
      <w:tr w:rsidR="00E311F7" w:rsidRPr="00FA72FB" w14:paraId="63471045" w14:textId="77777777" w:rsidTr="00FA72FB">
        <w:trPr>
          <w:trHeight w:val="300"/>
        </w:trPr>
        <w:tc>
          <w:tcPr>
            <w:tcW w:w="573" w:type="pct"/>
            <w:shd w:val="clear" w:color="auto" w:fill="auto"/>
            <w:noWrap/>
            <w:vAlign w:val="center"/>
            <w:hideMark/>
          </w:tcPr>
          <w:p w14:paraId="7B80CD05"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17462B6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65598D5C" w14:textId="77777777" w:rsidTr="00FA72FB">
        <w:trPr>
          <w:trHeight w:val="300"/>
        </w:trPr>
        <w:tc>
          <w:tcPr>
            <w:tcW w:w="573" w:type="pct"/>
            <w:shd w:val="clear" w:color="auto" w:fill="auto"/>
            <w:noWrap/>
            <w:vAlign w:val="center"/>
            <w:hideMark/>
          </w:tcPr>
          <w:p w14:paraId="384809BF"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922</w:t>
            </w:r>
          </w:p>
        </w:tc>
        <w:tc>
          <w:tcPr>
            <w:tcW w:w="4427" w:type="pct"/>
            <w:shd w:val="clear" w:color="auto" w:fill="auto"/>
            <w:noWrap/>
            <w:vAlign w:val="center"/>
            <w:hideMark/>
          </w:tcPr>
          <w:p w14:paraId="3EAAC6B1"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Radio and television activities</w:t>
            </w:r>
          </w:p>
        </w:tc>
      </w:tr>
      <w:tr w:rsidR="00E311F7" w:rsidRPr="00FA72FB" w14:paraId="02856AB0" w14:textId="77777777" w:rsidTr="00FA72FB">
        <w:trPr>
          <w:trHeight w:val="300"/>
        </w:trPr>
        <w:tc>
          <w:tcPr>
            <w:tcW w:w="573" w:type="pct"/>
            <w:shd w:val="clear" w:color="auto" w:fill="auto"/>
            <w:noWrap/>
            <w:vAlign w:val="center"/>
            <w:hideMark/>
          </w:tcPr>
          <w:p w14:paraId="3791027A"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5118C60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739D3546" w14:textId="77777777" w:rsidTr="00FA72FB">
        <w:trPr>
          <w:trHeight w:val="300"/>
        </w:trPr>
        <w:tc>
          <w:tcPr>
            <w:tcW w:w="573" w:type="pct"/>
            <w:shd w:val="clear" w:color="auto" w:fill="auto"/>
            <w:noWrap/>
            <w:vAlign w:val="center"/>
            <w:hideMark/>
          </w:tcPr>
          <w:p w14:paraId="535A9F7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56A403DA"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7C6026AD" w14:textId="77777777" w:rsidTr="00FA72FB">
        <w:trPr>
          <w:trHeight w:val="300"/>
        </w:trPr>
        <w:tc>
          <w:tcPr>
            <w:tcW w:w="573" w:type="pct"/>
            <w:shd w:val="clear" w:color="auto" w:fill="auto"/>
            <w:noWrap/>
            <w:vAlign w:val="center"/>
            <w:hideMark/>
          </w:tcPr>
          <w:p w14:paraId="7111BBC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505DE38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60FF7B48" w14:textId="77777777" w:rsidTr="00FA72FB">
        <w:trPr>
          <w:trHeight w:val="300"/>
        </w:trPr>
        <w:tc>
          <w:tcPr>
            <w:tcW w:w="573" w:type="pct"/>
            <w:shd w:val="clear" w:color="auto" w:fill="auto"/>
            <w:noWrap/>
            <w:vAlign w:val="center"/>
            <w:hideMark/>
          </w:tcPr>
          <w:p w14:paraId="0FB8A912"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3A3AD28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4DBFF107" w14:textId="77777777" w:rsidTr="00FA72FB">
        <w:trPr>
          <w:trHeight w:val="300"/>
        </w:trPr>
        <w:tc>
          <w:tcPr>
            <w:tcW w:w="573" w:type="pct"/>
            <w:shd w:val="clear" w:color="auto" w:fill="auto"/>
            <w:noWrap/>
            <w:vAlign w:val="center"/>
            <w:hideMark/>
          </w:tcPr>
          <w:p w14:paraId="4429746A"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721</w:t>
            </w:r>
          </w:p>
        </w:tc>
        <w:tc>
          <w:tcPr>
            <w:tcW w:w="4427" w:type="pct"/>
            <w:shd w:val="clear" w:color="auto" w:fill="auto"/>
            <w:noWrap/>
            <w:vAlign w:val="center"/>
            <w:hideMark/>
          </w:tcPr>
          <w:p w14:paraId="0563D8A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Hardware consultancy</w:t>
            </w:r>
          </w:p>
        </w:tc>
      </w:tr>
      <w:tr w:rsidR="00E311F7" w:rsidRPr="00FA72FB" w14:paraId="55CA94F4" w14:textId="77777777" w:rsidTr="00FA72FB">
        <w:trPr>
          <w:trHeight w:val="300"/>
        </w:trPr>
        <w:tc>
          <w:tcPr>
            <w:tcW w:w="573" w:type="pct"/>
            <w:shd w:val="clear" w:color="auto" w:fill="auto"/>
            <w:noWrap/>
            <w:vAlign w:val="center"/>
            <w:hideMark/>
          </w:tcPr>
          <w:p w14:paraId="578E78A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722</w:t>
            </w:r>
          </w:p>
        </w:tc>
        <w:tc>
          <w:tcPr>
            <w:tcW w:w="4427" w:type="pct"/>
            <w:shd w:val="clear" w:color="auto" w:fill="auto"/>
            <w:noWrap/>
            <w:vAlign w:val="center"/>
            <w:hideMark/>
          </w:tcPr>
          <w:p w14:paraId="0FB67F39"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Software consultancy and supply</w:t>
            </w:r>
          </w:p>
        </w:tc>
      </w:tr>
      <w:tr w:rsidR="00E311F7" w:rsidRPr="00FA72FB" w14:paraId="456C60BD" w14:textId="77777777" w:rsidTr="00FA72FB">
        <w:trPr>
          <w:trHeight w:val="300"/>
        </w:trPr>
        <w:tc>
          <w:tcPr>
            <w:tcW w:w="573" w:type="pct"/>
            <w:shd w:val="clear" w:color="auto" w:fill="auto"/>
            <w:noWrap/>
            <w:vAlign w:val="center"/>
            <w:hideMark/>
          </w:tcPr>
          <w:p w14:paraId="57C12B1B"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723</w:t>
            </w:r>
          </w:p>
        </w:tc>
        <w:tc>
          <w:tcPr>
            <w:tcW w:w="4427" w:type="pct"/>
            <w:shd w:val="clear" w:color="auto" w:fill="auto"/>
            <w:noWrap/>
            <w:vAlign w:val="center"/>
            <w:hideMark/>
          </w:tcPr>
          <w:p w14:paraId="289F9C2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processing</w:t>
            </w:r>
          </w:p>
        </w:tc>
      </w:tr>
      <w:tr w:rsidR="00E311F7" w:rsidRPr="00FA72FB" w14:paraId="75F8EE90" w14:textId="77777777" w:rsidTr="00FA72FB">
        <w:trPr>
          <w:trHeight w:val="300"/>
        </w:trPr>
        <w:tc>
          <w:tcPr>
            <w:tcW w:w="573" w:type="pct"/>
            <w:shd w:val="clear" w:color="auto" w:fill="auto"/>
            <w:noWrap/>
            <w:vAlign w:val="center"/>
            <w:hideMark/>
          </w:tcPr>
          <w:p w14:paraId="69C8034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724</w:t>
            </w:r>
          </w:p>
        </w:tc>
        <w:tc>
          <w:tcPr>
            <w:tcW w:w="4427" w:type="pct"/>
            <w:shd w:val="clear" w:color="auto" w:fill="auto"/>
            <w:noWrap/>
            <w:vAlign w:val="center"/>
            <w:hideMark/>
          </w:tcPr>
          <w:p w14:paraId="3932CC14"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base activities</w:t>
            </w:r>
          </w:p>
        </w:tc>
      </w:tr>
      <w:tr w:rsidR="00E311F7" w:rsidRPr="00FA72FB" w14:paraId="23663B67" w14:textId="77777777" w:rsidTr="00FA72FB">
        <w:trPr>
          <w:trHeight w:val="300"/>
        </w:trPr>
        <w:tc>
          <w:tcPr>
            <w:tcW w:w="573" w:type="pct"/>
            <w:shd w:val="clear" w:color="auto" w:fill="auto"/>
            <w:noWrap/>
            <w:vAlign w:val="center"/>
            <w:hideMark/>
          </w:tcPr>
          <w:p w14:paraId="69E50F2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726</w:t>
            </w:r>
          </w:p>
        </w:tc>
        <w:tc>
          <w:tcPr>
            <w:tcW w:w="4427" w:type="pct"/>
            <w:shd w:val="clear" w:color="auto" w:fill="auto"/>
            <w:noWrap/>
            <w:vAlign w:val="center"/>
            <w:hideMark/>
          </w:tcPr>
          <w:p w14:paraId="138373AF"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computer related activities</w:t>
            </w:r>
          </w:p>
        </w:tc>
      </w:tr>
      <w:tr w:rsidR="00E311F7" w:rsidRPr="00FA72FB" w14:paraId="584280F5" w14:textId="77777777" w:rsidTr="00FA72FB">
        <w:trPr>
          <w:trHeight w:val="300"/>
        </w:trPr>
        <w:tc>
          <w:tcPr>
            <w:tcW w:w="573" w:type="pct"/>
            <w:shd w:val="clear" w:color="auto" w:fill="auto"/>
            <w:noWrap/>
            <w:vAlign w:val="center"/>
            <w:hideMark/>
          </w:tcPr>
          <w:p w14:paraId="2401B63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723</w:t>
            </w:r>
          </w:p>
        </w:tc>
        <w:tc>
          <w:tcPr>
            <w:tcW w:w="4427" w:type="pct"/>
            <w:shd w:val="clear" w:color="auto" w:fill="auto"/>
            <w:noWrap/>
            <w:vAlign w:val="center"/>
            <w:hideMark/>
          </w:tcPr>
          <w:p w14:paraId="70B8F12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processing</w:t>
            </w:r>
          </w:p>
        </w:tc>
      </w:tr>
      <w:tr w:rsidR="00E311F7" w:rsidRPr="00FA72FB" w14:paraId="710E65E5" w14:textId="77777777" w:rsidTr="00FA72FB">
        <w:trPr>
          <w:trHeight w:val="300"/>
        </w:trPr>
        <w:tc>
          <w:tcPr>
            <w:tcW w:w="573" w:type="pct"/>
            <w:shd w:val="clear" w:color="auto" w:fill="auto"/>
            <w:noWrap/>
            <w:vAlign w:val="center"/>
            <w:hideMark/>
          </w:tcPr>
          <w:p w14:paraId="0A5A1DB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724</w:t>
            </w:r>
          </w:p>
        </w:tc>
        <w:tc>
          <w:tcPr>
            <w:tcW w:w="4427" w:type="pct"/>
            <w:shd w:val="clear" w:color="auto" w:fill="auto"/>
            <w:noWrap/>
            <w:vAlign w:val="center"/>
            <w:hideMark/>
          </w:tcPr>
          <w:p w14:paraId="3E3369E6"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base activities</w:t>
            </w:r>
          </w:p>
        </w:tc>
      </w:tr>
      <w:tr w:rsidR="00E311F7" w:rsidRPr="00FA72FB" w14:paraId="610E2FC4" w14:textId="77777777" w:rsidTr="00FA72FB">
        <w:trPr>
          <w:trHeight w:val="300"/>
        </w:trPr>
        <w:tc>
          <w:tcPr>
            <w:tcW w:w="573" w:type="pct"/>
            <w:shd w:val="clear" w:color="auto" w:fill="auto"/>
            <w:noWrap/>
            <w:vAlign w:val="center"/>
            <w:hideMark/>
          </w:tcPr>
          <w:p w14:paraId="5068017E"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410E2FF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5F0ADCDF" w14:textId="77777777" w:rsidTr="00FA72FB">
        <w:trPr>
          <w:trHeight w:val="300"/>
        </w:trPr>
        <w:tc>
          <w:tcPr>
            <w:tcW w:w="573" w:type="pct"/>
            <w:shd w:val="clear" w:color="auto" w:fill="auto"/>
            <w:noWrap/>
            <w:vAlign w:val="center"/>
            <w:hideMark/>
          </w:tcPr>
          <w:p w14:paraId="784B654A"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924</w:t>
            </w:r>
          </w:p>
        </w:tc>
        <w:tc>
          <w:tcPr>
            <w:tcW w:w="4427" w:type="pct"/>
            <w:shd w:val="clear" w:color="auto" w:fill="auto"/>
            <w:noWrap/>
            <w:vAlign w:val="center"/>
            <w:hideMark/>
          </w:tcPr>
          <w:p w14:paraId="7F79C815"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News agency activities</w:t>
            </w:r>
          </w:p>
        </w:tc>
      </w:tr>
      <w:tr w:rsidR="00E311F7" w:rsidRPr="00FA72FB" w14:paraId="5740BA37" w14:textId="77777777" w:rsidTr="00FA72FB">
        <w:trPr>
          <w:trHeight w:val="300"/>
        </w:trPr>
        <w:tc>
          <w:tcPr>
            <w:tcW w:w="573" w:type="pct"/>
            <w:shd w:val="clear" w:color="auto" w:fill="auto"/>
            <w:noWrap/>
            <w:vAlign w:val="center"/>
            <w:hideMark/>
          </w:tcPr>
          <w:p w14:paraId="3EC83BA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651</w:t>
            </w:r>
          </w:p>
        </w:tc>
        <w:tc>
          <w:tcPr>
            <w:tcW w:w="4427" w:type="pct"/>
            <w:shd w:val="clear" w:color="auto" w:fill="auto"/>
            <w:noWrap/>
            <w:vAlign w:val="center"/>
            <w:hideMark/>
          </w:tcPr>
          <w:p w14:paraId="22A4DA3F"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Monetary intermediation</w:t>
            </w:r>
          </w:p>
        </w:tc>
      </w:tr>
      <w:tr w:rsidR="00E311F7" w:rsidRPr="00FA72FB" w14:paraId="0253C4C3" w14:textId="77777777" w:rsidTr="00FA72FB">
        <w:trPr>
          <w:trHeight w:val="300"/>
        </w:trPr>
        <w:tc>
          <w:tcPr>
            <w:tcW w:w="573" w:type="pct"/>
            <w:shd w:val="clear" w:color="auto" w:fill="auto"/>
            <w:noWrap/>
            <w:vAlign w:val="center"/>
            <w:hideMark/>
          </w:tcPr>
          <w:p w14:paraId="6934B069"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652</w:t>
            </w:r>
          </w:p>
        </w:tc>
        <w:tc>
          <w:tcPr>
            <w:tcW w:w="4427" w:type="pct"/>
            <w:shd w:val="clear" w:color="auto" w:fill="auto"/>
            <w:noWrap/>
            <w:vAlign w:val="center"/>
            <w:hideMark/>
          </w:tcPr>
          <w:p w14:paraId="2560A395"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financial intermediation</w:t>
            </w:r>
          </w:p>
        </w:tc>
      </w:tr>
      <w:tr w:rsidR="00E311F7" w:rsidRPr="00FA72FB" w14:paraId="785E6AED" w14:textId="77777777" w:rsidTr="00FA72FB">
        <w:trPr>
          <w:trHeight w:val="300"/>
        </w:trPr>
        <w:tc>
          <w:tcPr>
            <w:tcW w:w="573" w:type="pct"/>
            <w:shd w:val="clear" w:color="auto" w:fill="auto"/>
            <w:noWrap/>
            <w:vAlign w:val="center"/>
            <w:hideMark/>
          </w:tcPr>
          <w:p w14:paraId="62B00FE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175F116D" w14:textId="2742145A"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 xml:space="preserve">Legal, accounting, book-keeping and auditing activities; tax consultancy; market research and public </w:t>
            </w:r>
            <w:r w:rsidRPr="00FA72FB">
              <w:rPr>
                <w:rFonts w:cs="Arial"/>
                <w:sz w:val="18"/>
                <w:szCs w:val="18"/>
                <w:lang w:eastAsia="en-GB"/>
              </w:rPr>
              <w:lastRenderedPageBreak/>
              <w:t xml:space="preserve">opinion polling; business and </w:t>
            </w:r>
            <w:r w:rsidR="002D3798" w:rsidRPr="00FA72FB">
              <w:rPr>
                <w:rFonts w:cs="Arial"/>
                <w:sz w:val="18"/>
                <w:szCs w:val="18"/>
                <w:lang w:eastAsia="en-GB"/>
              </w:rPr>
              <w:t>management</w:t>
            </w:r>
            <w:r w:rsidRPr="00FA72FB">
              <w:rPr>
                <w:rFonts w:cs="Arial"/>
                <w:sz w:val="18"/>
                <w:szCs w:val="18"/>
                <w:lang w:eastAsia="en-GB"/>
              </w:rPr>
              <w:t xml:space="preserve"> consultancy; holdings</w:t>
            </w:r>
          </w:p>
        </w:tc>
      </w:tr>
      <w:tr w:rsidR="00E311F7" w:rsidRPr="00FA72FB" w14:paraId="6A94B5FA" w14:textId="77777777" w:rsidTr="00FA72FB">
        <w:trPr>
          <w:trHeight w:val="300"/>
        </w:trPr>
        <w:tc>
          <w:tcPr>
            <w:tcW w:w="573" w:type="pct"/>
            <w:shd w:val="clear" w:color="auto" w:fill="auto"/>
            <w:noWrap/>
            <w:vAlign w:val="center"/>
            <w:hideMark/>
          </w:tcPr>
          <w:p w14:paraId="59390327"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lastRenderedPageBreak/>
              <w:t>652</w:t>
            </w:r>
          </w:p>
        </w:tc>
        <w:tc>
          <w:tcPr>
            <w:tcW w:w="4427" w:type="pct"/>
            <w:shd w:val="clear" w:color="auto" w:fill="auto"/>
            <w:noWrap/>
            <w:vAlign w:val="center"/>
            <w:hideMark/>
          </w:tcPr>
          <w:p w14:paraId="7B3ACF26"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financial intermediation</w:t>
            </w:r>
          </w:p>
        </w:tc>
      </w:tr>
      <w:tr w:rsidR="00E311F7" w:rsidRPr="00FA72FB" w14:paraId="0D002607" w14:textId="77777777" w:rsidTr="00FA72FB">
        <w:trPr>
          <w:trHeight w:val="300"/>
        </w:trPr>
        <w:tc>
          <w:tcPr>
            <w:tcW w:w="573" w:type="pct"/>
            <w:shd w:val="clear" w:color="auto" w:fill="auto"/>
            <w:noWrap/>
            <w:vAlign w:val="center"/>
            <w:hideMark/>
          </w:tcPr>
          <w:p w14:paraId="66161627"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652</w:t>
            </w:r>
          </w:p>
        </w:tc>
        <w:tc>
          <w:tcPr>
            <w:tcW w:w="4427" w:type="pct"/>
            <w:shd w:val="clear" w:color="auto" w:fill="auto"/>
            <w:noWrap/>
            <w:vAlign w:val="center"/>
            <w:hideMark/>
          </w:tcPr>
          <w:p w14:paraId="785CCA4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financial intermediation</w:t>
            </w:r>
          </w:p>
        </w:tc>
      </w:tr>
      <w:tr w:rsidR="00E311F7" w:rsidRPr="00FA72FB" w14:paraId="36786D39" w14:textId="77777777" w:rsidTr="00FA72FB">
        <w:trPr>
          <w:trHeight w:val="300"/>
        </w:trPr>
        <w:tc>
          <w:tcPr>
            <w:tcW w:w="573" w:type="pct"/>
            <w:shd w:val="clear" w:color="auto" w:fill="auto"/>
            <w:noWrap/>
            <w:vAlign w:val="center"/>
            <w:hideMark/>
          </w:tcPr>
          <w:p w14:paraId="59BF967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660</w:t>
            </w:r>
          </w:p>
        </w:tc>
        <w:tc>
          <w:tcPr>
            <w:tcW w:w="4427" w:type="pct"/>
            <w:shd w:val="clear" w:color="auto" w:fill="auto"/>
            <w:noWrap/>
            <w:vAlign w:val="center"/>
            <w:hideMark/>
          </w:tcPr>
          <w:p w14:paraId="25FCF8E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Insurance and pension funding, except compulsory social security</w:t>
            </w:r>
          </w:p>
        </w:tc>
      </w:tr>
      <w:tr w:rsidR="00E311F7" w:rsidRPr="00FA72FB" w14:paraId="5516DB02" w14:textId="77777777" w:rsidTr="00FA72FB">
        <w:trPr>
          <w:trHeight w:val="300"/>
        </w:trPr>
        <w:tc>
          <w:tcPr>
            <w:tcW w:w="573" w:type="pct"/>
            <w:shd w:val="clear" w:color="auto" w:fill="auto"/>
            <w:noWrap/>
            <w:vAlign w:val="center"/>
            <w:hideMark/>
          </w:tcPr>
          <w:p w14:paraId="4502E44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660</w:t>
            </w:r>
          </w:p>
        </w:tc>
        <w:tc>
          <w:tcPr>
            <w:tcW w:w="4427" w:type="pct"/>
            <w:shd w:val="clear" w:color="auto" w:fill="auto"/>
            <w:noWrap/>
            <w:vAlign w:val="center"/>
            <w:hideMark/>
          </w:tcPr>
          <w:p w14:paraId="1AFD011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Insurance and pension funding, except compulsory social security</w:t>
            </w:r>
          </w:p>
        </w:tc>
      </w:tr>
      <w:tr w:rsidR="00E311F7" w:rsidRPr="00FA72FB" w14:paraId="6A0A2596" w14:textId="77777777" w:rsidTr="00FA72FB">
        <w:trPr>
          <w:trHeight w:val="300"/>
        </w:trPr>
        <w:tc>
          <w:tcPr>
            <w:tcW w:w="573" w:type="pct"/>
            <w:shd w:val="clear" w:color="auto" w:fill="auto"/>
            <w:noWrap/>
            <w:vAlign w:val="center"/>
            <w:hideMark/>
          </w:tcPr>
          <w:p w14:paraId="68DCAEF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660</w:t>
            </w:r>
          </w:p>
        </w:tc>
        <w:tc>
          <w:tcPr>
            <w:tcW w:w="4427" w:type="pct"/>
            <w:shd w:val="clear" w:color="auto" w:fill="auto"/>
            <w:noWrap/>
            <w:vAlign w:val="center"/>
            <w:hideMark/>
          </w:tcPr>
          <w:p w14:paraId="753158BA"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Insurance and pension funding, except compulsory social security</w:t>
            </w:r>
          </w:p>
        </w:tc>
      </w:tr>
      <w:tr w:rsidR="00E311F7" w:rsidRPr="00FA72FB" w14:paraId="7D9D6CD7" w14:textId="77777777" w:rsidTr="00FA72FB">
        <w:trPr>
          <w:trHeight w:val="300"/>
        </w:trPr>
        <w:tc>
          <w:tcPr>
            <w:tcW w:w="573" w:type="pct"/>
            <w:shd w:val="clear" w:color="auto" w:fill="auto"/>
            <w:noWrap/>
            <w:vAlign w:val="center"/>
            <w:hideMark/>
          </w:tcPr>
          <w:p w14:paraId="2250DD63"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671</w:t>
            </w:r>
          </w:p>
        </w:tc>
        <w:tc>
          <w:tcPr>
            <w:tcW w:w="4427" w:type="pct"/>
            <w:shd w:val="clear" w:color="auto" w:fill="auto"/>
            <w:noWrap/>
            <w:vAlign w:val="center"/>
            <w:hideMark/>
          </w:tcPr>
          <w:p w14:paraId="1349D60A"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Activities auxiliary to financial intermediation, except insurance and pension funding</w:t>
            </w:r>
          </w:p>
        </w:tc>
      </w:tr>
      <w:tr w:rsidR="00E311F7" w:rsidRPr="00FA72FB" w14:paraId="33E086F8" w14:textId="77777777" w:rsidTr="00FA72FB">
        <w:trPr>
          <w:trHeight w:val="300"/>
        </w:trPr>
        <w:tc>
          <w:tcPr>
            <w:tcW w:w="573" w:type="pct"/>
            <w:shd w:val="clear" w:color="auto" w:fill="auto"/>
            <w:noWrap/>
            <w:vAlign w:val="center"/>
            <w:hideMark/>
          </w:tcPr>
          <w:p w14:paraId="1B657BBA"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672</w:t>
            </w:r>
          </w:p>
        </w:tc>
        <w:tc>
          <w:tcPr>
            <w:tcW w:w="4427" w:type="pct"/>
            <w:shd w:val="clear" w:color="auto" w:fill="auto"/>
            <w:noWrap/>
            <w:vAlign w:val="center"/>
            <w:hideMark/>
          </w:tcPr>
          <w:p w14:paraId="1F485FB8"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Activities auxiliary to insurance and pension funding</w:t>
            </w:r>
          </w:p>
        </w:tc>
      </w:tr>
      <w:tr w:rsidR="00E311F7" w:rsidRPr="00FA72FB" w14:paraId="305918DC" w14:textId="77777777" w:rsidTr="00FA72FB">
        <w:trPr>
          <w:trHeight w:val="300"/>
        </w:trPr>
        <w:tc>
          <w:tcPr>
            <w:tcW w:w="573" w:type="pct"/>
            <w:shd w:val="clear" w:color="auto" w:fill="auto"/>
            <w:noWrap/>
            <w:vAlign w:val="center"/>
            <w:hideMark/>
          </w:tcPr>
          <w:p w14:paraId="47A6B11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671</w:t>
            </w:r>
          </w:p>
        </w:tc>
        <w:tc>
          <w:tcPr>
            <w:tcW w:w="4427" w:type="pct"/>
            <w:shd w:val="clear" w:color="auto" w:fill="auto"/>
            <w:noWrap/>
            <w:vAlign w:val="center"/>
            <w:hideMark/>
          </w:tcPr>
          <w:p w14:paraId="60E550E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Activities auxiliary to financial intermediation, except insurance and pension funding</w:t>
            </w:r>
          </w:p>
        </w:tc>
      </w:tr>
      <w:tr w:rsidR="00E311F7" w:rsidRPr="00FA72FB" w14:paraId="6E6416C7" w14:textId="77777777" w:rsidTr="00FA72FB">
        <w:trPr>
          <w:trHeight w:val="300"/>
        </w:trPr>
        <w:tc>
          <w:tcPr>
            <w:tcW w:w="573" w:type="pct"/>
            <w:shd w:val="clear" w:color="auto" w:fill="auto"/>
            <w:noWrap/>
            <w:vAlign w:val="center"/>
            <w:hideMark/>
          </w:tcPr>
          <w:p w14:paraId="651B73F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693C5525" w14:textId="2D137D64"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 xml:space="preserve">Legal, accounting, book-keeping and auditing activities; tax consultancy; market research and public opinion polling; business and </w:t>
            </w:r>
            <w:r w:rsidR="002D3798" w:rsidRPr="00FA72FB">
              <w:rPr>
                <w:rFonts w:cs="Arial"/>
                <w:sz w:val="18"/>
                <w:szCs w:val="18"/>
                <w:lang w:eastAsia="en-GB"/>
              </w:rPr>
              <w:t>management</w:t>
            </w:r>
            <w:r w:rsidRPr="00FA72FB">
              <w:rPr>
                <w:rFonts w:cs="Arial"/>
                <w:sz w:val="18"/>
                <w:szCs w:val="18"/>
                <w:lang w:eastAsia="en-GB"/>
              </w:rPr>
              <w:t xml:space="preserve"> consultancy; holdings</w:t>
            </w:r>
          </w:p>
        </w:tc>
      </w:tr>
      <w:tr w:rsidR="00E311F7" w:rsidRPr="00FA72FB" w14:paraId="51451F20" w14:textId="77777777" w:rsidTr="00FA72FB">
        <w:trPr>
          <w:trHeight w:val="300"/>
        </w:trPr>
        <w:tc>
          <w:tcPr>
            <w:tcW w:w="573" w:type="pct"/>
            <w:shd w:val="clear" w:color="auto" w:fill="auto"/>
            <w:noWrap/>
            <w:vAlign w:val="center"/>
            <w:hideMark/>
          </w:tcPr>
          <w:p w14:paraId="10CAB8F9"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4C26D27E" w14:textId="5FBE1DBF"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 xml:space="preserve">Legal, accounting, book-keeping and auditing activities; tax consultancy; market research and public opinion polling; business and </w:t>
            </w:r>
            <w:r w:rsidR="002D3798" w:rsidRPr="00FA72FB">
              <w:rPr>
                <w:rFonts w:cs="Arial"/>
                <w:sz w:val="18"/>
                <w:szCs w:val="18"/>
                <w:lang w:eastAsia="en-GB"/>
              </w:rPr>
              <w:t>management</w:t>
            </w:r>
            <w:r w:rsidRPr="00FA72FB">
              <w:rPr>
                <w:rFonts w:cs="Arial"/>
                <w:sz w:val="18"/>
                <w:szCs w:val="18"/>
                <w:lang w:eastAsia="en-GB"/>
              </w:rPr>
              <w:t xml:space="preserve"> consultancy; holdings</w:t>
            </w:r>
          </w:p>
        </w:tc>
      </w:tr>
      <w:tr w:rsidR="00E311F7" w:rsidRPr="00FA72FB" w14:paraId="470B57E8" w14:textId="77777777" w:rsidTr="00FA72FB">
        <w:trPr>
          <w:trHeight w:val="300"/>
        </w:trPr>
        <w:tc>
          <w:tcPr>
            <w:tcW w:w="573" w:type="pct"/>
            <w:shd w:val="clear" w:color="auto" w:fill="auto"/>
            <w:noWrap/>
            <w:vAlign w:val="center"/>
            <w:hideMark/>
          </w:tcPr>
          <w:p w14:paraId="63C7DCC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056D8315" w14:textId="1B881FFA"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 xml:space="preserve">Legal, accounting, book-keeping and auditing activities; tax consultancy; market research and public opinion polling; business and </w:t>
            </w:r>
            <w:r w:rsidR="002D3798" w:rsidRPr="00FA72FB">
              <w:rPr>
                <w:rFonts w:cs="Arial"/>
                <w:sz w:val="18"/>
                <w:szCs w:val="18"/>
                <w:lang w:eastAsia="en-GB"/>
              </w:rPr>
              <w:t>management</w:t>
            </w:r>
            <w:r w:rsidRPr="00FA72FB">
              <w:rPr>
                <w:rFonts w:cs="Arial"/>
                <w:sz w:val="18"/>
                <w:szCs w:val="18"/>
                <w:lang w:eastAsia="en-GB"/>
              </w:rPr>
              <w:t xml:space="preserve"> consultancy; holdings</w:t>
            </w:r>
          </w:p>
        </w:tc>
      </w:tr>
      <w:tr w:rsidR="00E311F7" w:rsidRPr="00FA72FB" w14:paraId="7FF17C73" w14:textId="77777777" w:rsidTr="00FA72FB">
        <w:trPr>
          <w:trHeight w:val="300"/>
        </w:trPr>
        <w:tc>
          <w:tcPr>
            <w:tcW w:w="573" w:type="pct"/>
            <w:shd w:val="clear" w:color="auto" w:fill="auto"/>
            <w:noWrap/>
            <w:vAlign w:val="center"/>
            <w:hideMark/>
          </w:tcPr>
          <w:p w14:paraId="19382AB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1ACC44C4" w14:textId="503F6966"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 xml:space="preserve">Legal, accounting, book-keeping and auditing activities; tax consultancy; market research and public opinion polling; business and </w:t>
            </w:r>
            <w:r w:rsidR="002D3798" w:rsidRPr="00FA72FB">
              <w:rPr>
                <w:rFonts w:cs="Arial"/>
                <w:sz w:val="18"/>
                <w:szCs w:val="18"/>
                <w:lang w:eastAsia="en-GB"/>
              </w:rPr>
              <w:t>management</w:t>
            </w:r>
            <w:r w:rsidRPr="00FA72FB">
              <w:rPr>
                <w:rFonts w:cs="Arial"/>
                <w:sz w:val="18"/>
                <w:szCs w:val="18"/>
                <w:lang w:eastAsia="en-GB"/>
              </w:rPr>
              <w:t xml:space="preserve"> consultancy; holdings</w:t>
            </w:r>
          </w:p>
        </w:tc>
      </w:tr>
      <w:tr w:rsidR="00E311F7" w:rsidRPr="00FA72FB" w14:paraId="56DB52F4" w14:textId="77777777" w:rsidTr="00FA72FB">
        <w:trPr>
          <w:trHeight w:val="300"/>
        </w:trPr>
        <w:tc>
          <w:tcPr>
            <w:tcW w:w="573" w:type="pct"/>
            <w:shd w:val="clear" w:color="auto" w:fill="auto"/>
            <w:noWrap/>
            <w:vAlign w:val="center"/>
            <w:hideMark/>
          </w:tcPr>
          <w:p w14:paraId="6E40538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742</w:t>
            </w:r>
          </w:p>
        </w:tc>
        <w:tc>
          <w:tcPr>
            <w:tcW w:w="4427" w:type="pct"/>
            <w:shd w:val="clear" w:color="auto" w:fill="auto"/>
            <w:noWrap/>
            <w:vAlign w:val="center"/>
            <w:hideMark/>
          </w:tcPr>
          <w:p w14:paraId="34D0E604"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Architectural and engineering activities and related technical consultancy</w:t>
            </w:r>
          </w:p>
        </w:tc>
      </w:tr>
      <w:tr w:rsidR="00E311F7" w:rsidRPr="00FA72FB" w14:paraId="448B5303" w14:textId="77777777" w:rsidTr="00FA72FB">
        <w:trPr>
          <w:trHeight w:val="300"/>
        </w:trPr>
        <w:tc>
          <w:tcPr>
            <w:tcW w:w="573" w:type="pct"/>
            <w:shd w:val="clear" w:color="auto" w:fill="auto"/>
            <w:noWrap/>
            <w:vAlign w:val="center"/>
            <w:hideMark/>
          </w:tcPr>
          <w:p w14:paraId="370A4F2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743</w:t>
            </w:r>
          </w:p>
        </w:tc>
        <w:tc>
          <w:tcPr>
            <w:tcW w:w="4427" w:type="pct"/>
            <w:shd w:val="clear" w:color="auto" w:fill="auto"/>
            <w:noWrap/>
            <w:vAlign w:val="center"/>
            <w:hideMark/>
          </w:tcPr>
          <w:p w14:paraId="218B7651"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Technical testing and analysis</w:t>
            </w:r>
          </w:p>
        </w:tc>
      </w:tr>
      <w:tr w:rsidR="00E311F7" w:rsidRPr="00FA72FB" w14:paraId="74FF7C2B" w14:textId="77777777" w:rsidTr="00FA72FB">
        <w:trPr>
          <w:trHeight w:val="300"/>
        </w:trPr>
        <w:tc>
          <w:tcPr>
            <w:tcW w:w="573" w:type="pct"/>
            <w:shd w:val="clear" w:color="auto" w:fill="auto"/>
            <w:noWrap/>
            <w:vAlign w:val="center"/>
            <w:hideMark/>
          </w:tcPr>
          <w:p w14:paraId="2FFC6E03"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731</w:t>
            </w:r>
          </w:p>
        </w:tc>
        <w:tc>
          <w:tcPr>
            <w:tcW w:w="4427" w:type="pct"/>
            <w:shd w:val="clear" w:color="auto" w:fill="auto"/>
            <w:noWrap/>
            <w:vAlign w:val="center"/>
            <w:hideMark/>
          </w:tcPr>
          <w:p w14:paraId="02152D5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Research and experimental development on natural sciences and engineering</w:t>
            </w:r>
          </w:p>
        </w:tc>
      </w:tr>
      <w:tr w:rsidR="00E311F7" w:rsidRPr="00FA72FB" w14:paraId="41D05204" w14:textId="77777777" w:rsidTr="00FA72FB">
        <w:trPr>
          <w:trHeight w:val="300"/>
        </w:trPr>
        <w:tc>
          <w:tcPr>
            <w:tcW w:w="573" w:type="pct"/>
            <w:shd w:val="clear" w:color="auto" w:fill="auto"/>
            <w:noWrap/>
            <w:vAlign w:val="center"/>
            <w:hideMark/>
          </w:tcPr>
          <w:p w14:paraId="084B65B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731</w:t>
            </w:r>
          </w:p>
        </w:tc>
        <w:tc>
          <w:tcPr>
            <w:tcW w:w="4427" w:type="pct"/>
            <w:shd w:val="clear" w:color="auto" w:fill="auto"/>
            <w:noWrap/>
            <w:vAlign w:val="center"/>
            <w:hideMark/>
          </w:tcPr>
          <w:p w14:paraId="4F8AB2F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Research and experimental development on natural sciences and engineering</w:t>
            </w:r>
          </w:p>
        </w:tc>
      </w:tr>
      <w:tr w:rsidR="00E311F7" w:rsidRPr="00FA72FB" w14:paraId="7210FAAF" w14:textId="77777777" w:rsidTr="00FA72FB">
        <w:trPr>
          <w:trHeight w:val="300"/>
        </w:trPr>
        <w:tc>
          <w:tcPr>
            <w:tcW w:w="573" w:type="pct"/>
            <w:shd w:val="clear" w:color="auto" w:fill="auto"/>
            <w:noWrap/>
            <w:vAlign w:val="center"/>
            <w:hideMark/>
          </w:tcPr>
          <w:p w14:paraId="6FE72C95"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732</w:t>
            </w:r>
          </w:p>
        </w:tc>
        <w:tc>
          <w:tcPr>
            <w:tcW w:w="4427" w:type="pct"/>
            <w:shd w:val="clear" w:color="auto" w:fill="auto"/>
            <w:noWrap/>
            <w:vAlign w:val="center"/>
            <w:hideMark/>
          </w:tcPr>
          <w:p w14:paraId="12A634C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Research and experimental development on social sciences and humanities</w:t>
            </w:r>
          </w:p>
        </w:tc>
      </w:tr>
      <w:tr w:rsidR="00E311F7" w:rsidRPr="00FA72FB" w14:paraId="1633611E" w14:textId="77777777" w:rsidTr="00FA72FB">
        <w:trPr>
          <w:trHeight w:val="300"/>
        </w:trPr>
        <w:tc>
          <w:tcPr>
            <w:tcW w:w="573" w:type="pct"/>
            <w:shd w:val="clear" w:color="auto" w:fill="auto"/>
            <w:noWrap/>
            <w:vAlign w:val="center"/>
            <w:hideMark/>
          </w:tcPr>
          <w:p w14:paraId="106E0BB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744</w:t>
            </w:r>
          </w:p>
        </w:tc>
        <w:tc>
          <w:tcPr>
            <w:tcW w:w="4427" w:type="pct"/>
            <w:shd w:val="clear" w:color="auto" w:fill="auto"/>
            <w:noWrap/>
            <w:vAlign w:val="center"/>
            <w:hideMark/>
          </w:tcPr>
          <w:p w14:paraId="68C3C33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Advertising</w:t>
            </w:r>
          </w:p>
        </w:tc>
      </w:tr>
      <w:tr w:rsidR="00E311F7" w:rsidRPr="00FA72FB" w14:paraId="14BF404B" w14:textId="77777777" w:rsidTr="00FA72FB">
        <w:trPr>
          <w:trHeight w:val="300"/>
        </w:trPr>
        <w:tc>
          <w:tcPr>
            <w:tcW w:w="573" w:type="pct"/>
            <w:shd w:val="clear" w:color="auto" w:fill="auto"/>
            <w:noWrap/>
            <w:vAlign w:val="center"/>
            <w:hideMark/>
          </w:tcPr>
          <w:p w14:paraId="4C2188B3"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3D861BD6" w14:textId="2BBB5502"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 xml:space="preserve">Legal, accounting, book-keeping and auditing activities; tax consultancy; market research and public opinion polling; business and </w:t>
            </w:r>
            <w:r w:rsidR="002D3798" w:rsidRPr="00FA72FB">
              <w:rPr>
                <w:rFonts w:cs="Arial"/>
                <w:sz w:val="18"/>
                <w:szCs w:val="18"/>
                <w:lang w:eastAsia="en-GB"/>
              </w:rPr>
              <w:t>management</w:t>
            </w:r>
            <w:r w:rsidRPr="00FA72FB">
              <w:rPr>
                <w:rFonts w:cs="Arial"/>
                <w:sz w:val="18"/>
                <w:szCs w:val="18"/>
                <w:lang w:eastAsia="en-GB"/>
              </w:rPr>
              <w:t xml:space="preserve"> consultancy; holdings</w:t>
            </w:r>
          </w:p>
        </w:tc>
      </w:tr>
      <w:tr w:rsidR="00E311F7" w:rsidRPr="00FA72FB" w14:paraId="017A0EAA" w14:textId="77777777" w:rsidTr="00FA72FB">
        <w:trPr>
          <w:trHeight w:val="300"/>
        </w:trPr>
        <w:tc>
          <w:tcPr>
            <w:tcW w:w="573" w:type="pct"/>
            <w:shd w:val="clear" w:color="auto" w:fill="auto"/>
            <w:noWrap/>
            <w:vAlign w:val="center"/>
            <w:hideMark/>
          </w:tcPr>
          <w:p w14:paraId="0812377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3DE6AF3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5EB87B7B" w14:textId="77777777" w:rsidTr="00FA72FB">
        <w:trPr>
          <w:trHeight w:val="300"/>
        </w:trPr>
        <w:tc>
          <w:tcPr>
            <w:tcW w:w="573" w:type="pct"/>
            <w:shd w:val="clear" w:color="auto" w:fill="auto"/>
            <w:noWrap/>
            <w:vAlign w:val="center"/>
            <w:hideMark/>
          </w:tcPr>
          <w:p w14:paraId="42914A9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5AE6D9C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2B7A6913" w14:textId="77777777" w:rsidTr="00FA72FB">
        <w:trPr>
          <w:trHeight w:val="300"/>
        </w:trPr>
        <w:tc>
          <w:tcPr>
            <w:tcW w:w="573" w:type="pct"/>
            <w:shd w:val="clear" w:color="auto" w:fill="auto"/>
            <w:noWrap/>
            <w:vAlign w:val="center"/>
            <w:hideMark/>
          </w:tcPr>
          <w:p w14:paraId="6665F54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924</w:t>
            </w:r>
          </w:p>
        </w:tc>
        <w:tc>
          <w:tcPr>
            <w:tcW w:w="4427" w:type="pct"/>
            <w:shd w:val="clear" w:color="auto" w:fill="auto"/>
            <w:noWrap/>
            <w:vAlign w:val="center"/>
            <w:hideMark/>
          </w:tcPr>
          <w:p w14:paraId="707F653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News agency activities</w:t>
            </w:r>
          </w:p>
        </w:tc>
      </w:tr>
      <w:tr w:rsidR="00E311F7" w:rsidRPr="00FA72FB" w14:paraId="1E837D12" w14:textId="77777777" w:rsidTr="00FA72FB">
        <w:trPr>
          <w:trHeight w:val="300"/>
        </w:trPr>
        <w:tc>
          <w:tcPr>
            <w:tcW w:w="573" w:type="pct"/>
            <w:shd w:val="clear" w:color="auto" w:fill="auto"/>
            <w:noWrap/>
            <w:vAlign w:val="center"/>
            <w:hideMark/>
          </w:tcPr>
          <w:p w14:paraId="121DD4BF"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1D776ADF"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79AA382B" w14:textId="77777777" w:rsidTr="00FA72FB">
        <w:trPr>
          <w:trHeight w:val="300"/>
        </w:trPr>
        <w:tc>
          <w:tcPr>
            <w:tcW w:w="573" w:type="pct"/>
            <w:shd w:val="clear" w:color="auto" w:fill="auto"/>
            <w:noWrap/>
            <w:vAlign w:val="center"/>
            <w:hideMark/>
          </w:tcPr>
          <w:p w14:paraId="3561DB0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061B8970" w14:textId="4CB8F73B"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 xml:space="preserve">Legal, accounting, book-keeping and auditing activities; tax consultancy; market research and public opinion polling; business and </w:t>
            </w:r>
            <w:r w:rsidR="002D3798" w:rsidRPr="00FA72FB">
              <w:rPr>
                <w:rFonts w:cs="Arial"/>
                <w:sz w:val="18"/>
                <w:szCs w:val="18"/>
                <w:lang w:eastAsia="en-GB"/>
              </w:rPr>
              <w:t>management</w:t>
            </w:r>
            <w:r w:rsidRPr="00FA72FB">
              <w:rPr>
                <w:rFonts w:cs="Arial"/>
                <w:sz w:val="18"/>
                <w:szCs w:val="18"/>
                <w:lang w:eastAsia="en-GB"/>
              </w:rPr>
              <w:t xml:space="preserve"> consultancy; holdings</w:t>
            </w:r>
          </w:p>
        </w:tc>
      </w:tr>
      <w:tr w:rsidR="00E311F7" w:rsidRPr="00FA72FB" w14:paraId="0CBF456D" w14:textId="77777777" w:rsidTr="00FA72FB">
        <w:trPr>
          <w:trHeight w:val="300"/>
        </w:trPr>
        <w:tc>
          <w:tcPr>
            <w:tcW w:w="573" w:type="pct"/>
            <w:shd w:val="clear" w:color="auto" w:fill="auto"/>
            <w:noWrap/>
            <w:vAlign w:val="center"/>
            <w:hideMark/>
          </w:tcPr>
          <w:p w14:paraId="1239C96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742</w:t>
            </w:r>
          </w:p>
        </w:tc>
        <w:tc>
          <w:tcPr>
            <w:tcW w:w="4427" w:type="pct"/>
            <w:shd w:val="clear" w:color="auto" w:fill="auto"/>
            <w:noWrap/>
            <w:vAlign w:val="center"/>
            <w:hideMark/>
          </w:tcPr>
          <w:p w14:paraId="4DEF362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Architectural and engineering activities and related technical consultancy</w:t>
            </w:r>
          </w:p>
        </w:tc>
      </w:tr>
      <w:tr w:rsidR="00E311F7" w:rsidRPr="00FA72FB" w14:paraId="6872C742" w14:textId="77777777" w:rsidTr="00FA72FB">
        <w:trPr>
          <w:trHeight w:val="300"/>
        </w:trPr>
        <w:tc>
          <w:tcPr>
            <w:tcW w:w="573" w:type="pct"/>
            <w:shd w:val="clear" w:color="auto" w:fill="auto"/>
            <w:noWrap/>
            <w:vAlign w:val="center"/>
            <w:hideMark/>
          </w:tcPr>
          <w:p w14:paraId="20D72BD5"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79B95DEC"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6E4C5C52" w14:textId="77777777" w:rsidTr="00FA72FB">
        <w:trPr>
          <w:trHeight w:val="300"/>
        </w:trPr>
        <w:tc>
          <w:tcPr>
            <w:tcW w:w="573" w:type="pct"/>
            <w:shd w:val="clear" w:color="auto" w:fill="auto"/>
            <w:noWrap/>
            <w:vAlign w:val="center"/>
            <w:hideMark/>
          </w:tcPr>
          <w:p w14:paraId="165316AE"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852</w:t>
            </w:r>
          </w:p>
        </w:tc>
        <w:tc>
          <w:tcPr>
            <w:tcW w:w="4427" w:type="pct"/>
            <w:shd w:val="clear" w:color="auto" w:fill="auto"/>
            <w:noWrap/>
            <w:vAlign w:val="center"/>
            <w:hideMark/>
          </w:tcPr>
          <w:p w14:paraId="0C99D3A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Veterinary activities</w:t>
            </w:r>
          </w:p>
        </w:tc>
      </w:tr>
      <w:tr w:rsidR="00E311F7" w:rsidRPr="00FA72FB" w14:paraId="75660E0F" w14:textId="77777777" w:rsidTr="00FA72FB">
        <w:trPr>
          <w:trHeight w:val="300"/>
        </w:trPr>
        <w:tc>
          <w:tcPr>
            <w:tcW w:w="573" w:type="pct"/>
            <w:shd w:val="clear" w:color="auto" w:fill="auto"/>
            <w:noWrap/>
            <w:vAlign w:val="center"/>
            <w:hideMark/>
          </w:tcPr>
          <w:p w14:paraId="027EB87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52777EA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196D6790" w14:textId="77777777" w:rsidTr="00FA72FB">
        <w:trPr>
          <w:trHeight w:val="300"/>
        </w:trPr>
        <w:tc>
          <w:tcPr>
            <w:tcW w:w="573" w:type="pct"/>
            <w:shd w:val="clear" w:color="auto" w:fill="auto"/>
            <w:noWrap/>
            <w:vAlign w:val="center"/>
            <w:hideMark/>
          </w:tcPr>
          <w:p w14:paraId="673644A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745</w:t>
            </w:r>
          </w:p>
        </w:tc>
        <w:tc>
          <w:tcPr>
            <w:tcW w:w="4427" w:type="pct"/>
            <w:shd w:val="clear" w:color="auto" w:fill="auto"/>
            <w:noWrap/>
            <w:vAlign w:val="center"/>
            <w:hideMark/>
          </w:tcPr>
          <w:p w14:paraId="27F436B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Labour recruitment and provision of personnel</w:t>
            </w:r>
          </w:p>
        </w:tc>
      </w:tr>
      <w:tr w:rsidR="00E311F7" w:rsidRPr="00FA72FB" w14:paraId="09987B0F" w14:textId="77777777" w:rsidTr="00FA72FB">
        <w:trPr>
          <w:trHeight w:val="300"/>
        </w:trPr>
        <w:tc>
          <w:tcPr>
            <w:tcW w:w="573" w:type="pct"/>
            <w:shd w:val="clear" w:color="auto" w:fill="auto"/>
            <w:noWrap/>
            <w:vAlign w:val="center"/>
            <w:hideMark/>
          </w:tcPr>
          <w:p w14:paraId="152AC659"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745</w:t>
            </w:r>
          </w:p>
        </w:tc>
        <w:tc>
          <w:tcPr>
            <w:tcW w:w="4427" w:type="pct"/>
            <w:shd w:val="clear" w:color="auto" w:fill="auto"/>
            <w:noWrap/>
            <w:vAlign w:val="center"/>
            <w:hideMark/>
          </w:tcPr>
          <w:p w14:paraId="2507FF4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Labour recruitment and provision of personnel</w:t>
            </w:r>
          </w:p>
        </w:tc>
      </w:tr>
      <w:tr w:rsidR="00E311F7" w:rsidRPr="00FA72FB" w14:paraId="05886702" w14:textId="77777777" w:rsidTr="00FA72FB">
        <w:trPr>
          <w:trHeight w:val="300"/>
        </w:trPr>
        <w:tc>
          <w:tcPr>
            <w:tcW w:w="573" w:type="pct"/>
            <w:shd w:val="clear" w:color="auto" w:fill="auto"/>
            <w:noWrap/>
            <w:vAlign w:val="center"/>
            <w:hideMark/>
          </w:tcPr>
          <w:p w14:paraId="39B5AE7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745</w:t>
            </w:r>
          </w:p>
        </w:tc>
        <w:tc>
          <w:tcPr>
            <w:tcW w:w="4427" w:type="pct"/>
            <w:shd w:val="clear" w:color="auto" w:fill="auto"/>
            <w:noWrap/>
            <w:vAlign w:val="center"/>
            <w:hideMark/>
          </w:tcPr>
          <w:p w14:paraId="09F1DD2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Labour recruitment and provision of personnel</w:t>
            </w:r>
          </w:p>
        </w:tc>
      </w:tr>
      <w:tr w:rsidR="00E311F7" w:rsidRPr="00FA72FB" w14:paraId="156ED7C2" w14:textId="77777777" w:rsidTr="00FA72FB">
        <w:trPr>
          <w:trHeight w:val="300"/>
        </w:trPr>
        <w:tc>
          <w:tcPr>
            <w:tcW w:w="573" w:type="pct"/>
            <w:shd w:val="clear" w:color="auto" w:fill="auto"/>
            <w:noWrap/>
            <w:vAlign w:val="center"/>
            <w:hideMark/>
          </w:tcPr>
          <w:p w14:paraId="5CE47AB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923</w:t>
            </w:r>
          </w:p>
        </w:tc>
        <w:tc>
          <w:tcPr>
            <w:tcW w:w="4427" w:type="pct"/>
            <w:shd w:val="clear" w:color="auto" w:fill="auto"/>
            <w:noWrap/>
            <w:vAlign w:val="center"/>
            <w:hideMark/>
          </w:tcPr>
          <w:p w14:paraId="444480C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entertainment activities</w:t>
            </w:r>
          </w:p>
        </w:tc>
      </w:tr>
      <w:tr w:rsidR="00E311F7" w:rsidRPr="00FA72FB" w14:paraId="5B59EFED" w14:textId="77777777" w:rsidTr="00FA72FB">
        <w:trPr>
          <w:trHeight w:val="300"/>
        </w:trPr>
        <w:tc>
          <w:tcPr>
            <w:tcW w:w="573" w:type="pct"/>
            <w:shd w:val="clear" w:color="auto" w:fill="auto"/>
            <w:noWrap/>
            <w:vAlign w:val="center"/>
            <w:hideMark/>
          </w:tcPr>
          <w:p w14:paraId="5857E05A"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3E46C359"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1AE58F0F" w14:textId="77777777" w:rsidTr="00FA72FB">
        <w:trPr>
          <w:trHeight w:val="300"/>
        </w:trPr>
        <w:tc>
          <w:tcPr>
            <w:tcW w:w="573" w:type="pct"/>
            <w:shd w:val="clear" w:color="auto" w:fill="auto"/>
            <w:noWrap/>
            <w:vAlign w:val="center"/>
            <w:hideMark/>
          </w:tcPr>
          <w:p w14:paraId="24563FB3"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751</w:t>
            </w:r>
          </w:p>
        </w:tc>
        <w:tc>
          <w:tcPr>
            <w:tcW w:w="4427" w:type="pct"/>
            <w:shd w:val="clear" w:color="auto" w:fill="auto"/>
            <w:noWrap/>
            <w:vAlign w:val="center"/>
            <w:hideMark/>
          </w:tcPr>
          <w:p w14:paraId="1BD67F6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Administration of the State and the economic and social policy of the community</w:t>
            </w:r>
          </w:p>
        </w:tc>
      </w:tr>
      <w:tr w:rsidR="00E311F7" w:rsidRPr="00FA72FB" w14:paraId="382AB3E1" w14:textId="77777777" w:rsidTr="00FA72FB">
        <w:trPr>
          <w:trHeight w:val="300"/>
        </w:trPr>
        <w:tc>
          <w:tcPr>
            <w:tcW w:w="573" w:type="pct"/>
            <w:shd w:val="clear" w:color="auto" w:fill="auto"/>
            <w:noWrap/>
            <w:vAlign w:val="center"/>
            <w:hideMark/>
          </w:tcPr>
          <w:p w14:paraId="73ADEFD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72D5F5B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1CB92AAC" w14:textId="77777777" w:rsidTr="00FA72FB">
        <w:trPr>
          <w:trHeight w:val="300"/>
        </w:trPr>
        <w:tc>
          <w:tcPr>
            <w:tcW w:w="573" w:type="pct"/>
            <w:shd w:val="clear" w:color="auto" w:fill="auto"/>
            <w:noWrap/>
            <w:vAlign w:val="center"/>
            <w:hideMark/>
          </w:tcPr>
          <w:p w14:paraId="5943970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1104DA28"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1950A022" w14:textId="77777777" w:rsidTr="00FA72FB">
        <w:trPr>
          <w:trHeight w:val="300"/>
        </w:trPr>
        <w:tc>
          <w:tcPr>
            <w:tcW w:w="573" w:type="pct"/>
            <w:shd w:val="clear" w:color="auto" w:fill="auto"/>
            <w:noWrap/>
            <w:vAlign w:val="center"/>
            <w:hideMark/>
          </w:tcPr>
          <w:p w14:paraId="06A6CDF2"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48377F0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74453BA5" w14:textId="77777777" w:rsidTr="00FA72FB">
        <w:trPr>
          <w:trHeight w:val="300"/>
        </w:trPr>
        <w:tc>
          <w:tcPr>
            <w:tcW w:w="573" w:type="pct"/>
            <w:shd w:val="clear" w:color="auto" w:fill="auto"/>
            <w:noWrap/>
            <w:vAlign w:val="center"/>
            <w:hideMark/>
          </w:tcPr>
          <w:p w14:paraId="451BF99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5D43DDE4"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443C80F3" w14:textId="77777777" w:rsidTr="00FA72FB">
        <w:trPr>
          <w:trHeight w:val="300"/>
        </w:trPr>
        <w:tc>
          <w:tcPr>
            <w:tcW w:w="573" w:type="pct"/>
            <w:shd w:val="clear" w:color="auto" w:fill="auto"/>
            <w:noWrap/>
            <w:vAlign w:val="center"/>
            <w:hideMark/>
          </w:tcPr>
          <w:p w14:paraId="1F0E2B0F"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751</w:t>
            </w:r>
          </w:p>
        </w:tc>
        <w:tc>
          <w:tcPr>
            <w:tcW w:w="4427" w:type="pct"/>
            <w:shd w:val="clear" w:color="auto" w:fill="auto"/>
            <w:noWrap/>
            <w:vAlign w:val="center"/>
            <w:hideMark/>
          </w:tcPr>
          <w:p w14:paraId="7D968EE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Administration of the State and the economic and social policy of the community</w:t>
            </w:r>
          </w:p>
        </w:tc>
      </w:tr>
      <w:tr w:rsidR="00E311F7" w:rsidRPr="00FA72FB" w14:paraId="763102E1" w14:textId="77777777" w:rsidTr="00FA72FB">
        <w:trPr>
          <w:trHeight w:val="300"/>
        </w:trPr>
        <w:tc>
          <w:tcPr>
            <w:tcW w:w="573" w:type="pct"/>
            <w:shd w:val="clear" w:color="auto" w:fill="auto"/>
            <w:noWrap/>
            <w:vAlign w:val="center"/>
            <w:hideMark/>
          </w:tcPr>
          <w:p w14:paraId="602BC9B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lastRenderedPageBreak/>
              <w:t>752</w:t>
            </w:r>
          </w:p>
        </w:tc>
        <w:tc>
          <w:tcPr>
            <w:tcW w:w="4427" w:type="pct"/>
            <w:shd w:val="clear" w:color="auto" w:fill="auto"/>
            <w:noWrap/>
            <w:vAlign w:val="center"/>
            <w:hideMark/>
          </w:tcPr>
          <w:p w14:paraId="0AE71AE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Provision of services to the community as a whole</w:t>
            </w:r>
          </w:p>
        </w:tc>
      </w:tr>
      <w:tr w:rsidR="00E311F7" w:rsidRPr="00FA72FB" w14:paraId="46D35F2B" w14:textId="77777777" w:rsidTr="00FA72FB">
        <w:trPr>
          <w:trHeight w:val="300"/>
        </w:trPr>
        <w:tc>
          <w:tcPr>
            <w:tcW w:w="573" w:type="pct"/>
            <w:shd w:val="clear" w:color="auto" w:fill="auto"/>
            <w:noWrap/>
            <w:vAlign w:val="center"/>
            <w:hideMark/>
          </w:tcPr>
          <w:p w14:paraId="51485E9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801</w:t>
            </w:r>
          </w:p>
        </w:tc>
        <w:tc>
          <w:tcPr>
            <w:tcW w:w="4427" w:type="pct"/>
            <w:shd w:val="clear" w:color="auto" w:fill="auto"/>
            <w:noWrap/>
            <w:vAlign w:val="center"/>
            <w:hideMark/>
          </w:tcPr>
          <w:p w14:paraId="60625DA9"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Primary education</w:t>
            </w:r>
          </w:p>
        </w:tc>
      </w:tr>
      <w:tr w:rsidR="00E311F7" w:rsidRPr="00FA72FB" w14:paraId="3DB95121" w14:textId="77777777" w:rsidTr="00FA72FB">
        <w:trPr>
          <w:trHeight w:val="300"/>
        </w:trPr>
        <w:tc>
          <w:tcPr>
            <w:tcW w:w="573" w:type="pct"/>
            <w:shd w:val="clear" w:color="auto" w:fill="auto"/>
            <w:noWrap/>
            <w:vAlign w:val="center"/>
            <w:hideMark/>
          </w:tcPr>
          <w:p w14:paraId="35F6DA2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801</w:t>
            </w:r>
          </w:p>
        </w:tc>
        <w:tc>
          <w:tcPr>
            <w:tcW w:w="4427" w:type="pct"/>
            <w:shd w:val="clear" w:color="auto" w:fill="auto"/>
            <w:noWrap/>
            <w:vAlign w:val="center"/>
            <w:hideMark/>
          </w:tcPr>
          <w:p w14:paraId="5A1BC25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Primary education</w:t>
            </w:r>
          </w:p>
        </w:tc>
      </w:tr>
      <w:tr w:rsidR="00E311F7" w:rsidRPr="00FA72FB" w14:paraId="102B5D44" w14:textId="77777777" w:rsidTr="00FA72FB">
        <w:trPr>
          <w:trHeight w:val="300"/>
        </w:trPr>
        <w:tc>
          <w:tcPr>
            <w:tcW w:w="573" w:type="pct"/>
            <w:shd w:val="clear" w:color="auto" w:fill="auto"/>
            <w:noWrap/>
            <w:vAlign w:val="center"/>
            <w:hideMark/>
          </w:tcPr>
          <w:p w14:paraId="096A450B"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802</w:t>
            </w:r>
          </w:p>
        </w:tc>
        <w:tc>
          <w:tcPr>
            <w:tcW w:w="4427" w:type="pct"/>
            <w:shd w:val="clear" w:color="auto" w:fill="auto"/>
            <w:noWrap/>
            <w:vAlign w:val="center"/>
            <w:hideMark/>
          </w:tcPr>
          <w:p w14:paraId="4CE7799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Secondary Education</w:t>
            </w:r>
          </w:p>
        </w:tc>
      </w:tr>
      <w:tr w:rsidR="00E311F7" w:rsidRPr="00FA72FB" w14:paraId="2C903D6A" w14:textId="77777777" w:rsidTr="00FA72FB">
        <w:trPr>
          <w:trHeight w:val="300"/>
        </w:trPr>
        <w:tc>
          <w:tcPr>
            <w:tcW w:w="573" w:type="pct"/>
            <w:shd w:val="clear" w:color="auto" w:fill="auto"/>
            <w:noWrap/>
            <w:vAlign w:val="center"/>
            <w:hideMark/>
          </w:tcPr>
          <w:p w14:paraId="6AA5B2C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804</w:t>
            </w:r>
          </w:p>
        </w:tc>
        <w:tc>
          <w:tcPr>
            <w:tcW w:w="4427" w:type="pct"/>
            <w:shd w:val="clear" w:color="auto" w:fill="auto"/>
            <w:noWrap/>
            <w:vAlign w:val="center"/>
            <w:hideMark/>
          </w:tcPr>
          <w:p w14:paraId="71C925A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Adult and other education</w:t>
            </w:r>
          </w:p>
        </w:tc>
      </w:tr>
      <w:tr w:rsidR="00E311F7" w:rsidRPr="00FA72FB" w14:paraId="6EA0C064" w14:textId="77777777" w:rsidTr="00FA72FB">
        <w:trPr>
          <w:trHeight w:val="300"/>
        </w:trPr>
        <w:tc>
          <w:tcPr>
            <w:tcW w:w="573" w:type="pct"/>
            <w:shd w:val="clear" w:color="auto" w:fill="auto"/>
            <w:noWrap/>
            <w:vAlign w:val="center"/>
            <w:hideMark/>
          </w:tcPr>
          <w:p w14:paraId="3490D13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803</w:t>
            </w:r>
          </w:p>
        </w:tc>
        <w:tc>
          <w:tcPr>
            <w:tcW w:w="4427" w:type="pct"/>
            <w:shd w:val="clear" w:color="auto" w:fill="auto"/>
            <w:noWrap/>
            <w:vAlign w:val="center"/>
            <w:hideMark/>
          </w:tcPr>
          <w:p w14:paraId="32B61BC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Higher education</w:t>
            </w:r>
          </w:p>
        </w:tc>
      </w:tr>
      <w:tr w:rsidR="00E311F7" w:rsidRPr="00FA72FB" w14:paraId="0247C39E" w14:textId="77777777" w:rsidTr="00FA72FB">
        <w:trPr>
          <w:trHeight w:val="300"/>
        </w:trPr>
        <w:tc>
          <w:tcPr>
            <w:tcW w:w="573" w:type="pct"/>
            <w:shd w:val="clear" w:color="auto" w:fill="auto"/>
            <w:noWrap/>
            <w:vAlign w:val="center"/>
            <w:hideMark/>
          </w:tcPr>
          <w:p w14:paraId="2801A1C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804</w:t>
            </w:r>
          </w:p>
        </w:tc>
        <w:tc>
          <w:tcPr>
            <w:tcW w:w="4427" w:type="pct"/>
            <w:shd w:val="clear" w:color="auto" w:fill="auto"/>
            <w:noWrap/>
            <w:vAlign w:val="center"/>
            <w:hideMark/>
          </w:tcPr>
          <w:p w14:paraId="61A84D65"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Adult and other education</w:t>
            </w:r>
          </w:p>
        </w:tc>
      </w:tr>
      <w:tr w:rsidR="00E311F7" w:rsidRPr="00FA72FB" w14:paraId="7F27035B" w14:textId="77777777" w:rsidTr="00FA72FB">
        <w:trPr>
          <w:trHeight w:val="300"/>
        </w:trPr>
        <w:tc>
          <w:tcPr>
            <w:tcW w:w="573" w:type="pct"/>
            <w:shd w:val="clear" w:color="auto" w:fill="auto"/>
            <w:noWrap/>
            <w:vAlign w:val="center"/>
            <w:hideMark/>
          </w:tcPr>
          <w:p w14:paraId="1628231F"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923</w:t>
            </w:r>
          </w:p>
        </w:tc>
        <w:tc>
          <w:tcPr>
            <w:tcW w:w="4427" w:type="pct"/>
            <w:shd w:val="clear" w:color="auto" w:fill="auto"/>
            <w:noWrap/>
            <w:vAlign w:val="center"/>
            <w:hideMark/>
          </w:tcPr>
          <w:p w14:paraId="1CD821E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entertainment activities</w:t>
            </w:r>
          </w:p>
        </w:tc>
      </w:tr>
      <w:tr w:rsidR="00E311F7" w:rsidRPr="00FA72FB" w14:paraId="232BE0D3" w14:textId="77777777" w:rsidTr="00FA72FB">
        <w:trPr>
          <w:trHeight w:val="300"/>
        </w:trPr>
        <w:tc>
          <w:tcPr>
            <w:tcW w:w="573" w:type="pct"/>
            <w:shd w:val="clear" w:color="auto" w:fill="auto"/>
            <w:noWrap/>
            <w:vAlign w:val="center"/>
            <w:hideMark/>
          </w:tcPr>
          <w:p w14:paraId="16B8B1B9"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4686BCD4" w14:textId="6EF1738A"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 xml:space="preserve">Legal, accounting, book-keeping and auditing activities; tax consultancy; market research and public opinion polling; business and </w:t>
            </w:r>
            <w:r w:rsidR="002D3798" w:rsidRPr="00FA72FB">
              <w:rPr>
                <w:rFonts w:cs="Arial"/>
                <w:sz w:val="18"/>
                <w:szCs w:val="18"/>
                <w:lang w:eastAsia="en-GB"/>
              </w:rPr>
              <w:t>management</w:t>
            </w:r>
            <w:r w:rsidRPr="00FA72FB">
              <w:rPr>
                <w:rFonts w:cs="Arial"/>
                <w:sz w:val="18"/>
                <w:szCs w:val="18"/>
                <w:lang w:eastAsia="en-GB"/>
              </w:rPr>
              <w:t xml:space="preserve"> consultancy; holdings</w:t>
            </w:r>
          </w:p>
        </w:tc>
      </w:tr>
      <w:tr w:rsidR="00E311F7" w:rsidRPr="00FA72FB" w14:paraId="26DEC4E7" w14:textId="77777777" w:rsidTr="00FA72FB">
        <w:trPr>
          <w:trHeight w:val="300"/>
        </w:trPr>
        <w:tc>
          <w:tcPr>
            <w:tcW w:w="573" w:type="pct"/>
            <w:shd w:val="clear" w:color="auto" w:fill="auto"/>
            <w:noWrap/>
            <w:vAlign w:val="center"/>
            <w:hideMark/>
          </w:tcPr>
          <w:p w14:paraId="655CC88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3385E6F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412E2AEF" w14:textId="77777777" w:rsidTr="00FA72FB">
        <w:trPr>
          <w:trHeight w:val="300"/>
        </w:trPr>
        <w:tc>
          <w:tcPr>
            <w:tcW w:w="573" w:type="pct"/>
            <w:shd w:val="clear" w:color="auto" w:fill="auto"/>
            <w:noWrap/>
            <w:vAlign w:val="center"/>
            <w:hideMark/>
          </w:tcPr>
          <w:p w14:paraId="4B34A93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3E4C478C"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1C4FF396" w14:textId="77777777" w:rsidTr="00FA72FB">
        <w:trPr>
          <w:trHeight w:val="300"/>
        </w:trPr>
        <w:tc>
          <w:tcPr>
            <w:tcW w:w="573" w:type="pct"/>
            <w:shd w:val="clear" w:color="auto" w:fill="auto"/>
            <w:noWrap/>
            <w:vAlign w:val="center"/>
            <w:hideMark/>
          </w:tcPr>
          <w:p w14:paraId="2331F44F"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4E763A3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3B79AAA3" w14:textId="77777777" w:rsidTr="00FA72FB">
        <w:trPr>
          <w:trHeight w:val="300"/>
        </w:trPr>
        <w:tc>
          <w:tcPr>
            <w:tcW w:w="573" w:type="pct"/>
            <w:shd w:val="clear" w:color="auto" w:fill="auto"/>
            <w:noWrap/>
            <w:vAlign w:val="center"/>
            <w:hideMark/>
          </w:tcPr>
          <w:p w14:paraId="42407A9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3EABB611"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760BE795" w14:textId="77777777" w:rsidTr="00FA72FB">
        <w:trPr>
          <w:trHeight w:val="300"/>
        </w:trPr>
        <w:tc>
          <w:tcPr>
            <w:tcW w:w="573" w:type="pct"/>
            <w:shd w:val="clear" w:color="auto" w:fill="auto"/>
            <w:noWrap/>
            <w:vAlign w:val="center"/>
            <w:hideMark/>
          </w:tcPr>
          <w:p w14:paraId="4593F1A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57AB581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79C077C2" w14:textId="77777777" w:rsidTr="00FA72FB">
        <w:trPr>
          <w:trHeight w:val="300"/>
        </w:trPr>
        <w:tc>
          <w:tcPr>
            <w:tcW w:w="573" w:type="pct"/>
            <w:shd w:val="clear" w:color="auto" w:fill="auto"/>
            <w:noWrap/>
            <w:vAlign w:val="center"/>
            <w:hideMark/>
          </w:tcPr>
          <w:p w14:paraId="41C0454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082D877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0F5123EA" w14:textId="77777777" w:rsidTr="00FA72FB">
        <w:trPr>
          <w:trHeight w:val="300"/>
        </w:trPr>
        <w:tc>
          <w:tcPr>
            <w:tcW w:w="573" w:type="pct"/>
            <w:shd w:val="clear" w:color="auto" w:fill="auto"/>
            <w:noWrap/>
            <w:vAlign w:val="center"/>
            <w:hideMark/>
          </w:tcPr>
          <w:p w14:paraId="67BF5492"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923</w:t>
            </w:r>
          </w:p>
        </w:tc>
        <w:tc>
          <w:tcPr>
            <w:tcW w:w="4427" w:type="pct"/>
            <w:shd w:val="clear" w:color="auto" w:fill="auto"/>
            <w:noWrap/>
            <w:vAlign w:val="center"/>
            <w:hideMark/>
          </w:tcPr>
          <w:p w14:paraId="321C521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entertainment activities</w:t>
            </w:r>
          </w:p>
        </w:tc>
      </w:tr>
      <w:tr w:rsidR="00E311F7" w:rsidRPr="00FA72FB" w14:paraId="576A546B" w14:textId="77777777" w:rsidTr="00FA72FB">
        <w:trPr>
          <w:trHeight w:val="300"/>
        </w:trPr>
        <w:tc>
          <w:tcPr>
            <w:tcW w:w="573" w:type="pct"/>
            <w:shd w:val="clear" w:color="auto" w:fill="auto"/>
            <w:noWrap/>
            <w:vAlign w:val="center"/>
            <w:hideMark/>
          </w:tcPr>
          <w:p w14:paraId="36DB70EB"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924</w:t>
            </w:r>
          </w:p>
        </w:tc>
        <w:tc>
          <w:tcPr>
            <w:tcW w:w="4427" w:type="pct"/>
            <w:shd w:val="clear" w:color="auto" w:fill="auto"/>
            <w:noWrap/>
            <w:vAlign w:val="center"/>
            <w:hideMark/>
          </w:tcPr>
          <w:p w14:paraId="1B87C7F5"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News agency activities</w:t>
            </w:r>
          </w:p>
        </w:tc>
      </w:tr>
      <w:tr w:rsidR="00E311F7" w:rsidRPr="00FA72FB" w14:paraId="5D57ED93" w14:textId="77777777" w:rsidTr="00FA72FB">
        <w:trPr>
          <w:trHeight w:val="300"/>
        </w:trPr>
        <w:tc>
          <w:tcPr>
            <w:tcW w:w="573" w:type="pct"/>
            <w:shd w:val="clear" w:color="auto" w:fill="auto"/>
            <w:noWrap/>
            <w:vAlign w:val="center"/>
            <w:hideMark/>
          </w:tcPr>
          <w:p w14:paraId="25357BEB"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751</w:t>
            </w:r>
          </w:p>
        </w:tc>
        <w:tc>
          <w:tcPr>
            <w:tcW w:w="4427" w:type="pct"/>
            <w:shd w:val="clear" w:color="auto" w:fill="auto"/>
            <w:noWrap/>
            <w:vAlign w:val="center"/>
            <w:hideMark/>
          </w:tcPr>
          <w:p w14:paraId="0FDFA131"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Administration of the State and the economic and social policy of the community</w:t>
            </w:r>
          </w:p>
        </w:tc>
      </w:tr>
      <w:tr w:rsidR="00E311F7" w:rsidRPr="00FA72FB" w14:paraId="4AD6A22F" w14:textId="77777777" w:rsidTr="00FA72FB">
        <w:trPr>
          <w:trHeight w:val="300"/>
        </w:trPr>
        <w:tc>
          <w:tcPr>
            <w:tcW w:w="573" w:type="pct"/>
            <w:shd w:val="clear" w:color="auto" w:fill="auto"/>
            <w:noWrap/>
            <w:vAlign w:val="center"/>
            <w:hideMark/>
          </w:tcPr>
          <w:p w14:paraId="1141F5A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925</w:t>
            </w:r>
          </w:p>
        </w:tc>
        <w:tc>
          <w:tcPr>
            <w:tcW w:w="4427" w:type="pct"/>
            <w:shd w:val="clear" w:color="auto" w:fill="auto"/>
            <w:noWrap/>
            <w:vAlign w:val="center"/>
            <w:hideMark/>
          </w:tcPr>
          <w:p w14:paraId="2A7A9616"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Library, archives, museums and other cultural activities</w:t>
            </w:r>
          </w:p>
        </w:tc>
      </w:tr>
      <w:tr w:rsidR="00E311F7" w:rsidRPr="00FA72FB" w14:paraId="70C2670E" w14:textId="77777777" w:rsidTr="00FA72FB">
        <w:trPr>
          <w:trHeight w:val="300"/>
        </w:trPr>
        <w:tc>
          <w:tcPr>
            <w:tcW w:w="573" w:type="pct"/>
            <w:shd w:val="clear" w:color="auto" w:fill="auto"/>
            <w:noWrap/>
            <w:vAlign w:val="center"/>
            <w:hideMark/>
          </w:tcPr>
          <w:p w14:paraId="2718B3C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923</w:t>
            </w:r>
          </w:p>
        </w:tc>
        <w:tc>
          <w:tcPr>
            <w:tcW w:w="4427" w:type="pct"/>
            <w:shd w:val="clear" w:color="auto" w:fill="auto"/>
            <w:noWrap/>
            <w:vAlign w:val="center"/>
            <w:hideMark/>
          </w:tcPr>
          <w:p w14:paraId="79B49BF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entertainment activities</w:t>
            </w:r>
          </w:p>
        </w:tc>
      </w:tr>
    </w:tbl>
    <w:p w14:paraId="6CF885B6" w14:textId="77777777" w:rsidR="00E3489C" w:rsidRPr="009E3760" w:rsidRDefault="00E3489C" w:rsidP="00E3489C"/>
    <w:p w14:paraId="6E7DAEF5" w14:textId="77777777" w:rsidR="00E3489C" w:rsidRDefault="00E3489C" w:rsidP="00E3489C">
      <w:pPr>
        <w:pStyle w:val="Heading3Numbered"/>
        <w:rPr>
          <w:rFonts w:eastAsia="Calibri"/>
        </w:rPr>
      </w:pPr>
      <w:r>
        <w:rPr>
          <w:rFonts w:eastAsia="Calibri"/>
        </w:rPr>
        <w:br w:type="page"/>
      </w:r>
    </w:p>
    <w:p w14:paraId="152E7A40" w14:textId="6D97AABB" w:rsidR="00E3489C" w:rsidRPr="00514EFA" w:rsidRDefault="00E3489C" w:rsidP="00F0636B">
      <w:pPr>
        <w:pStyle w:val="Heading2Numbered"/>
        <w:rPr>
          <w:rFonts w:eastAsia="Calibri"/>
        </w:rPr>
      </w:pPr>
      <w:bookmarkStart w:id="149" w:name="_Toc467569652"/>
      <w:r w:rsidRPr="00514EFA">
        <w:rPr>
          <w:rFonts w:eastAsia="Calibri"/>
        </w:rPr>
        <w:lastRenderedPageBreak/>
        <w:t>Tourism</w:t>
      </w:r>
      <w:bookmarkEnd w:id="149"/>
    </w:p>
    <w:p w14:paraId="3314A8B7" w14:textId="77777777" w:rsidR="00E3489C" w:rsidRDefault="00E3489C" w:rsidP="00E3489C">
      <w:r>
        <w:t>Analysis uses the UN World Tourism Organisation definition, as set out by the ONS Tourism Intelligence Unit</w:t>
      </w:r>
      <w:r>
        <w:rPr>
          <w:rStyle w:val="FootnoteReference"/>
        </w:rPr>
        <w:footnoteReference w:id="8"/>
      </w:r>
      <w:r>
        <w:t>.</w:t>
      </w:r>
    </w:p>
    <w:p w14:paraId="3A99488D" w14:textId="77777777" w:rsidR="00E3489C" w:rsidRPr="009E3760" w:rsidRDefault="00E3489C" w:rsidP="00E3489C"/>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222"/>
      </w:tblGrid>
      <w:tr w:rsidR="00E3489C" w:rsidRPr="00FA72FB" w14:paraId="27FDB397" w14:textId="77777777" w:rsidTr="00FA72FB">
        <w:trPr>
          <w:trHeight w:val="300"/>
          <w:tblHeader/>
        </w:trPr>
        <w:tc>
          <w:tcPr>
            <w:tcW w:w="1149" w:type="dxa"/>
            <w:shd w:val="clear" w:color="auto" w:fill="auto"/>
            <w:noWrap/>
            <w:vAlign w:val="center"/>
            <w:hideMark/>
          </w:tcPr>
          <w:p w14:paraId="25811B6C" w14:textId="77777777" w:rsidR="00E3489C" w:rsidRPr="00FA72FB" w:rsidRDefault="00E3489C" w:rsidP="00FA72FB">
            <w:pPr>
              <w:spacing w:before="20" w:after="20"/>
              <w:ind w:left="0"/>
              <w:jc w:val="center"/>
              <w:rPr>
                <w:rFonts w:cs="Arial"/>
                <w:b/>
                <w:bCs/>
                <w:color w:val="000000"/>
                <w:sz w:val="18"/>
                <w:szCs w:val="18"/>
                <w:lang w:eastAsia="en-GB"/>
              </w:rPr>
            </w:pPr>
            <w:r w:rsidRPr="00FA72FB">
              <w:rPr>
                <w:rFonts w:cs="Arial"/>
                <w:b/>
                <w:bCs/>
                <w:color w:val="000000"/>
                <w:sz w:val="18"/>
                <w:szCs w:val="18"/>
                <w:lang w:eastAsia="en-GB"/>
              </w:rPr>
              <w:t>SIC07</w:t>
            </w:r>
          </w:p>
        </w:tc>
        <w:tc>
          <w:tcPr>
            <w:tcW w:w="8222" w:type="dxa"/>
            <w:shd w:val="clear" w:color="auto" w:fill="auto"/>
            <w:noWrap/>
            <w:vAlign w:val="center"/>
            <w:hideMark/>
          </w:tcPr>
          <w:p w14:paraId="6505BBAC" w14:textId="67C16AD7" w:rsidR="00E3489C" w:rsidRPr="00FA72FB" w:rsidRDefault="00E311F7" w:rsidP="00FA72FB">
            <w:pPr>
              <w:spacing w:before="20" w:after="20"/>
              <w:ind w:left="0"/>
              <w:rPr>
                <w:rFonts w:cs="Arial"/>
                <w:b/>
                <w:bCs/>
                <w:color w:val="000000"/>
                <w:sz w:val="18"/>
                <w:szCs w:val="18"/>
                <w:lang w:eastAsia="en-GB"/>
              </w:rPr>
            </w:pPr>
            <w:r>
              <w:rPr>
                <w:rFonts w:cs="Arial"/>
                <w:b/>
                <w:bCs/>
                <w:color w:val="000000"/>
                <w:sz w:val="18"/>
                <w:szCs w:val="18"/>
                <w:lang w:eastAsia="en-GB"/>
              </w:rPr>
              <w:t>D</w:t>
            </w:r>
            <w:r w:rsidR="00E3489C" w:rsidRPr="00FA72FB">
              <w:rPr>
                <w:rFonts w:cs="Arial"/>
                <w:b/>
                <w:bCs/>
                <w:color w:val="000000"/>
                <w:sz w:val="18"/>
                <w:szCs w:val="18"/>
                <w:lang w:eastAsia="en-GB"/>
              </w:rPr>
              <w:t>escription</w:t>
            </w:r>
          </w:p>
        </w:tc>
      </w:tr>
      <w:tr w:rsidR="00E3489C" w:rsidRPr="00FA72FB" w14:paraId="77CA825B" w14:textId="77777777" w:rsidTr="00FA72FB">
        <w:trPr>
          <w:trHeight w:val="300"/>
        </w:trPr>
        <w:tc>
          <w:tcPr>
            <w:tcW w:w="1149" w:type="dxa"/>
            <w:shd w:val="clear" w:color="auto" w:fill="auto"/>
            <w:noWrap/>
            <w:vAlign w:val="center"/>
            <w:hideMark/>
          </w:tcPr>
          <w:p w14:paraId="4ADF763B"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55100</w:t>
            </w:r>
          </w:p>
        </w:tc>
        <w:tc>
          <w:tcPr>
            <w:tcW w:w="8222" w:type="dxa"/>
            <w:shd w:val="clear" w:color="auto" w:fill="auto"/>
            <w:noWrap/>
            <w:vAlign w:val="center"/>
            <w:hideMark/>
          </w:tcPr>
          <w:p w14:paraId="79C78F1F"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Hotels and similar accommodation</w:t>
            </w:r>
          </w:p>
        </w:tc>
      </w:tr>
      <w:tr w:rsidR="00E3489C" w:rsidRPr="00FA72FB" w14:paraId="6566A1FA" w14:textId="77777777" w:rsidTr="00FA72FB">
        <w:trPr>
          <w:trHeight w:val="300"/>
        </w:trPr>
        <w:tc>
          <w:tcPr>
            <w:tcW w:w="1149" w:type="dxa"/>
            <w:shd w:val="clear" w:color="auto" w:fill="auto"/>
            <w:noWrap/>
            <w:vAlign w:val="center"/>
            <w:hideMark/>
          </w:tcPr>
          <w:p w14:paraId="2EF7E50E"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55202</w:t>
            </w:r>
          </w:p>
        </w:tc>
        <w:tc>
          <w:tcPr>
            <w:tcW w:w="8222" w:type="dxa"/>
            <w:shd w:val="clear" w:color="auto" w:fill="auto"/>
            <w:noWrap/>
            <w:vAlign w:val="center"/>
            <w:hideMark/>
          </w:tcPr>
          <w:p w14:paraId="771B17A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Youth hostels</w:t>
            </w:r>
          </w:p>
        </w:tc>
      </w:tr>
      <w:tr w:rsidR="00E3489C" w:rsidRPr="00FA72FB" w14:paraId="1293D975" w14:textId="77777777" w:rsidTr="00FA72FB">
        <w:trPr>
          <w:trHeight w:val="300"/>
        </w:trPr>
        <w:tc>
          <w:tcPr>
            <w:tcW w:w="1149" w:type="dxa"/>
            <w:shd w:val="clear" w:color="auto" w:fill="auto"/>
            <w:noWrap/>
            <w:vAlign w:val="center"/>
            <w:hideMark/>
          </w:tcPr>
          <w:p w14:paraId="2D60E50A"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55300</w:t>
            </w:r>
          </w:p>
        </w:tc>
        <w:tc>
          <w:tcPr>
            <w:tcW w:w="8222" w:type="dxa"/>
            <w:shd w:val="clear" w:color="auto" w:fill="auto"/>
            <w:noWrap/>
            <w:vAlign w:val="center"/>
            <w:hideMark/>
          </w:tcPr>
          <w:p w14:paraId="793F75B7"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Recreational vehicle parks, trailer parks and camping grounds</w:t>
            </w:r>
          </w:p>
        </w:tc>
      </w:tr>
      <w:tr w:rsidR="00E3489C" w:rsidRPr="00FA72FB" w14:paraId="53C86B29" w14:textId="77777777" w:rsidTr="00FA72FB">
        <w:trPr>
          <w:trHeight w:val="300"/>
        </w:trPr>
        <w:tc>
          <w:tcPr>
            <w:tcW w:w="1149" w:type="dxa"/>
            <w:shd w:val="clear" w:color="auto" w:fill="auto"/>
            <w:noWrap/>
            <w:vAlign w:val="center"/>
            <w:hideMark/>
          </w:tcPr>
          <w:p w14:paraId="4D0A073D"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55201</w:t>
            </w:r>
          </w:p>
        </w:tc>
        <w:tc>
          <w:tcPr>
            <w:tcW w:w="8222" w:type="dxa"/>
            <w:shd w:val="clear" w:color="auto" w:fill="auto"/>
            <w:noWrap/>
            <w:vAlign w:val="center"/>
            <w:hideMark/>
          </w:tcPr>
          <w:p w14:paraId="14C48FAC"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Holiday centres and villages</w:t>
            </w:r>
          </w:p>
        </w:tc>
      </w:tr>
      <w:tr w:rsidR="00E3489C" w:rsidRPr="00FA72FB" w14:paraId="15D2078B" w14:textId="77777777" w:rsidTr="00FA72FB">
        <w:trPr>
          <w:trHeight w:val="300"/>
        </w:trPr>
        <w:tc>
          <w:tcPr>
            <w:tcW w:w="1149" w:type="dxa"/>
            <w:shd w:val="clear" w:color="auto" w:fill="auto"/>
            <w:noWrap/>
            <w:vAlign w:val="center"/>
            <w:hideMark/>
          </w:tcPr>
          <w:p w14:paraId="4AC3EE24"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55209</w:t>
            </w:r>
          </w:p>
        </w:tc>
        <w:tc>
          <w:tcPr>
            <w:tcW w:w="8222" w:type="dxa"/>
            <w:shd w:val="clear" w:color="auto" w:fill="auto"/>
            <w:noWrap/>
            <w:vAlign w:val="center"/>
            <w:hideMark/>
          </w:tcPr>
          <w:p w14:paraId="5993CAA5"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holiday and other collective accommodation</w:t>
            </w:r>
          </w:p>
        </w:tc>
      </w:tr>
      <w:tr w:rsidR="00E3489C" w:rsidRPr="00FA72FB" w14:paraId="4CC98890" w14:textId="77777777" w:rsidTr="00FA72FB">
        <w:trPr>
          <w:trHeight w:val="300"/>
        </w:trPr>
        <w:tc>
          <w:tcPr>
            <w:tcW w:w="1149" w:type="dxa"/>
            <w:shd w:val="clear" w:color="auto" w:fill="auto"/>
            <w:noWrap/>
            <w:vAlign w:val="center"/>
            <w:hideMark/>
          </w:tcPr>
          <w:p w14:paraId="35780CAE"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55900</w:t>
            </w:r>
          </w:p>
        </w:tc>
        <w:tc>
          <w:tcPr>
            <w:tcW w:w="8222" w:type="dxa"/>
            <w:shd w:val="clear" w:color="auto" w:fill="auto"/>
            <w:noWrap/>
            <w:vAlign w:val="center"/>
            <w:hideMark/>
          </w:tcPr>
          <w:p w14:paraId="598B36FE"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accommodation</w:t>
            </w:r>
          </w:p>
        </w:tc>
      </w:tr>
      <w:tr w:rsidR="00E3489C" w:rsidRPr="00FA72FB" w14:paraId="68246D62" w14:textId="77777777" w:rsidTr="00FA72FB">
        <w:trPr>
          <w:trHeight w:val="300"/>
        </w:trPr>
        <w:tc>
          <w:tcPr>
            <w:tcW w:w="1149" w:type="dxa"/>
            <w:shd w:val="clear" w:color="auto" w:fill="auto"/>
            <w:noWrap/>
            <w:vAlign w:val="center"/>
            <w:hideMark/>
          </w:tcPr>
          <w:p w14:paraId="6A88D16E"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56101</w:t>
            </w:r>
          </w:p>
        </w:tc>
        <w:tc>
          <w:tcPr>
            <w:tcW w:w="8222" w:type="dxa"/>
            <w:shd w:val="clear" w:color="auto" w:fill="auto"/>
            <w:noWrap/>
            <w:vAlign w:val="center"/>
            <w:hideMark/>
          </w:tcPr>
          <w:p w14:paraId="1DD74FFD"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Licensed restaurants</w:t>
            </w:r>
          </w:p>
        </w:tc>
      </w:tr>
      <w:tr w:rsidR="00E3489C" w:rsidRPr="00FA72FB" w14:paraId="1FA66402" w14:textId="77777777" w:rsidTr="00FA72FB">
        <w:trPr>
          <w:trHeight w:val="300"/>
        </w:trPr>
        <w:tc>
          <w:tcPr>
            <w:tcW w:w="1149" w:type="dxa"/>
            <w:shd w:val="clear" w:color="auto" w:fill="auto"/>
            <w:noWrap/>
            <w:vAlign w:val="center"/>
            <w:hideMark/>
          </w:tcPr>
          <w:p w14:paraId="58852596"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56102</w:t>
            </w:r>
          </w:p>
        </w:tc>
        <w:tc>
          <w:tcPr>
            <w:tcW w:w="8222" w:type="dxa"/>
            <w:shd w:val="clear" w:color="auto" w:fill="auto"/>
            <w:noWrap/>
            <w:vAlign w:val="center"/>
            <w:hideMark/>
          </w:tcPr>
          <w:p w14:paraId="06FFD54B"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Unlicensed restaurants and cafes</w:t>
            </w:r>
          </w:p>
        </w:tc>
      </w:tr>
      <w:tr w:rsidR="00E3489C" w:rsidRPr="00FA72FB" w14:paraId="107CCDB1" w14:textId="77777777" w:rsidTr="00FA72FB">
        <w:trPr>
          <w:trHeight w:val="300"/>
        </w:trPr>
        <w:tc>
          <w:tcPr>
            <w:tcW w:w="1149" w:type="dxa"/>
            <w:shd w:val="clear" w:color="auto" w:fill="auto"/>
            <w:noWrap/>
            <w:vAlign w:val="center"/>
            <w:hideMark/>
          </w:tcPr>
          <w:p w14:paraId="4D575853"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56103</w:t>
            </w:r>
          </w:p>
        </w:tc>
        <w:tc>
          <w:tcPr>
            <w:tcW w:w="8222" w:type="dxa"/>
            <w:shd w:val="clear" w:color="auto" w:fill="auto"/>
            <w:noWrap/>
            <w:vAlign w:val="center"/>
            <w:hideMark/>
          </w:tcPr>
          <w:p w14:paraId="2AE43973"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Take-away food shops and mobile food stands</w:t>
            </w:r>
          </w:p>
        </w:tc>
      </w:tr>
      <w:tr w:rsidR="00E3489C" w:rsidRPr="00FA72FB" w14:paraId="165B7901" w14:textId="77777777" w:rsidTr="00FA72FB">
        <w:trPr>
          <w:trHeight w:val="300"/>
        </w:trPr>
        <w:tc>
          <w:tcPr>
            <w:tcW w:w="1149" w:type="dxa"/>
            <w:shd w:val="clear" w:color="auto" w:fill="auto"/>
            <w:noWrap/>
            <w:vAlign w:val="center"/>
            <w:hideMark/>
          </w:tcPr>
          <w:p w14:paraId="1EEBBBC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56290</w:t>
            </w:r>
          </w:p>
        </w:tc>
        <w:tc>
          <w:tcPr>
            <w:tcW w:w="8222" w:type="dxa"/>
            <w:shd w:val="clear" w:color="auto" w:fill="auto"/>
            <w:noWrap/>
            <w:vAlign w:val="center"/>
            <w:hideMark/>
          </w:tcPr>
          <w:p w14:paraId="548F3E7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food services</w:t>
            </w:r>
          </w:p>
        </w:tc>
      </w:tr>
      <w:tr w:rsidR="00E3489C" w:rsidRPr="00FA72FB" w14:paraId="0F0BF803" w14:textId="77777777" w:rsidTr="00FA72FB">
        <w:trPr>
          <w:trHeight w:val="300"/>
        </w:trPr>
        <w:tc>
          <w:tcPr>
            <w:tcW w:w="1149" w:type="dxa"/>
            <w:shd w:val="clear" w:color="auto" w:fill="auto"/>
            <w:noWrap/>
            <w:vAlign w:val="center"/>
            <w:hideMark/>
          </w:tcPr>
          <w:p w14:paraId="4E3DC9D1"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56210</w:t>
            </w:r>
          </w:p>
        </w:tc>
        <w:tc>
          <w:tcPr>
            <w:tcW w:w="8222" w:type="dxa"/>
            <w:shd w:val="clear" w:color="auto" w:fill="auto"/>
            <w:noWrap/>
            <w:vAlign w:val="center"/>
            <w:hideMark/>
          </w:tcPr>
          <w:p w14:paraId="3374487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Event catering activities</w:t>
            </w:r>
          </w:p>
        </w:tc>
      </w:tr>
      <w:tr w:rsidR="00E3489C" w:rsidRPr="00FA72FB" w14:paraId="6AD8D350" w14:textId="77777777" w:rsidTr="00FA72FB">
        <w:trPr>
          <w:trHeight w:val="300"/>
        </w:trPr>
        <w:tc>
          <w:tcPr>
            <w:tcW w:w="1149" w:type="dxa"/>
            <w:shd w:val="clear" w:color="auto" w:fill="auto"/>
            <w:noWrap/>
            <w:vAlign w:val="center"/>
            <w:hideMark/>
          </w:tcPr>
          <w:p w14:paraId="59364036"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56301</w:t>
            </w:r>
          </w:p>
        </w:tc>
        <w:tc>
          <w:tcPr>
            <w:tcW w:w="8222" w:type="dxa"/>
            <w:shd w:val="clear" w:color="auto" w:fill="auto"/>
            <w:noWrap/>
            <w:vAlign w:val="center"/>
            <w:hideMark/>
          </w:tcPr>
          <w:p w14:paraId="114A4F8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Licenced clubs</w:t>
            </w:r>
          </w:p>
        </w:tc>
      </w:tr>
      <w:tr w:rsidR="00E3489C" w:rsidRPr="00FA72FB" w14:paraId="5AE3DCED" w14:textId="77777777" w:rsidTr="00FA72FB">
        <w:trPr>
          <w:trHeight w:val="300"/>
        </w:trPr>
        <w:tc>
          <w:tcPr>
            <w:tcW w:w="1149" w:type="dxa"/>
            <w:shd w:val="clear" w:color="auto" w:fill="auto"/>
            <w:noWrap/>
            <w:vAlign w:val="center"/>
            <w:hideMark/>
          </w:tcPr>
          <w:p w14:paraId="1B2FA0E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56302</w:t>
            </w:r>
          </w:p>
        </w:tc>
        <w:tc>
          <w:tcPr>
            <w:tcW w:w="8222" w:type="dxa"/>
            <w:shd w:val="clear" w:color="auto" w:fill="auto"/>
            <w:noWrap/>
            <w:vAlign w:val="center"/>
            <w:hideMark/>
          </w:tcPr>
          <w:p w14:paraId="0D3C3C59"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Public houses and bars</w:t>
            </w:r>
          </w:p>
        </w:tc>
      </w:tr>
      <w:tr w:rsidR="00E3489C" w:rsidRPr="00FA72FB" w14:paraId="4298E3E8" w14:textId="77777777" w:rsidTr="00FA72FB">
        <w:trPr>
          <w:trHeight w:val="300"/>
        </w:trPr>
        <w:tc>
          <w:tcPr>
            <w:tcW w:w="1149" w:type="dxa"/>
            <w:shd w:val="clear" w:color="auto" w:fill="auto"/>
            <w:noWrap/>
            <w:vAlign w:val="center"/>
            <w:hideMark/>
          </w:tcPr>
          <w:p w14:paraId="729F4B9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49100</w:t>
            </w:r>
          </w:p>
        </w:tc>
        <w:tc>
          <w:tcPr>
            <w:tcW w:w="8222" w:type="dxa"/>
            <w:shd w:val="clear" w:color="auto" w:fill="auto"/>
            <w:noWrap/>
            <w:vAlign w:val="center"/>
            <w:hideMark/>
          </w:tcPr>
          <w:p w14:paraId="64238B03"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Passenger rail transport, interurban</w:t>
            </w:r>
          </w:p>
        </w:tc>
      </w:tr>
      <w:tr w:rsidR="00E3489C" w:rsidRPr="00FA72FB" w14:paraId="5F096835" w14:textId="77777777" w:rsidTr="00FA72FB">
        <w:trPr>
          <w:trHeight w:val="300"/>
        </w:trPr>
        <w:tc>
          <w:tcPr>
            <w:tcW w:w="1149" w:type="dxa"/>
            <w:shd w:val="clear" w:color="auto" w:fill="auto"/>
            <w:noWrap/>
            <w:vAlign w:val="center"/>
            <w:hideMark/>
          </w:tcPr>
          <w:p w14:paraId="7E6C11BF"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49320</w:t>
            </w:r>
          </w:p>
        </w:tc>
        <w:tc>
          <w:tcPr>
            <w:tcW w:w="8222" w:type="dxa"/>
            <w:shd w:val="clear" w:color="auto" w:fill="auto"/>
            <w:noWrap/>
            <w:vAlign w:val="center"/>
            <w:hideMark/>
          </w:tcPr>
          <w:p w14:paraId="12F1BDC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Taxi operation</w:t>
            </w:r>
          </w:p>
        </w:tc>
      </w:tr>
      <w:tr w:rsidR="00E3489C" w:rsidRPr="00FA72FB" w14:paraId="4A52D41E" w14:textId="77777777" w:rsidTr="00FA72FB">
        <w:trPr>
          <w:trHeight w:val="300"/>
        </w:trPr>
        <w:tc>
          <w:tcPr>
            <w:tcW w:w="1149" w:type="dxa"/>
            <w:shd w:val="clear" w:color="auto" w:fill="auto"/>
            <w:noWrap/>
            <w:vAlign w:val="center"/>
            <w:hideMark/>
          </w:tcPr>
          <w:p w14:paraId="06EFA3F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49390</w:t>
            </w:r>
          </w:p>
        </w:tc>
        <w:tc>
          <w:tcPr>
            <w:tcW w:w="8222" w:type="dxa"/>
            <w:shd w:val="clear" w:color="auto" w:fill="auto"/>
            <w:noWrap/>
            <w:vAlign w:val="center"/>
            <w:hideMark/>
          </w:tcPr>
          <w:p w14:paraId="3271944B"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passenger land transport</w:t>
            </w:r>
          </w:p>
        </w:tc>
      </w:tr>
      <w:tr w:rsidR="00E3489C" w:rsidRPr="00FA72FB" w14:paraId="6D5D902C" w14:textId="77777777" w:rsidTr="00FA72FB">
        <w:trPr>
          <w:trHeight w:val="300"/>
        </w:trPr>
        <w:tc>
          <w:tcPr>
            <w:tcW w:w="1149" w:type="dxa"/>
            <w:shd w:val="clear" w:color="auto" w:fill="auto"/>
            <w:noWrap/>
            <w:vAlign w:val="center"/>
            <w:hideMark/>
          </w:tcPr>
          <w:p w14:paraId="66A058B0"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50100</w:t>
            </w:r>
          </w:p>
        </w:tc>
        <w:tc>
          <w:tcPr>
            <w:tcW w:w="8222" w:type="dxa"/>
            <w:shd w:val="clear" w:color="auto" w:fill="auto"/>
            <w:noWrap/>
            <w:vAlign w:val="center"/>
            <w:hideMark/>
          </w:tcPr>
          <w:p w14:paraId="3077575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Sea and coastal passenger water transport</w:t>
            </w:r>
          </w:p>
        </w:tc>
      </w:tr>
      <w:tr w:rsidR="00E3489C" w:rsidRPr="00FA72FB" w14:paraId="63D63EC5" w14:textId="77777777" w:rsidTr="00FA72FB">
        <w:trPr>
          <w:trHeight w:val="300"/>
        </w:trPr>
        <w:tc>
          <w:tcPr>
            <w:tcW w:w="1149" w:type="dxa"/>
            <w:shd w:val="clear" w:color="auto" w:fill="auto"/>
            <w:noWrap/>
            <w:vAlign w:val="center"/>
            <w:hideMark/>
          </w:tcPr>
          <w:p w14:paraId="3970C858"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50300</w:t>
            </w:r>
          </w:p>
        </w:tc>
        <w:tc>
          <w:tcPr>
            <w:tcW w:w="8222" w:type="dxa"/>
            <w:shd w:val="clear" w:color="auto" w:fill="auto"/>
            <w:noWrap/>
            <w:vAlign w:val="center"/>
            <w:hideMark/>
          </w:tcPr>
          <w:p w14:paraId="36C2A239"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Inland passenger water transport</w:t>
            </w:r>
          </w:p>
        </w:tc>
      </w:tr>
      <w:tr w:rsidR="00E3489C" w:rsidRPr="00FA72FB" w14:paraId="5182C4F1" w14:textId="77777777" w:rsidTr="00FA72FB">
        <w:trPr>
          <w:trHeight w:val="300"/>
        </w:trPr>
        <w:tc>
          <w:tcPr>
            <w:tcW w:w="1149" w:type="dxa"/>
            <w:shd w:val="clear" w:color="auto" w:fill="auto"/>
            <w:noWrap/>
            <w:vAlign w:val="center"/>
            <w:hideMark/>
          </w:tcPr>
          <w:p w14:paraId="2D32F22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51101</w:t>
            </w:r>
          </w:p>
        </w:tc>
        <w:tc>
          <w:tcPr>
            <w:tcW w:w="8222" w:type="dxa"/>
            <w:shd w:val="clear" w:color="auto" w:fill="auto"/>
            <w:noWrap/>
            <w:vAlign w:val="center"/>
            <w:hideMark/>
          </w:tcPr>
          <w:p w14:paraId="16804278"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Scheduled passenger air transport</w:t>
            </w:r>
          </w:p>
        </w:tc>
      </w:tr>
      <w:tr w:rsidR="00E3489C" w:rsidRPr="00FA72FB" w14:paraId="7E8B2461" w14:textId="77777777" w:rsidTr="00FA72FB">
        <w:trPr>
          <w:trHeight w:val="300"/>
        </w:trPr>
        <w:tc>
          <w:tcPr>
            <w:tcW w:w="1149" w:type="dxa"/>
            <w:shd w:val="clear" w:color="auto" w:fill="auto"/>
            <w:noWrap/>
            <w:vAlign w:val="center"/>
            <w:hideMark/>
          </w:tcPr>
          <w:p w14:paraId="20CA391B"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51102</w:t>
            </w:r>
          </w:p>
        </w:tc>
        <w:tc>
          <w:tcPr>
            <w:tcW w:w="8222" w:type="dxa"/>
            <w:shd w:val="clear" w:color="auto" w:fill="auto"/>
            <w:noWrap/>
            <w:vAlign w:val="center"/>
            <w:hideMark/>
          </w:tcPr>
          <w:p w14:paraId="08FD7556"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Non-scheduled passenger air transport</w:t>
            </w:r>
          </w:p>
        </w:tc>
      </w:tr>
      <w:tr w:rsidR="00E3489C" w:rsidRPr="00FA72FB" w14:paraId="53784455" w14:textId="77777777" w:rsidTr="00FA72FB">
        <w:trPr>
          <w:trHeight w:val="300"/>
        </w:trPr>
        <w:tc>
          <w:tcPr>
            <w:tcW w:w="1149" w:type="dxa"/>
            <w:shd w:val="clear" w:color="auto" w:fill="auto"/>
            <w:noWrap/>
            <w:vAlign w:val="center"/>
            <w:hideMark/>
          </w:tcPr>
          <w:p w14:paraId="3AFF89A9"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77110</w:t>
            </w:r>
          </w:p>
        </w:tc>
        <w:tc>
          <w:tcPr>
            <w:tcW w:w="8222" w:type="dxa"/>
            <w:shd w:val="clear" w:color="auto" w:fill="auto"/>
            <w:noWrap/>
            <w:vAlign w:val="center"/>
            <w:hideMark/>
          </w:tcPr>
          <w:p w14:paraId="7850EBF0"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Renting and leasing of cars and light motor vehicles</w:t>
            </w:r>
          </w:p>
        </w:tc>
      </w:tr>
      <w:tr w:rsidR="00E3489C" w:rsidRPr="00FA72FB" w14:paraId="21265E78" w14:textId="77777777" w:rsidTr="00FA72FB">
        <w:trPr>
          <w:trHeight w:val="300"/>
        </w:trPr>
        <w:tc>
          <w:tcPr>
            <w:tcW w:w="1149" w:type="dxa"/>
            <w:shd w:val="clear" w:color="auto" w:fill="auto"/>
            <w:noWrap/>
            <w:vAlign w:val="center"/>
            <w:hideMark/>
          </w:tcPr>
          <w:p w14:paraId="47E24B51"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77341</w:t>
            </w:r>
          </w:p>
        </w:tc>
        <w:tc>
          <w:tcPr>
            <w:tcW w:w="8222" w:type="dxa"/>
            <w:shd w:val="clear" w:color="auto" w:fill="auto"/>
            <w:noWrap/>
            <w:vAlign w:val="center"/>
            <w:hideMark/>
          </w:tcPr>
          <w:p w14:paraId="4F70457B"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Renting and leasing of passenger water transport equipment</w:t>
            </w:r>
          </w:p>
        </w:tc>
      </w:tr>
      <w:tr w:rsidR="00E3489C" w:rsidRPr="00FA72FB" w14:paraId="5CFC5899" w14:textId="77777777" w:rsidTr="00FA72FB">
        <w:trPr>
          <w:trHeight w:val="300"/>
        </w:trPr>
        <w:tc>
          <w:tcPr>
            <w:tcW w:w="1149" w:type="dxa"/>
            <w:shd w:val="clear" w:color="auto" w:fill="auto"/>
            <w:noWrap/>
            <w:vAlign w:val="center"/>
            <w:hideMark/>
          </w:tcPr>
          <w:p w14:paraId="5802F2D1"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77351</w:t>
            </w:r>
          </w:p>
        </w:tc>
        <w:tc>
          <w:tcPr>
            <w:tcW w:w="8222" w:type="dxa"/>
            <w:shd w:val="clear" w:color="auto" w:fill="auto"/>
            <w:noWrap/>
            <w:vAlign w:val="center"/>
            <w:hideMark/>
          </w:tcPr>
          <w:p w14:paraId="042A11DF"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Renting and leasing of passenger air transport equipment</w:t>
            </w:r>
          </w:p>
        </w:tc>
      </w:tr>
      <w:tr w:rsidR="00E3489C" w:rsidRPr="00FA72FB" w14:paraId="17463087" w14:textId="77777777" w:rsidTr="00FA72FB">
        <w:trPr>
          <w:trHeight w:val="300"/>
        </w:trPr>
        <w:tc>
          <w:tcPr>
            <w:tcW w:w="1149" w:type="dxa"/>
            <w:shd w:val="clear" w:color="auto" w:fill="auto"/>
            <w:noWrap/>
            <w:vAlign w:val="center"/>
            <w:hideMark/>
          </w:tcPr>
          <w:p w14:paraId="57DFD573"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79110</w:t>
            </w:r>
          </w:p>
        </w:tc>
        <w:tc>
          <w:tcPr>
            <w:tcW w:w="8222" w:type="dxa"/>
            <w:shd w:val="clear" w:color="auto" w:fill="auto"/>
            <w:noWrap/>
            <w:vAlign w:val="center"/>
            <w:hideMark/>
          </w:tcPr>
          <w:p w14:paraId="410C7DE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Travel agency activities</w:t>
            </w:r>
          </w:p>
        </w:tc>
      </w:tr>
      <w:tr w:rsidR="00E3489C" w:rsidRPr="00FA72FB" w14:paraId="34EC528F" w14:textId="77777777" w:rsidTr="00FA72FB">
        <w:trPr>
          <w:trHeight w:val="300"/>
        </w:trPr>
        <w:tc>
          <w:tcPr>
            <w:tcW w:w="1149" w:type="dxa"/>
            <w:shd w:val="clear" w:color="auto" w:fill="auto"/>
            <w:noWrap/>
            <w:vAlign w:val="center"/>
            <w:hideMark/>
          </w:tcPr>
          <w:p w14:paraId="7AC07452"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79120</w:t>
            </w:r>
          </w:p>
        </w:tc>
        <w:tc>
          <w:tcPr>
            <w:tcW w:w="8222" w:type="dxa"/>
            <w:shd w:val="clear" w:color="auto" w:fill="auto"/>
            <w:noWrap/>
            <w:vAlign w:val="center"/>
            <w:hideMark/>
          </w:tcPr>
          <w:p w14:paraId="443B605B"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Tour operator activities</w:t>
            </w:r>
          </w:p>
        </w:tc>
      </w:tr>
      <w:tr w:rsidR="00E3489C" w:rsidRPr="00FA72FB" w14:paraId="19CD801D" w14:textId="77777777" w:rsidTr="00FA72FB">
        <w:trPr>
          <w:trHeight w:val="300"/>
        </w:trPr>
        <w:tc>
          <w:tcPr>
            <w:tcW w:w="1149" w:type="dxa"/>
            <w:shd w:val="clear" w:color="auto" w:fill="auto"/>
            <w:noWrap/>
            <w:vAlign w:val="center"/>
            <w:hideMark/>
          </w:tcPr>
          <w:p w14:paraId="69280712"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79901</w:t>
            </w:r>
          </w:p>
        </w:tc>
        <w:tc>
          <w:tcPr>
            <w:tcW w:w="8222" w:type="dxa"/>
            <w:shd w:val="clear" w:color="auto" w:fill="auto"/>
            <w:noWrap/>
            <w:vAlign w:val="center"/>
            <w:hideMark/>
          </w:tcPr>
          <w:p w14:paraId="3FA4368C"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Activities of tourist guides</w:t>
            </w:r>
          </w:p>
        </w:tc>
      </w:tr>
      <w:tr w:rsidR="00E3489C" w:rsidRPr="00FA72FB" w14:paraId="14B16565" w14:textId="77777777" w:rsidTr="00FA72FB">
        <w:trPr>
          <w:trHeight w:val="300"/>
        </w:trPr>
        <w:tc>
          <w:tcPr>
            <w:tcW w:w="1149" w:type="dxa"/>
            <w:shd w:val="clear" w:color="auto" w:fill="auto"/>
            <w:noWrap/>
            <w:vAlign w:val="center"/>
            <w:hideMark/>
          </w:tcPr>
          <w:p w14:paraId="7BB8978C"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79909</w:t>
            </w:r>
          </w:p>
        </w:tc>
        <w:tc>
          <w:tcPr>
            <w:tcW w:w="8222" w:type="dxa"/>
            <w:shd w:val="clear" w:color="auto" w:fill="auto"/>
            <w:noWrap/>
            <w:vAlign w:val="center"/>
            <w:hideMark/>
          </w:tcPr>
          <w:p w14:paraId="739ACCD8"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reservation service activities n.e.c.</w:t>
            </w:r>
          </w:p>
        </w:tc>
      </w:tr>
      <w:tr w:rsidR="00E3489C" w:rsidRPr="00FA72FB" w14:paraId="56DC716A" w14:textId="77777777" w:rsidTr="00FA72FB">
        <w:trPr>
          <w:trHeight w:val="300"/>
        </w:trPr>
        <w:tc>
          <w:tcPr>
            <w:tcW w:w="1149" w:type="dxa"/>
            <w:shd w:val="clear" w:color="auto" w:fill="auto"/>
            <w:noWrap/>
            <w:vAlign w:val="center"/>
            <w:hideMark/>
          </w:tcPr>
          <w:p w14:paraId="748B8EF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90010</w:t>
            </w:r>
          </w:p>
        </w:tc>
        <w:tc>
          <w:tcPr>
            <w:tcW w:w="8222" w:type="dxa"/>
            <w:shd w:val="clear" w:color="auto" w:fill="auto"/>
            <w:noWrap/>
            <w:vAlign w:val="center"/>
            <w:hideMark/>
          </w:tcPr>
          <w:p w14:paraId="28F840D8"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Performing arts</w:t>
            </w:r>
          </w:p>
        </w:tc>
      </w:tr>
      <w:tr w:rsidR="00E3489C" w:rsidRPr="00FA72FB" w14:paraId="74297A7C" w14:textId="77777777" w:rsidTr="00FA72FB">
        <w:trPr>
          <w:trHeight w:val="300"/>
        </w:trPr>
        <w:tc>
          <w:tcPr>
            <w:tcW w:w="1149" w:type="dxa"/>
            <w:shd w:val="clear" w:color="auto" w:fill="auto"/>
            <w:noWrap/>
            <w:vAlign w:val="center"/>
            <w:hideMark/>
          </w:tcPr>
          <w:p w14:paraId="61F7CC44"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90020</w:t>
            </w:r>
          </w:p>
        </w:tc>
        <w:tc>
          <w:tcPr>
            <w:tcW w:w="8222" w:type="dxa"/>
            <w:shd w:val="clear" w:color="auto" w:fill="auto"/>
            <w:noWrap/>
            <w:vAlign w:val="center"/>
            <w:hideMark/>
          </w:tcPr>
          <w:p w14:paraId="7A6447F5"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Support activities to performing arts</w:t>
            </w:r>
          </w:p>
        </w:tc>
      </w:tr>
      <w:tr w:rsidR="00E3489C" w:rsidRPr="00FA72FB" w14:paraId="02B3C9B3" w14:textId="77777777" w:rsidTr="00FA72FB">
        <w:trPr>
          <w:trHeight w:val="300"/>
        </w:trPr>
        <w:tc>
          <w:tcPr>
            <w:tcW w:w="1149" w:type="dxa"/>
            <w:shd w:val="clear" w:color="auto" w:fill="auto"/>
            <w:noWrap/>
            <w:vAlign w:val="center"/>
            <w:hideMark/>
          </w:tcPr>
          <w:p w14:paraId="764CEA3E"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90030</w:t>
            </w:r>
          </w:p>
        </w:tc>
        <w:tc>
          <w:tcPr>
            <w:tcW w:w="8222" w:type="dxa"/>
            <w:shd w:val="clear" w:color="auto" w:fill="auto"/>
            <w:noWrap/>
            <w:vAlign w:val="center"/>
            <w:hideMark/>
          </w:tcPr>
          <w:p w14:paraId="7FC34ED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Artistic creation</w:t>
            </w:r>
          </w:p>
        </w:tc>
      </w:tr>
      <w:tr w:rsidR="00E3489C" w:rsidRPr="00FA72FB" w14:paraId="120F27FB" w14:textId="77777777" w:rsidTr="00FA72FB">
        <w:trPr>
          <w:trHeight w:val="300"/>
        </w:trPr>
        <w:tc>
          <w:tcPr>
            <w:tcW w:w="1149" w:type="dxa"/>
            <w:shd w:val="clear" w:color="auto" w:fill="auto"/>
            <w:noWrap/>
            <w:vAlign w:val="center"/>
            <w:hideMark/>
          </w:tcPr>
          <w:p w14:paraId="464D91CC"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90040</w:t>
            </w:r>
          </w:p>
        </w:tc>
        <w:tc>
          <w:tcPr>
            <w:tcW w:w="8222" w:type="dxa"/>
            <w:shd w:val="clear" w:color="auto" w:fill="auto"/>
            <w:noWrap/>
            <w:vAlign w:val="center"/>
            <w:hideMark/>
          </w:tcPr>
          <w:p w14:paraId="28DF1AAD"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Operation of arts facilities</w:t>
            </w:r>
          </w:p>
        </w:tc>
      </w:tr>
      <w:tr w:rsidR="00E3489C" w:rsidRPr="00FA72FB" w14:paraId="2E58F9D2" w14:textId="77777777" w:rsidTr="00FA72FB">
        <w:trPr>
          <w:trHeight w:val="300"/>
        </w:trPr>
        <w:tc>
          <w:tcPr>
            <w:tcW w:w="1149" w:type="dxa"/>
            <w:shd w:val="clear" w:color="auto" w:fill="auto"/>
            <w:noWrap/>
            <w:vAlign w:val="center"/>
            <w:hideMark/>
          </w:tcPr>
          <w:p w14:paraId="6A7D8672"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91020</w:t>
            </w:r>
          </w:p>
        </w:tc>
        <w:tc>
          <w:tcPr>
            <w:tcW w:w="8222" w:type="dxa"/>
            <w:shd w:val="clear" w:color="auto" w:fill="auto"/>
            <w:noWrap/>
            <w:vAlign w:val="center"/>
            <w:hideMark/>
          </w:tcPr>
          <w:p w14:paraId="6C9BC17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Museums activities</w:t>
            </w:r>
          </w:p>
        </w:tc>
      </w:tr>
      <w:tr w:rsidR="00E3489C" w:rsidRPr="00FA72FB" w14:paraId="380198E1" w14:textId="77777777" w:rsidTr="00FA72FB">
        <w:trPr>
          <w:trHeight w:val="300"/>
        </w:trPr>
        <w:tc>
          <w:tcPr>
            <w:tcW w:w="1149" w:type="dxa"/>
            <w:shd w:val="clear" w:color="auto" w:fill="auto"/>
            <w:noWrap/>
            <w:vAlign w:val="center"/>
            <w:hideMark/>
          </w:tcPr>
          <w:p w14:paraId="2674CB2D"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91030</w:t>
            </w:r>
          </w:p>
        </w:tc>
        <w:tc>
          <w:tcPr>
            <w:tcW w:w="8222" w:type="dxa"/>
            <w:shd w:val="clear" w:color="auto" w:fill="auto"/>
            <w:noWrap/>
            <w:vAlign w:val="center"/>
            <w:hideMark/>
          </w:tcPr>
          <w:p w14:paraId="69A347AD"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Operation of historical sites and buildings and similar visitor attractions</w:t>
            </w:r>
          </w:p>
        </w:tc>
      </w:tr>
      <w:tr w:rsidR="00E3489C" w:rsidRPr="00FA72FB" w14:paraId="38B4A781" w14:textId="77777777" w:rsidTr="00FA72FB">
        <w:trPr>
          <w:trHeight w:val="300"/>
        </w:trPr>
        <w:tc>
          <w:tcPr>
            <w:tcW w:w="1149" w:type="dxa"/>
            <w:shd w:val="clear" w:color="auto" w:fill="auto"/>
            <w:noWrap/>
            <w:vAlign w:val="center"/>
            <w:hideMark/>
          </w:tcPr>
          <w:p w14:paraId="3052D232"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91040</w:t>
            </w:r>
          </w:p>
        </w:tc>
        <w:tc>
          <w:tcPr>
            <w:tcW w:w="8222" w:type="dxa"/>
            <w:shd w:val="clear" w:color="auto" w:fill="auto"/>
            <w:noWrap/>
            <w:vAlign w:val="center"/>
            <w:hideMark/>
          </w:tcPr>
          <w:p w14:paraId="74569590"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Botanical and zoological gardens and nature reserves activities</w:t>
            </w:r>
          </w:p>
        </w:tc>
      </w:tr>
      <w:tr w:rsidR="00E3489C" w:rsidRPr="00FA72FB" w14:paraId="02915144" w14:textId="77777777" w:rsidTr="00FA72FB">
        <w:trPr>
          <w:trHeight w:val="300"/>
        </w:trPr>
        <w:tc>
          <w:tcPr>
            <w:tcW w:w="1149" w:type="dxa"/>
            <w:shd w:val="clear" w:color="auto" w:fill="auto"/>
            <w:noWrap/>
            <w:vAlign w:val="center"/>
            <w:hideMark/>
          </w:tcPr>
          <w:p w14:paraId="058AD2D0"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92000</w:t>
            </w:r>
          </w:p>
        </w:tc>
        <w:tc>
          <w:tcPr>
            <w:tcW w:w="8222" w:type="dxa"/>
            <w:shd w:val="clear" w:color="auto" w:fill="auto"/>
            <w:noWrap/>
            <w:vAlign w:val="center"/>
            <w:hideMark/>
          </w:tcPr>
          <w:p w14:paraId="39C62BF6"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Gambling and betting activities</w:t>
            </w:r>
          </w:p>
        </w:tc>
      </w:tr>
      <w:tr w:rsidR="00E3489C" w:rsidRPr="00FA72FB" w14:paraId="1E5FBC42" w14:textId="77777777" w:rsidTr="00FA72FB">
        <w:trPr>
          <w:trHeight w:val="300"/>
        </w:trPr>
        <w:tc>
          <w:tcPr>
            <w:tcW w:w="1149" w:type="dxa"/>
            <w:shd w:val="clear" w:color="auto" w:fill="auto"/>
            <w:noWrap/>
            <w:vAlign w:val="center"/>
            <w:hideMark/>
          </w:tcPr>
          <w:p w14:paraId="1BE74977"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lastRenderedPageBreak/>
              <w:t>93110</w:t>
            </w:r>
          </w:p>
        </w:tc>
        <w:tc>
          <w:tcPr>
            <w:tcW w:w="8222" w:type="dxa"/>
            <w:shd w:val="clear" w:color="auto" w:fill="auto"/>
            <w:noWrap/>
            <w:vAlign w:val="center"/>
            <w:hideMark/>
          </w:tcPr>
          <w:p w14:paraId="12FA10B5"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Operation of sports facilities</w:t>
            </w:r>
          </w:p>
        </w:tc>
      </w:tr>
      <w:tr w:rsidR="00E3489C" w:rsidRPr="00FA72FB" w14:paraId="40C3277A" w14:textId="77777777" w:rsidTr="00FA72FB">
        <w:trPr>
          <w:trHeight w:val="300"/>
        </w:trPr>
        <w:tc>
          <w:tcPr>
            <w:tcW w:w="1149" w:type="dxa"/>
            <w:shd w:val="clear" w:color="auto" w:fill="auto"/>
            <w:noWrap/>
            <w:vAlign w:val="center"/>
            <w:hideMark/>
          </w:tcPr>
          <w:p w14:paraId="59C5F4E9"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93199</w:t>
            </w:r>
          </w:p>
        </w:tc>
        <w:tc>
          <w:tcPr>
            <w:tcW w:w="8222" w:type="dxa"/>
            <w:shd w:val="clear" w:color="auto" w:fill="auto"/>
            <w:noWrap/>
            <w:vAlign w:val="center"/>
            <w:hideMark/>
          </w:tcPr>
          <w:p w14:paraId="1A516CAF"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sports activities</w:t>
            </w:r>
          </w:p>
        </w:tc>
      </w:tr>
      <w:tr w:rsidR="00E3489C" w:rsidRPr="00FA72FB" w14:paraId="3E839C99" w14:textId="77777777" w:rsidTr="00FA72FB">
        <w:trPr>
          <w:trHeight w:val="300"/>
        </w:trPr>
        <w:tc>
          <w:tcPr>
            <w:tcW w:w="1149" w:type="dxa"/>
            <w:shd w:val="clear" w:color="auto" w:fill="auto"/>
            <w:noWrap/>
            <w:vAlign w:val="center"/>
            <w:hideMark/>
          </w:tcPr>
          <w:p w14:paraId="19CE4C1D"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93210</w:t>
            </w:r>
          </w:p>
        </w:tc>
        <w:tc>
          <w:tcPr>
            <w:tcW w:w="8222" w:type="dxa"/>
            <w:shd w:val="clear" w:color="auto" w:fill="auto"/>
            <w:noWrap/>
            <w:vAlign w:val="center"/>
            <w:hideMark/>
          </w:tcPr>
          <w:p w14:paraId="1A4AB16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Activities of amusement parks and theme parks</w:t>
            </w:r>
          </w:p>
        </w:tc>
      </w:tr>
      <w:tr w:rsidR="00E3489C" w:rsidRPr="00FA72FB" w14:paraId="2749D746" w14:textId="77777777" w:rsidTr="00FA72FB">
        <w:trPr>
          <w:trHeight w:val="300"/>
        </w:trPr>
        <w:tc>
          <w:tcPr>
            <w:tcW w:w="1149" w:type="dxa"/>
            <w:shd w:val="clear" w:color="auto" w:fill="auto"/>
            <w:noWrap/>
            <w:vAlign w:val="center"/>
            <w:hideMark/>
          </w:tcPr>
          <w:p w14:paraId="5A1B6290"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93290</w:t>
            </w:r>
          </w:p>
        </w:tc>
        <w:tc>
          <w:tcPr>
            <w:tcW w:w="8222" w:type="dxa"/>
            <w:shd w:val="clear" w:color="auto" w:fill="auto"/>
            <w:noWrap/>
            <w:vAlign w:val="center"/>
            <w:hideMark/>
          </w:tcPr>
          <w:p w14:paraId="67A1050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amusement and recreation activities n.e.c.</w:t>
            </w:r>
          </w:p>
        </w:tc>
      </w:tr>
      <w:tr w:rsidR="00E3489C" w:rsidRPr="00FA72FB" w14:paraId="2F10520B" w14:textId="77777777" w:rsidTr="00FA72FB">
        <w:trPr>
          <w:trHeight w:val="300"/>
        </w:trPr>
        <w:tc>
          <w:tcPr>
            <w:tcW w:w="1149" w:type="dxa"/>
            <w:shd w:val="clear" w:color="auto" w:fill="auto"/>
            <w:noWrap/>
            <w:vAlign w:val="center"/>
            <w:hideMark/>
          </w:tcPr>
          <w:p w14:paraId="56D45F16"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77210</w:t>
            </w:r>
          </w:p>
        </w:tc>
        <w:tc>
          <w:tcPr>
            <w:tcW w:w="8222" w:type="dxa"/>
            <w:shd w:val="clear" w:color="auto" w:fill="auto"/>
            <w:noWrap/>
            <w:vAlign w:val="center"/>
            <w:hideMark/>
          </w:tcPr>
          <w:p w14:paraId="2C50B3D9"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Renting and leasing of recreational and sports goods</w:t>
            </w:r>
          </w:p>
        </w:tc>
      </w:tr>
      <w:tr w:rsidR="00E3489C" w:rsidRPr="00FA72FB" w14:paraId="0D9782D7" w14:textId="77777777" w:rsidTr="00FA72FB">
        <w:trPr>
          <w:trHeight w:val="300"/>
        </w:trPr>
        <w:tc>
          <w:tcPr>
            <w:tcW w:w="1149" w:type="dxa"/>
            <w:shd w:val="clear" w:color="auto" w:fill="auto"/>
            <w:noWrap/>
            <w:vAlign w:val="center"/>
            <w:hideMark/>
          </w:tcPr>
          <w:p w14:paraId="20282B0B"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82301</w:t>
            </w:r>
          </w:p>
        </w:tc>
        <w:tc>
          <w:tcPr>
            <w:tcW w:w="8222" w:type="dxa"/>
            <w:shd w:val="clear" w:color="auto" w:fill="auto"/>
            <w:noWrap/>
            <w:vAlign w:val="center"/>
            <w:hideMark/>
          </w:tcPr>
          <w:p w14:paraId="4007FD9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Activities of exhibition and fair organisers</w:t>
            </w:r>
          </w:p>
        </w:tc>
      </w:tr>
      <w:tr w:rsidR="00E3489C" w:rsidRPr="00FA72FB" w14:paraId="02280D94" w14:textId="77777777" w:rsidTr="00FA72FB">
        <w:trPr>
          <w:trHeight w:val="300"/>
        </w:trPr>
        <w:tc>
          <w:tcPr>
            <w:tcW w:w="1149" w:type="dxa"/>
            <w:shd w:val="clear" w:color="auto" w:fill="auto"/>
            <w:noWrap/>
            <w:vAlign w:val="center"/>
            <w:hideMark/>
          </w:tcPr>
          <w:p w14:paraId="08831972"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82302</w:t>
            </w:r>
          </w:p>
        </w:tc>
        <w:tc>
          <w:tcPr>
            <w:tcW w:w="8222" w:type="dxa"/>
            <w:shd w:val="clear" w:color="auto" w:fill="auto"/>
            <w:noWrap/>
            <w:vAlign w:val="center"/>
            <w:hideMark/>
          </w:tcPr>
          <w:p w14:paraId="2873EBC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Activities of conference organisers</w:t>
            </w:r>
          </w:p>
        </w:tc>
      </w:tr>
      <w:tr w:rsidR="00E3489C" w:rsidRPr="00FA72FB" w14:paraId="1DEEEC1C" w14:textId="77777777" w:rsidTr="00FA72FB">
        <w:trPr>
          <w:trHeight w:val="300"/>
        </w:trPr>
        <w:tc>
          <w:tcPr>
            <w:tcW w:w="1149" w:type="dxa"/>
            <w:shd w:val="clear" w:color="auto" w:fill="auto"/>
            <w:noWrap/>
            <w:vAlign w:val="center"/>
            <w:hideMark/>
          </w:tcPr>
          <w:p w14:paraId="559D9EA9"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68202</w:t>
            </w:r>
          </w:p>
        </w:tc>
        <w:tc>
          <w:tcPr>
            <w:tcW w:w="8222" w:type="dxa"/>
            <w:shd w:val="clear" w:color="auto" w:fill="auto"/>
            <w:noWrap/>
            <w:vAlign w:val="center"/>
            <w:hideMark/>
          </w:tcPr>
          <w:p w14:paraId="1ADCA69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Letting and operating of conference and exhibition centres</w:t>
            </w:r>
          </w:p>
        </w:tc>
      </w:tr>
    </w:tbl>
    <w:p w14:paraId="71E4A312" w14:textId="77777777" w:rsidR="00E3489C" w:rsidRPr="009E3760" w:rsidRDefault="00E3489C" w:rsidP="00E3489C"/>
    <w:p w14:paraId="75F681EA" w14:textId="77777777" w:rsidR="00E3489C" w:rsidRDefault="00E3489C" w:rsidP="00E3489C">
      <w:pPr>
        <w:pStyle w:val="Heading3Numbered"/>
        <w:rPr>
          <w:rFonts w:eastAsia="Calibri"/>
        </w:rPr>
      </w:pPr>
      <w:r>
        <w:rPr>
          <w:rFonts w:eastAsia="Calibri"/>
        </w:rPr>
        <w:br w:type="page"/>
      </w:r>
    </w:p>
    <w:p w14:paraId="6B50CC84" w14:textId="380D6C0A" w:rsidR="00E3489C" w:rsidRPr="00514EFA" w:rsidRDefault="00E3489C" w:rsidP="00E3489C">
      <w:pPr>
        <w:pStyle w:val="Heading3Numbered"/>
        <w:rPr>
          <w:rFonts w:eastAsia="Calibri"/>
        </w:rPr>
      </w:pPr>
      <w:bookmarkStart w:id="150" w:name="_Toc467569653"/>
      <w:r w:rsidRPr="00514EFA">
        <w:rPr>
          <w:rFonts w:eastAsia="Calibri"/>
        </w:rPr>
        <w:lastRenderedPageBreak/>
        <w:t>Professional Services</w:t>
      </w:r>
      <w:bookmarkEnd w:id="150"/>
    </w:p>
    <w:p w14:paraId="15C2E236" w14:textId="77777777" w:rsidR="00E3489C" w:rsidRDefault="00E3489C" w:rsidP="00E3489C">
      <w:r>
        <w:t>Analysis uses the Department for Business, Innovation &amp; Skills definition</w:t>
      </w:r>
      <w:r>
        <w:rPr>
          <w:rStyle w:val="FootnoteReference"/>
        </w:rPr>
        <w:footnoteReference w:id="9"/>
      </w:r>
      <w:r>
        <w:t>.</w:t>
      </w:r>
    </w:p>
    <w:p w14:paraId="706CE7A3" w14:textId="77777777" w:rsidR="00E3489C" w:rsidRDefault="00E3489C" w:rsidP="00E3489C"/>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222"/>
      </w:tblGrid>
      <w:tr w:rsidR="00E3489C" w:rsidRPr="00FA72FB" w14:paraId="7E331BF6" w14:textId="77777777" w:rsidTr="00FA72FB">
        <w:trPr>
          <w:trHeight w:val="300"/>
        </w:trPr>
        <w:tc>
          <w:tcPr>
            <w:tcW w:w="1149" w:type="dxa"/>
            <w:shd w:val="clear" w:color="auto" w:fill="auto"/>
            <w:noWrap/>
            <w:vAlign w:val="center"/>
            <w:hideMark/>
          </w:tcPr>
          <w:p w14:paraId="1CFF56FF" w14:textId="77777777" w:rsidR="00E3489C" w:rsidRPr="00FA72FB" w:rsidRDefault="00E3489C" w:rsidP="00FA72FB">
            <w:pPr>
              <w:spacing w:before="20" w:after="20"/>
              <w:ind w:left="0"/>
              <w:jc w:val="center"/>
              <w:rPr>
                <w:rFonts w:cs="Arial"/>
                <w:b/>
                <w:color w:val="000000"/>
                <w:sz w:val="18"/>
                <w:szCs w:val="18"/>
                <w:lang w:eastAsia="en-GB"/>
              </w:rPr>
            </w:pPr>
            <w:r w:rsidRPr="00FA72FB">
              <w:rPr>
                <w:rFonts w:cs="Arial"/>
                <w:b/>
                <w:color w:val="000000"/>
                <w:sz w:val="18"/>
                <w:szCs w:val="18"/>
                <w:lang w:eastAsia="en-GB"/>
              </w:rPr>
              <w:t>SIC</w:t>
            </w:r>
          </w:p>
        </w:tc>
        <w:tc>
          <w:tcPr>
            <w:tcW w:w="8222" w:type="dxa"/>
            <w:shd w:val="clear" w:color="auto" w:fill="auto"/>
            <w:noWrap/>
            <w:vAlign w:val="center"/>
            <w:hideMark/>
          </w:tcPr>
          <w:p w14:paraId="0AB93501" w14:textId="77777777" w:rsidR="00E3489C" w:rsidRPr="00FA72FB" w:rsidRDefault="00E3489C" w:rsidP="00FA72FB">
            <w:pPr>
              <w:spacing w:before="20" w:after="20"/>
              <w:ind w:left="0"/>
              <w:rPr>
                <w:rFonts w:cs="Arial"/>
                <w:b/>
                <w:color w:val="000000"/>
                <w:sz w:val="18"/>
                <w:szCs w:val="18"/>
                <w:lang w:eastAsia="en-GB"/>
              </w:rPr>
            </w:pPr>
            <w:r w:rsidRPr="00FA72FB">
              <w:rPr>
                <w:rFonts w:cs="Arial"/>
                <w:b/>
                <w:color w:val="000000"/>
                <w:sz w:val="18"/>
                <w:szCs w:val="18"/>
                <w:lang w:eastAsia="en-GB"/>
              </w:rPr>
              <w:t>Description</w:t>
            </w:r>
          </w:p>
        </w:tc>
      </w:tr>
      <w:tr w:rsidR="00E3489C" w:rsidRPr="00FA72FB" w14:paraId="1ED54CB7" w14:textId="77777777" w:rsidTr="00FA72FB">
        <w:trPr>
          <w:trHeight w:val="300"/>
        </w:trPr>
        <w:tc>
          <w:tcPr>
            <w:tcW w:w="1149" w:type="dxa"/>
            <w:shd w:val="clear" w:color="auto" w:fill="auto"/>
            <w:noWrap/>
            <w:vAlign w:val="center"/>
            <w:hideMark/>
          </w:tcPr>
          <w:p w14:paraId="09C499D7"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69</w:t>
            </w:r>
          </w:p>
        </w:tc>
        <w:tc>
          <w:tcPr>
            <w:tcW w:w="8222" w:type="dxa"/>
            <w:shd w:val="clear" w:color="auto" w:fill="auto"/>
            <w:noWrap/>
            <w:vAlign w:val="center"/>
            <w:hideMark/>
          </w:tcPr>
          <w:p w14:paraId="564E8F1E"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Legal and accounting activities</w:t>
            </w:r>
          </w:p>
        </w:tc>
      </w:tr>
      <w:tr w:rsidR="00E3489C" w:rsidRPr="00FA72FB" w14:paraId="072A7115" w14:textId="77777777" w:rsidTr="00FA72FB">
        <w:trPr>
          <w:trHeight w:val="300"/>
        </w:trPr>
        <w:tc>
          <w:tcPr>
            <w:tcW w:w="1149" w:type="dxa"/>
            <w:shd w:val="clear" w:color="auto" w:fill="auto"/>
            <w:noWrap/>
            <w:vAlign w:val="center"/>
            <w:hideMark/>
          </w:tcPr>
          <w:p w14:paraId="77ECC1A6"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70</w:t>
            </w:r>
          </w:p>
        </w:tc>
        <w:tc>
          <w:tcPr>
            <w:tcW w:w="8222" w:type="dxa"/>
            <w:shd w:val="clear" w:color="auto" w:fill="auto"/>
            <w:noWrap/>
            <w:vAlign w:val="center"/>
            <w:hideMark/>
          </w:tcPr>
          <w:p w14:paraId="50CDEDD9"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Activities of head offices; management consultancy activities</w:t>
            </w:r>
          </w:p>
        </w:tc>
      </w:tr>
      <w:tr w:rsidR="00E3489C" w:rsidRPr="00FA72FB" w14:paraId="3808601F" w14:textId="77777777" w:rsidTr="00FA72FB">
        <w:trPr>
          <w:trHeight w:val="300"/>
        </w:trPr>
        <w:tc>
          <w:tcPr>
            <w:tcW w:w="1149" w:type="dxa"/>
            <w:shd w:val="clear" w:color="auto" w:fill="auto"/>
            <w:noWrap/>
            <w:vAlign w:val="center"/>
            <w:hideMark/>
          </w:tcPr>
          <w:p w14:paraId="0240DE8A"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71</w:t>
            </w:r>
          </w:p>
        </w:tc>
        <w:tc>
          <w:tcPr>
            <w:tcW w:w="8222" w:type="dxa"/>
            <w:shd w:val="clear" w:color="auto" w:fill="auto"/>
            <w:noWrap/>
            <w:vAlign w:val="center"/>
            <w:hideMark/>
          </w:tcPr>
          <w:p w14:paraId="0DA6188C"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Architectural and engineering activities; technical testing and analysis</w:t>
            </w:r>
          </w:p>
        </w:tc>
      </w:tr>
      <w:tr w:rsidR="00E3489C" w:rsidRPr="00FA72FB" w14:paraId="0BDF66E3" w14:textId="77777777" w:rsidTr="00FA72FB">
        <w:trPr>
          <w:trHeight w:val="300"/>
        </w:trPr>
        <w:tc>
          <w:tcPr>
            <w:tcW w:w="1149" w:type="dxa"/>
            <w:shd w:val="clear" w:color="auto" w:fill="auto"/>
            <w:noWrap/>
            <w:vAlign w:val="center"/>
            <w:hideMark/>
          </w:tcPr>
          <w:p w14:paraId="345C44A7"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72</w:t>
            </w:r>
          </w:p>
        </w:tc>
        <w:tc>
          <w:tcPr>
            <w:tcW w:w="8222" w:type="dxa"/>
            <w:shd w:val="clear" w:color="auto" w:fill="auto"/>
            <w:noWrap/>
            <w:vAlign w:val="center"/>
            <w:hideMark/>
          </w:tcPr>
          <w:p w14:paraId="52C287C5"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Scientific research and development</w:t>
            </w:r>
          </w:p>
        </w:tc>
      </w:tr>
      <w:tr w:rsidR="00E3489C" w:rsidRPr="00FA72FB" w14:paraId="1560D61B" w14:textId="77777777" w:rsidTr="00FA72FB">
        <w:trPr>
          <w:trHeight w:val="300"/>
        </w:trPr>
        <w:tc>
          <w:tcPr>
            <w:tcW w:w="1149" w:type="dxa"/>
            <w:shd w:val="clear" w:color="auto" w:fill="auto"/>
            <w:noWrap/>
            <w:vAlign w:val="center"/>
            <w:hideMark/>
          </w:tcPr>
          <w:p w14:paraId="147ACF89"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73</w:t>
            </w:r>
          </w:p>
        </w:tc>
        <w:tc>
          <w:tcPr>
            <w:tcW w:w="8222" w:type="dxa"/>
            <w:shd w:val="clear" w:color="auto" w:fill="auto"/>
            <w:noWrap/>
            <w:vAlign w:val="center"/>
            <w:hideMark/>
          </w:tcPr>
          <w:p w14:paraId="46786FAB"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Advertising and market research</w:t>
            </w:r>
          </w:p>
        </w:tc>
      </w:tr>
      <w:tr w:rsidR="00E3489C" w:rsidRPr="00FA72FB" w14:paraId="6A51A524" w14:textId="77777777" w:rsidTr="00FA72FB">
        <w:trPr>
          <w:trHeight w:val="300"/>
        </w:trPr>
        <w:tc>
          <w:tcPr>
            <w:tcW w:w="1149" w:type="dxa"/>
            <w:shd w:val="clear" w:color="auto" w:fill="auto"/>
            <w:noWrap/>
            <w:vAlign w:val="center"/>
            <w:hideMark/>
          </w:tcPr>
          <w:p w14:paraId="3F027B43"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74</w:t>
            </w:r>
          </w:p>
        </w:tc>
        <w:tc>
          <w:tcPr>
            <w:tcW w:w="8222" w:type="dxa"/>
            <w:shd w:val="clear" w:color="auto" w:fill="auto"/>
            <w:noWrap/>
            <w:vAlign w:val="center"/>
            <w:hideMark/>
          </w:tcPr>
          <w:p w14:paraId="5D3F8EAF"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professional, scientific and technical activities</w:t>
            </w:r>
          </w:p>
        </w:tc>
      </w:tr>
      <w:tr w:rsidR="00E3489C" w:rsidRPr="00FA72FB" w14:paraId="14807F1E" w14:textId="77777777" w:rsidTr="00FA72FB">
        <w:trPr>
          <w:trHeight w:val="300"/>
        </w:trPr>
        <w:tc>
          <w:tcPr>
            <w:tcW w:w="1149" w:type="dxa"/>
            <w:shd w:val="clear" w:color="auto" w:fill="auto"/>
            <w:noWrap/>
            <w:vAlign w:val="center"/>
            <w:hideMark/>
          </w:tcPr>
          <w:p w14:paraId="5939408D"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77</w:t>
            </w:r>
          </w:p>
        </w:tc>
        <w:tc>
          <w:tcPr>
            <w:tcW w:w="8222" w:type="dxa"/>
            <w:shd w:val="clear" w:color="auto" w:fill="auto"/>
            <w:noWrap/>
            <w:vAlign w:val="center"/>
            <w:hideMark/>
          </w:tcPr>
          <w:p w14:paraId="046E3F56"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Rental and leasing activities</w:t>
            </w:r>
          </w:p>
        </w:tc>
      </w:tr>
      <w:tr w:rsidR="00E3489C" w:rsidRPr="00FA72FB" w14:paraId="7BE5EACA" w14:textId="77777777" w:rsidTr="00FA72FB">
        <w:trPr>
          <w:trHeight w:val="300"/>
        </w:trPr>
        <w:tc>
          <w:tcPr>
            <w:tcW w:w="1149" w:type="dxa"/>
            <w:shd w:val="clear" w:color="auto" w:fill="auto"/>
            <w:noWrap/>
            <w:vAlign w:val="center"/>
            <w:hideMark/>
          </w:tcPr>
          <w:p w14:paraId="2099503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78</w:t>
            </w:r>
          </w:p>
        </w:tc>
        <w:tc>
          <w:tcPr>
            <w:tcW w:w="8222" w:type="dxa"/>
            <w:shd w:val="clear" w:color="auto" w:fill="auto"/>
            <w:noWrap/>
            <w:vAlign w:val="center"/>
            <w:hideMark/>
          </w:tcPr>
          <w:p w14:paraId="34A6BE79"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Employment activities</w:t>
            </w:r>
          </w:p>
        </w:tc>
      </w:tr>
      <w:tr w:rsidR="00E3489C" w:rsidRPr="00FA72FB" w14:paraId="09B55636" w14:textId="77777777" w:rsidTr="00FA72FB">
        <w:trPr>
          <w:trHeight w:val="300"/>
        </w:trPr>
        <w:tc>
          <w:tcPr>
            <w:tcW w:w="1149" w:type="dxa"/>
            <w:shd w:val="clear" w:color="auto" w:fill="auto"/>
            <w:noWrap/>
            <w:vAlign w:val="center"/>
            <w:hideMark/>
          </w:tcPr>
          <w:p w14:paraId="3E6D487C"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82</w:t>
            </w:r>
          </w:p>
        </w:tc>
        <w:tc>
          <w:tcPr>
            <w:tcW w:w="8222" w:type="dxa"/>
            <w:shd w:val="clear" w:color="auto" w:fill="auto"/>
            <w:noWrap/>
            <w:vAlign w:val="center"/>
            <w:hideMark/>
          </w:tcPr>
          <w:p w14:paraId="018295B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Office administrative, office support and other business support activities</w:t>
            </w:r>
          </w:p>
        </w:tc>
      </w:tr>
    </w:tbl>
    <w:p w14:paraId="0CB8FDDC" w14:textId="53BE5AC5" w:rsidR="00682CD3" w:rsidRDefault="00682CD3" w:rsidP="00E3489C"/>
    <w:p w14:paraId="48621EEA" w14:textId="3EB71CE0" w:rsidR="00E3489C" w:rsidRDefault="00682CD3" w:rsidP="00F0636B">
      <w:pPr>
        <w:pStyle w:val="Heading1Numbered"/>
      </w:pPr>
      <w:bookmarkStart w:id="151" w:name="_Ref460261622"/>
      <w:bookmarkStart w:id="152" w:name="_Toc467569654"/>
      <w:r>
        <w:lastRenderedPageBreak/>
        <w:t>Appendix VI – Data sources and details of variables</w:t>
      </w:r>
      <w:bookmarkEnd w:id="151"/>
      <w:bookmarkEnd w:id="152"/>
    </w:p>
    <w:p w14:paraId="17429741" w14:textId="77777777" w:rsidR="00682CD3" w:rsidRDefault="00682CD3"/>
    <w:tbl>
      <w:tblPr>
        <w:tblStyle w:val="TableGridLight1"/>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8"/>
        <w:gridCol w:w="5386"/>
      </w:tblGrid>
      <w:tr w:rsidR="00682CD3" w:rsidRPr="001D6533" w14:paraId="22053CFE" w14:textId="77777777" w:rsidTr="00511EC8">
        <w:trPr>
          <w:trHeight w:val="270"/>
        </w:trPr>
        <w:tc>
          <w:tcPr>
            <w:tcW w:w="3578" w:type="dxa"/>
            <w:tcBorders>
              <w:top w:val="single" w:sz="4" w:space="0" w:color="auto"/>
              <w:left w:val="nil"/>
              <w:bottom w:val="single" w:sz="4" w:space="0" w:color="auto"/>
              <w:right w:val="nil"/>
            </w:tcBorders>
          </w:tcPr>
          <w:p w14:paraId="5BB2AC2F" w14:textId="77777777" w:rsidR="00682CD3" w:rsidRPr="001D6533" w:rsidRDefault="00682CD3" w:rsidP="00955D2E">
            <w:pPr>
              <w:ind w:left="34"/>
              <w:rPr>
                <w:rFonts w:cs="Arial"/>
                <w:b/>
                <w:bCs/>
                <w:szCs w:val="22"/>
              </w:rPr>
            </w:pPr>
            <w:r w:rsidRPr="001D6533">
              <w:rPr>
                <w:rFonts w:cs="Arial"/>
                <w:b/>
                <w:bCs/>
                <w:szCs w:val="22"/>
              </w:rPr>
              <w:t>Variable</w:t>
            </w:r>
          </w:p>
        </w:tc>
        <w:tc>
          <w:tcPr>
            <w:tcW w:w="5386" w:type="dxa"/>
            <w:tcBorders>
              <w:top w:val="single" w:sz="4" w:space="0" w:color="auto"/>
              <w:left w:val="nil"/>
              <w:bottom w:val="single" w:sz="4" w:space="0" w:color="auto"/>
              <w:right w:val="nil"/>
            </w:tcBorders>
          </w:tcPr>
          <w:p w14:paraId="70846435" w14:textId="77777777" w:rsidR="00682CD3" w:rsidRPr="001D6533" w:rsidRDefault="00682CD3" w:rsidP="00955D2E">
            <w:pPr>
              <w:ind w:left="271"/>
              <w:rPr>
                <w:rFonts w:cs="Arial"/>
                <w:b/>
                <w:bCs/>
                <w:szCs w:val="22"/>
              </w:rPr>
            </w:pPr>
            <w:r w:rsidRPr="001D6533">
              <w:rPr>
                <w:rFonts w:cs="Arial"/>
                <w:b/>
                <w:bCs/>
                <w:szCs w:val="22"/>
              </w:rPr>
              <w:t>Definition and source</w:t>
            </w:r>
          </w:p>
        </w:tc>
      </w:tr>
      <w:tr w:rsidR="00682CD3" w:rsidRPr="001D6533" w14:paraId="41D76BC1" w14:textId="77777777" w:rsidTr="00511EC8">
        <w:trPr>
          <w:trHeight w:val="270"/>
        </w:trPr>
        <w:tc>
          <w:tcPr>
            <w:tcW w:w="3578" w:type="dxa"/>
            <w:tcBorders>
              <w:top w:val="single" w:sz="4" w:space="0" w:color="auto"/>
              <w:left w:val="nil"/>
              <w:bottom w:val="nil"/>
              <w:right w:val="nil"/>
            </w:tcBorders>
          </w:tcPr>
          <w:p w14:paraId="060D785A" w14:textId="77777777" w:rsidR="00511EC8" w:rsidRDefault="00511EC8" w:rsidP="00955D2E">
            <w:pPr>
              <w:ind w:left="34"/>
              <w:rPr>
                <w:rFonts w:cs="Arial"/>
                <w:b/>
                <w:bCs/>
                <w:szCs w:val="22"/>
                <w:u w:val="single"/>
              </w:rPr>
            </w:pPr>
          </w:p>
          <w:p w14:paraId="3E0199F1" w14:textId="77777777" w:rsidR="00682CD3" w:rsidRPr="001D6533" w:rsidRDefault="00682CD3" w:rsidP="00955D2E">
            <w:pPr>
              <w:ind w:left="34"/>
              <w:rPr>
                <w:rFonts w:cs="Arial"/>
                <w:b/>
                <w:bCs/>
                <w:szCs w:val="22"/>
                <w:u w:val="single"/>
              </w:rPr>
            </w:pPr>
            <w:r w:rsidRPr="001D6533">
              <w:rPr>
                <w:rFonts w:cs="Arial"/>
                <w:b/>
                <w:bCs/>
                <w:szCs w:val="22"/>
                <w:u w:val="single"/>
              </w:rPr>
              <w:t>Dependent variables</w:t>
            </w:r>
          </w:p>
        </w:tc>
        <w:tc>
          <w:tcPr>
            <w:tcW w:w="5386" w:type="dxa"/>
            <w:tcBorders>
              <w:top w:val="single" w:sz="4" w:space="0" w:color="auto"/>
              <w:left w:val="nil"/>
              <w:bottom w:val="nil"/>
              <w:right w:val="nil"/>
            </w:tcBorders>
          </w:tcPr>
          <w:p w14:paraId="5E7B78D5" w14:textId="77777777" w:rsidR="00682CD3" w:rsidRPr="001D6533" w:rsidRDefault="00682CD3" w:rsidP="00955D2E">
            <w:pPr>
              <w:ind w:left="271"/>
              <w:rPr>
                <w:rFonts w:cs="Arial"/>
                <w:b/>
                <w:bCs/>
                <w:szCs w:val="22"/>
              </w:rPr>
            </w:pPr>
          </w:p>
        </w:tc>
      </w:tr>
      <w:tr w:rsidR="00682CD3" w:rsidRPr="001D6533" w14:paraId="55329508" w14:textId="77777777" w:rsidTr="00511EC8">
        <w:trPr>
          <w:trHeight w:val="270"/>
        </w:trPr>
        <w:tc>
          <w:tcPr>
            <w:tcW w:w="3578" w:type="dxa"/>
            <w:tcBorders>
              <w:top w:val="nil"/>
              <w:left w:val="nil"/>
              <w:bottom w:val="nil"/>
              <w:right w:val="nil"/>
            </w:tcBorders>
          </w:tcPr>
          <w:p w14:paraId="004DA5EE" w14:textId="77777777" w:rsidR="00682CD3" w:rsidRPr="001D6533" w:rsidRDefault="00682CD3" w:rsidP="00955D2E">
            <w:pPr>
              <w:ind w:left="34"/>
              <w:rPr>
                <w:rFonts w:cs="Arial"/>
                <w:bCs/>
                <w:szCs w:val="22"/>
              </w:rPr>
            </w:pPr>
            <w:r w:rsidRPr="001D6533">
              <w:rPr>
                <w:rFonts w:cs="Arial"/>
                <w:bCs/>
                <w:szCs w:val="22"/>
              </w:rPr>
              <w:t>Firm density</w:t>
            </w:r>
          </w:p>
        </w:tc>
        <w:tc>
          <w:tcPr>
            <w:tcW w:w="5386" w:type="dxa"/>
            <w:tcBorders>
              <w:top w:val="nil"/>
              <w:left w:val="nil"/>
              <w:bottom w:val="nil"/>
              <w:right w:val="nil"/>
            </w:tcBorders>
          </w:tcPr>
          <w:p w14:paraId="3DE354A2" w14:textId="77777777" w:rsidR="00682CD3" w:rsidRPr="001D6533" w:rsidRDefault="00682CD3" w:rsidP="00955D2E">
            <w:pPr>
              <w:ind w:left="0"/>
              <w:rPr>
                <w:rFonts w:cs="Arial"/>
                <w:bCs/>
                <w:szCs w:val="22"/>
              </w:rPr>
            </w:pPr>
            <w:r w:rsidRPr="001D6533">
              <w:rPr>
                <w:rFonts w:cs="Arial"/>
                <w:bCs/>
                <w:szCs w:val="22"/>
              </w:rPr>
              <w:t xml:space="preserve">Number of </w:t>
            </w:r>
            <w:r>
              <w:rPr>
                <w:rFonts w:cs="Arial"/>
                <w:bCs/>
                <w:szCs w:val="22"/>
              </w:rPr>
              <w:t xml:space="preserve">live </w:t>
            </w:r>
            <w:r w:rsidRPr="001D6533">
              <w:rPr>
                <w:rFonts w:cs="Arial"/>
                <w:bCs/>
                <w:szCs w:val="22"/>
              </w:rPr>
              <w:t>firms per capita in e</w:t>
            </w:r>
            <w:r>
              <w:rPr>
                <w:rFonts w:cs="Arial"/>
                <w:bCs/>
                <w:szCs w:val="22"/>
              </w:rPr>
              <w:t>ach local authority. Data from TBR’s Trends Central Resource.</w:t>
            </w:r>
          </w:p>
        </w:tc>
      </w:tr>
      <w:tr w:rsidR="00682CD3" w:rsidRPr="001D6533" w14:paraId="1E39ABB0" w14:textId="77777777" w:rsidTr="00511EC8">
        <w:trPr>
          <w:trHeight w:val="270"/>
        </w:trPr>
        <w:tc>
          <w:tcPr>
            <w:tcW w:w="3578" w:type="dxa"/>
            <w:tcBorders>
              <w:top w:val="nil"/>
              <w:left w:val="nil"/>
              <w:bottom w:val="nil"/>
              <w:right w:val="nil"/>
            </w:tcBorders>
          </w:tcPr>
          <w:p w14:paraId="108C3564" w14:textId="77777777" w:rsidR="00682CD3" w:rsidRPr="001D6533" w:rsidRDefault="00682CD3" w:rsidP="00955D2E">
            <w:pPr>
              <w:ind w:left="34"/>
              <w:rPr>
                <w:rFonts w:cs="Arial"/>
                <w:bCs/>
                <w:szCs w:val="22"/>
              </w:rPr>
            </w:pPr>
            <w:r w:rsidRPr="001D6533">
              <w:rPr>
                <w:rFonts w:cs="Arial"/>
                <w:bCs/>
                <w:szCs w:val="22"/>
              </w:rPr>
              <w:t>Turnover per capita</w:t>
            </w:r>
          </w:p>
        </w:tc>
        <w:tc>
          <w:tcPr>
            <w:tcW w:w="5386" w:type="dxa"/>
            <w:tcBorders>
              <w:top w:val="nil"/>
              <w:left w:val="nil"/>
              <w:bottom w:val="nil"/>
              <w:right w:val="nil"/>
            </w:tcBorders>
          </w:tcPr>
          <w:p w14:paraId="6DE8FCDD" w14:textId="77777777" w:rsidR="00682CD3" w:rsidRPr="001D6533" w:rsidRDefault="00682CD3" w:rsidP="00955D2E">
            <w:pPr>
              <w:ind w:left="0"/>
              <w:rPr>
                <w:rFonts w:cs="Arial"/>
                <w:bCs/>
                <w:szCs w:val="22"/>
              </w:rPr>
            </w:pPr>
            <w:r w:rsidRPr="001D6533">
              <w:rPr>
                <w:rFonts w:cs="Arial"/>
                <w:bCs/>
                <w:szCs w:val="22"/>
              </w:rPr>
              <w:t>Turnover in all live firms per capita in each local authority. Data from TBR’s Trends Central Resource.</w:t>
            </w:r>
          </w:p>
        </w:tc>
      </w:tr>
      <w:tr w:rsidR="00682CD3" w:rsidRPr="001D6533" w14:paraId="7E91A52C" w14:textId="77777777" w:rsidTr="00511EC8">
        <w:trPr>
          <w:trHeight w:val="270"/>
        </w:trPr>
        <w:tc>
          <w:tcPr>
            <w:tcW w:w="3578" w:type="dxa"/>
            <w:tcBorders>
              <w:top w:val="nil"/>
              <w:left w:val="nil"/>
              <w:bottom w:val="nil"/>
              <w:right w:val="nil"/>
            </w:tcBorders>
          </w:tcPr>
          <w:p w14:paraId="257C4D17" w14:textId="505EBA96" w:rsidR="00682CD3" w:rsidRPr="001D6533" w:rsidRDefault="00682CD3" w:rsidP="00410E03">
            <w:pPr>
              <w:ind w:left="34"/>
              <w:rPr>
                <w:rFonts w:cs="Arial"/>
                <w:bCs/>
                <w:szCs w:val="22"/>
              </w:rPr>
            </w:pPr>
            <w:r w:rsidRPr="001D6533">
              <w:rPr>
                <w:rFonts w:cs="Arial"/>
                <w:bCs/>
                <w:szCs w:val="22"/>
              </w:rPr>
              <w:t xml:space="preserve">Net </w:t>
            </w:r>
            <w:r w:rsidR="00410E03">
              <w:rPr>
                <w:rFonts w:cs="Arial"/>
                <w:bCs/>
                <w:szCs w:val="22"/>
              </w:rPr>
              <w:t>firm gain</w:t>
            </w:r>
            <w:r w:rsidRPr="001D6533">
              <w:rPr>
                <w:rFonts w:cs="Arial"/>
                <w:bCs/>
                <w:szCs w:val="22"/>
              </w:rPr>
              <w:t xml:space="preserve"> per capita</w:t>
            </w:r>
          </w:p>
        </w:tc>
        <w:tc>
          <w:tcPr>
            <w:tcW w:w="5386" w:type="dxa"/>
            <w:tcBorders>
              <w:top w:val="nil"/>
              <w:left w:val="nil"/>
              <w:bottom w:val="nil"/>
              <w:right w:val="nil"/>
            </w:tcBorders>
          </w:tcPr>
          <w:p w14:paraId="2CA63024" w14:textId="77777777" w:rsidR="00682CD3" w:rsidRPr="001D6533" w:rsidRDefault="00682CD3" w:rsidP="00955D2E">
            <w:pPr>
              <w:ind w:left="0"/>
              <w:rPr>
                <w:rFonts w:cs="Arial"/>
                <w:bCs/>
                <w:szCs w:val="22"/>
              </w:rPr>
            </w:pPr>
            <w:r w:rsidRPr="001D6533">
              <w:rPr>
                <w:rFonts w:cs="Arial"/>
                <w:bCs/>
                <w:szCs w:val="22"/>
              </w:rPr>
              <w:t>Total number of firm births and firms migrating inward less the number of firm deaths and firms migrating outward per capita per year in each local authority. Data from TBR’s Trends Central Resource.</w:t>
            </w:r>
          </w:p>
        </w:tc>
      </w:tr>
      <w:tr w:rsidR="00682CD3" w:rsidRPr="001D6533" w14:paraId="229D83D5" w14:textId="77777777" w:rsidTr="00511EC8">
        <w:trPr>
          <w:trHeight w:val="270"/>
        </w:trPr>
        <w:tc>
          <w:tcPr>
            <w:tcW w:w="3578" w:type="dxa"/>
            <w:tcBorders>
              <w:top w:val="nil"/>
              <w:left w:val="nil"/>
              <w:bottom w:val="nil"/>
              <w:right w:val="nil"/>
            </w:tcBorders>
          </w:tcPr>
          <w:p w14:paraId="347A8FDB" w14:textId="572555DB" w:rsidR="00682CD3" w:rsidRPr="001D6533" w:rsidRDefault="00682CD3" w:rsidP="00955D2E">
            <w:pPr>
              <w:ind w:left="34"/>
              <w:rPr>
                <w:rFonts w:cs="Arial"/>
                <w:bCs/>
                <w:szCs w:val="22"/>
              </w:rPr>
            </w:pPr>
            <w:r w:rsidRPr="001D6533">
              <w:rPr>
                <w:rFonts w:cs="Arial"/>
                <w:bCs/>
                <w:szCs w:val="22"/>
              </w:rPr>
              <w:t xml:space="preserve">Location quotient of creative </w:t>
            </w:r>
            <w:r w:rsidR="00E17DB0">
              <w:rPr>
                <w:rFonts w:cs="Arial"/>
                <w:bCs/>
                <w:szCs w:val="22"/>
              </w:rPr>
              <w:br/>
            </w:r>
            <w:r w:rsidRPr="001D6533">
              <w:rPr>
                <w:rFonts w:cs="Arial"/>
                <w:bCs/>
                <w:szCs w:val="22"/>
              </w:rPr>
              <w:t>firms</w:t>
            </w:r>
          </w:p>
        </w:tc>
        <w:tc>
          <w:tcPr>
            <w:tcW w:w="5386" w:type="dxa"/>
            <w:tcBorders>
              <w:top w:val="nil"/>
              <w:left w:val="nil"/>
              <w:bottom w:val="nil"/>
              <w:right w:val="nil"/>
            </w:tcBorders>
          </w:tcPr>
          <w:p w14:paraId="5CED9C99" w14:textId="0AFA218A" w:rsidR="00682CD3" w:rsidRPr="00F8510E" w:rsidRDefault="00682CD3" w:rsidP="00955D2E">
            <w:pPr>
              <w:ind w:left="0"/>
              <w:rPr>
                <w:rFonts w:cs="Arial"/>
                <w:bCs/>
                <w:szCs w:val="22"/>
              </w:rPr>
            </w:pPr>
            <w:r w:rsidRPr="00F8510E">
              <w:rPr>
                <w:rFonts w:cs="Arial"/>
                <w:bCs/>
                <w:szCs w:val="22"/>
              </w:rPr>
              <w:t>Th</w:t>
            </w:r>
            <w:r>
              <w:rPr>
                <w:rFonts w:cs="Arial"/>
                <w:bCs/>
                <w:szCs w:val="22"/>
              </w:rPr>
              <w:t>e location quotient is an in</w:t>
            </w:r>
            <w:r w:rsidRPr="00F8510E">
              <w:rPr>
                <w:rFonts w:cs="Arial"/>
                <w:bCs/>
                <w:szCs w:val="22"/>
              </w:rPr>
              <w:t>d</w:t>
            </w:r>
            <w:r>
              <w:rPr>
                <w:rFonts w:cs="Arial"/>
                <w:bCs/>
                <w:szCs w:val="22"/>
              </w:rPr>
              <w:t>ic</w:t>
            </w:r>
            <w:r w:rsidRPr="00F8510E">
              <w:rPr>
                <w:rFonts w:cs="Arial"/>
                <w:bCs/>
                <w:szCs w:val="22"/>
              </w:rPr>
              <w:t>ator of the special</w:t>
            </w:r>
            <w:r w:rsidR="00410E03">
              <w:rPr>
                <w:rFonts w:cs="Arial"/>
                <w:bCs/>
                <w:szCs w:val="22"/>
              </w:rPr>
              <w:t>ised</w:t>
            </w:r>
            <w:r w:rsidRPr="00F8510E">
              <w:rPr>
                <w:rFonts w:cs="Arial"/>
                <w:bCs/>
                <w:szCs w:val="22"/>
              </w:rPr>
              <w:t xml:space="preserve"> clustering of an industry. The location quotient of creative firms in a local authority is </w:t>
            </w:r>
            <w:r>
              <w:rPr>
                <w:rFonts w:cs="Arial"/>
                <w:bCs/>
                <w:szCs w:val="22"/>
              </w:rPr>
              <w:t>the ratio of the number creative firms in the local authority to nationally, divided by the ratio of total firms in the local authority compared to nationally. Data from TBR’s Trends Central Resource.</w:t>
            </w:r>
          </w:p>
        </w:tc>
      </w:tr>
      <w:tr w:rsidR="00682CD3" w:rsidRPr="001D6533" w14:paraId="09B9791E" w14:textId="77777777" w:rsidTr="00511EC8">
        <w:trPr>
          <w:trHeight w:val="270"/>
        </w:trPr>
        <w:tc>
          <w:tcPr>
            <w:tcW w:w="3578" w:type="dxa"/>
            <w:tcBorders>
              <w:top w:val="nil"/>
              <w:left w:val="nil"/>
              <w:bottom w:val="nil"/>
              <w:right w:val="nil"/>
            </w:tcBorders>
            <w:hideMark/>
          </w:tcPr>
          <w:p w14:paraId="21180C2D" w14:textId="77777777" w:rsidR="00FA72FB" w:rsidRDefault="00FA72FB" w:rsidP="00955D2E">
            <w:pPr>
              <w:ind w:left="34"/>
              <w:rPr>
                <w:rFonts w:cs="Arial"/>
                <w:b/>
                <w:bCs/>
                <w:szCs w:val="22"/>
                <w:u w:val="single"/>
              </w:rPr>
            </w:pPr>
          </w:p>
          <w:p w14:paraId="0FD74B96" w14:textId="77777777" w:rsidR="00682CD3" w:rsidRPr="001D6533" w:rsidRDefault="00682CD3" w:rsidP="00955D2E">
            <w:pPr>
              <w:ind w:left="34"/>
              <w:rPr>
                <w:rFonts w:cs="Arial"/>
                <w:b/>
                <w:szCs w:val="22"/>
                <w:u w:val="single"/>
              </w:rPr>
            </w:pPr>
            <w:r w:rsidRPr="001D6533">
              <w:rPr>
                <w:rFonts w:cs="Arial"/>
                <w:b/>
                <w:bCs/>
                <w:szCs w:val="22"/>
                <w:u w:val="single"/>
              </w:rPr>
              <w:t>Assets</w:t>
            </w:r>
          </w:p>
        </w:tc>
        <w:tc>
          <w:tcPr>
            <w:tcW w:w="5386" w:type="dxa"/>
            <w:tcBorders>
              <w:top w:val="nil"/>
              <w:left w:val="nil"/>
              <w:bottom w:val="nil"/>
              <w:right w:val="nil"/>
            </w:tcBorders>
          </w:tcPr>
          <w:p w14:paraId="517B7EBA" w14:textId="77777777" w:rsidR="00682CD3" w:rsidRPr="001D6533" w:rsidRDefault="00682CD3" w:rsidP="00955D2E">
            <w:pPr>
              <w:ind w:left="112"/>
              <w:jc w:val="center"/>
              <w:rPr>
                <w:rFonts w:cs="Arial"/>
                <w:szCs w:val="22"/>
              </w:rPr>
            </w:pPr>
          </w:p>
        </w:tc>
      </w:tr>
      <w:tr w:rsidR="00682CD3" w:rsidRPr="001D6533" w14:paraId="4CD76F9E" w14:textId="77777777" w:rsidTr="00511EC8">
        <w:trPr>
          <w:trHeight w:val="270"/>
        </w:trPr>
        <w:tc>
          <w:tcPr>
            <w:tcW w:w="3578" w:type="dxa"/>
            <w:tcBorders>
              <w:top w:val="nil"/>
              <w:left w:val="nil"/>
              <w:bottom w:val="nil"/>
              <w:right w:val="nil"/>
            </w:tcBorders>
            <w:hideMark/>
          </w:tcPr>
          <w:p w14:paraId="2B683BAE" w14:textId="77777777" w:rsidR="00682CD3" w:rsidRPr="001D6533" w:rsidRDefault="00682CD3" w:rsidP="00955D2E">
            <w:pPr>
              <w:ind w:left="34"/>
              <w:rPr>
                <w:rFonts w:cs="Arial"/>
                <w:szCs w:val="22"/>
              </w:rPr>
            </w:pPr>
            <w:r w:rsidRPr="001D6533">
              <w:rPr>
                <w:rFonts w:eastAsia="Calibri" w:cs="Arial"/>
                <w:szCs w:val="22"/>
              </w:rPr>
              <w:t xml:space="preserve">Heritage assets </w:t>
            </w:r>
          </w:p>
        </w:tc>
        <w:tc>
          <w:tcPr>
            <w:tcW w:w="5386" w:type="dxa"/>
            <w:tcBorders>
              <w:top w:val="nil"/>
              <w:left w:val="nil"/>
              <w:bottom w:val="nil"/>
              <w:right w:val="nil"/>
            </w:tcBorders>
          </w:tcPr>
          <w:p w14:paraId="58C65C80" w14:textId="057A8A25" w:rsidR="00682CD3" w:rsidRPr="001D6533" w:rsidRDefault="00682CD3" w:rsidP="00E04CC6">
            <w:pPr>
              <w:ind w:left="0"/>
              <w:rPr>
                <w:rFonts w:cs="Arial"/>
                <w:szCs w:val="22"/>
              </w:rPr>
            </w:pPr>
            <w:r>
              <w:rPr>
                <w:rFonts w:cs="Arial"/>
                <w:szCs w:val="22"/>
              </w:rPr>
              <w:t>Heritage assets is a compound measure of the number of scheduled monuments and listed buildings of</w:t>
            </w:r>
            <w:r w:rsidR="00E04CC6">
              <w:rPr>
                <w:rFonts w:cs="Arial"/>
                <w:szCs w:val="22"/>
              </w:rPr>
              <w:t xml:space="preserve"> grades I, II* </w:t>
            </w:r>
            <w:r>
              <w:rPr>
                <w:rFonts w:cs="Arial"/>
                <w:szCs w:val="22"/>
              </w:rPr>
              <w:t>and II</w:t>
            </w:r>
            <w:r w:rsidR="003B7E0C">
              <w:rPr>
                <w:rFonts w:cs="Arial"/>
                <w:szCs w:val="22"/>
              </w:rPr>
              <w:t>,</w:t>
            </w:r>
            <w:r w:rsidR="003B7E0C" w:rsidRPr="003B7E0C">
              <w:rPr>
                <w:rFonts w:cs="Arial"/>
                <w:szCs w:val="22"/>
              </w:rPr>
              <w:t xml:space="preserve"> protected wrecks and registered parks, gardens and battlefields</w:t>
            </w:r>
            <w:r>
              <w:rPr>
                <w:rFonts w:cs="Arial"/>
                <w:szCs w:val="22"/>
              </w:rPr>
              <w:t xml:space="preserve"> in a local authority. Data from </w:t>
            </w:r>
            <w:r w:rsidR="00E04CC6">
              <w:rPr>
                <w:rFonts w:cs="Arial"/>
                <w:szCs w:val="22"/>
              </w:rPr>
              <w:t>National</w:t>
            </w:r>
            <w:r>
              <w:rPr>
                <w:rFonts w:cs="Arial"/>
                <w:szCs w:val="22"/>
              </w:rPr>
              <w:t xml:space="preserve"> Heritage List for England. This data was not available as time series.</w:t>
            </w:r>
          </w:p>
        </w:tc>
      </w:tr>
      <w:tr w:rsidR="00682CD3" w:rsidRPr="001D6533" w14:paraId="5133BCAD" w14:textId="77777777" w:rsidTr="00511EC8">
        <w:trPr>
          <w:trHeight w:val="270"/>
        </w:trPr>
        <w:tc>
          <w:tcPr>
            <w:tcW w:w="3578" w:type="dxa"/>
            <w:tcBorders>
              <w:top w:val="nil"/>
              <w:left w:val="nil"/>
              <w:bottom w:val="nil"/>
              <w:right w:val="nil"/>
            </w:tcBorders>
            <w:hideMark/>
          </w:tcPr>
          <w:p w14:paraId="7FE1E76C" w14:textId="77777777" w:rsidR="00682CD3" w:rsidRPr="001D6533" w:rsidRDefault="00682CD3" w:rsidP="00955D2E">
            <w:pPr>
              <w:ind w:left="34"/>
              <w:rPr>
                <w:rFonts w:cs="Arial"/>
                <w:szCs w:val="22"/>
              </w:rPr>
            </w:pPr>
            <w:r w:rsidRPr="001D6533">
              <w:rPr>
                <w:rFonts w:eastAsia="Calibri" w:cs="Arial"/>
                <w:szCs w:val="22"/>
              </w:rPr>
              <w:t xml:space="preserve">Sports assets </w:t>
            </w:r>
          </w:p>
        </w:tc>
        <w:tc>
          <w:tcPr>
            <w:tcW w:w="5386" w:type="dxa"/>
            <w:tcBorders>
              <w:top w:val="nil"/>
              <w:left w:val="nil"/>
              <w:bottom w:val="nil"/>
              <w:right w:val="nil"/>
            </w:tcBorders>
          </w:tcPr>
          <w:p w14:paraId="18781113" w14:textId="56ECFEC2" w:rsidR="00682CD3" w:rsidRPr="001D6533" w:rsidRDefault="00682CD3" w:rsidP="002F11F1">
            <w:pPr>
              <w:ind w:left="0"/>
              <w:rPr>
                <w:rFonts w:cs="Arial"/>
                <w:szCs w:val="22"/>
              </w:rPr>
            </w:pPr>
            <w:r>
              <w:rPr>
                <w:rFonts w:cs="Arial"/>
                <w:szCs w:val="22"/>
              </w:rPr>
              <w:t xml:space="preserve">Sports assets measures the availability of community sport in an area. It is the number of active places listed on the </w:t>
            </w:r>
            <w:r w:rsidR="00410E03">
              <w:rPr>
                <w:rFonts w:cs="Arial"/>
                <w:szCs w:val="22"/>
              </w:rPr>
              <w:t>A</w:t>
            </w:r>
            <w:r>
              <w:rPr>
                <w:rFonts w:cs="Arial"/>
                <w:szCs w:val="22"/>
              </w:rPr>
              <w:t xml:space="preserve">ctive </w:t>
            </w:r>
            <w:r w:rsidR="00410E03">
              <w:rPr>
                <w:rFonts w:cs="Arial"/>
                <w:szCs w:val="22"/>
              </w:rPr>
              <w:t>P</w:t>
            </w:r>
            <w:r>
              <w:rPr>
                <w:rFonts w:cs="Arial"/>
                <w:szCs w:val="22"/>
              </w:rPr>
              <w:t xml:space="preserve">laces </w:t>
            </w:r>
            <w:r w:rsidR="00410E03">
              <w:rPr>
                <w:rFonts w:cs="Arial"/>
                <w:szCs w:val="22"/>
              </w:rPr>
              <w:t>P</w:t>
            </w:r>
            <w:r>
              <w:rPr>
                <w:rFonts w:cs="Arial"/>
                <w:szCs w:val="22"/>
              </w:rPr>
              <w:t>ower website (</w:t>
            </w:r>
            <w:hyperlink r:id="rId35" w:history="1">
              <w:r w:rsidRPr="000620E5">
                <w:rPr>
                  <w:rStyle w:val="Hyperlink"/>
                  <w:rFonts w:cs="Arial"/>
                  <w:szCs w:val="22"/>
                </w:rPr>
                <w:t>https://www.activeplacespower.com/</w:t>
              </w:r>
            </w:hyperlink>
            <w:r>
              <w:rPr>
                <w:rFonts w:cs="Arial"/>
                <w:szCs w:val="22"/>
              </w:rPr>
              <w:t xml:space="preserve">) in each local authority. </w:t>
            </w:r>
            <w:r w:rsidR="002F11F1">
              <w:rPr>
                <w:rFonts w:cs="Arial"/>
                <w:szCs w:val="22"/>
              </w:rPr>
              <w:t>D</w:t>
            </w:r>
            <w:r>
              <w:rPr>
                <w:rFonts w:cs="Arial"/>
                <w:szCs w:val="22"/>
              </w:rPr>
              <w:t>ata was available from 2009 to 2015.</w:t>
            </w:r>
          </w:p>
        </w:tc>
      </w:tr>
      <w:tr w:rsidR="00682CD3" w:rsidRPr="001D6533" w14:paraId="3D146B6B" w14:textId="77777777" w:rsidTr="00511EC8">
        <w:trPr>
          <w:trHeight w:val="270"/>
        </w:trPr>
        <w:tc>
          <w:tcPr>
            <w:tcW w:w="3578" w:type="dxa"/>
            <w:tcBorders>
              <w:top w:val="nil"/>
              <w:left w:val="nil"/>
              <w:bottom w:val="nil"/>
              <w:right w:val="nil"/>
            </w:tcBorders>
          </w:tcPr>
          <w:p w14:paraId="48DA0A38" w14:textId="77777777" w:rsidR="00682CD3" w:rsidRPr="001D6533" w:rsidRDefault="00682CD3" w:rsidP="00955D2E">
            <w:pPr>
              <w:ind w:left="34"/>
              <w:rPr>
                <w:rFonts w:cs="Arial"/>
                <w:bCs/>
                <w:szCs w:val="22"/>
              </w:rPr>
            </w:pPr>
            <w:r>
              <w:rPr>
                <w:rFonts w:eastAsia="Calibri" w:cs="Arial"/>
                <w:szCs w:val="22"/>
              </w:rPr>
              <w:lastRenderedPageBreak/>
              <w:t>Cultural events</w:t>
            </w:r>
          </w:p>
        </w:tc>
        <w:tc>
          <w:tcPr>
            <w:tcW w:w="5386" w:type="dxa"/>
            <w:tcBorders>
              <w:top w:val="nil"/>
              <w:left w:val="nil"/>
              <w:bottom w:val="nil"/>
              <w:right w:val="nil"/>
            </w:tcBorders>
          </w:tcPr>
          <w:p w14:paraId="6FC6EA38" w14:textId="6FDA9238" w:rsidR="00682CD3" w:rsidRPr="001D6533" w:rsidRDefault="00682CD3" w:rsidP="003B7E0C">
            <w:pPr>
              <w:ind w:left="0"/>
              <w:rPr>
                <w:rFonts w:cs="Arial"/>
                <w:szCs w:val="22"/>
              </w:rPr>
            </w:pPr>
            <w:r>
              <w:rPr>
                <w:rFonts w:cs="Arial"/>
                <w:szCs w:val="22"/>
              </w:rPr>
              <w:t>Cultural events are measured by cultural listings on the Culture24 website, a government funded website (</w:t>
            </w:r>
            <w:hyperlink r:id="rId36" w:history="1">
              <w:r w:rsidRPr="000620E5">
                <w:rPr>
                  <w:rStyle w:val="Hyperlink"/>
                  <w:rFonts w:cs="Arial"/>
                  <w:szCs w:val="22"/>
                </w:rPr>
                <w:t>http://www.culture24.org.uk/home</w:t>
              </w:r>
            </w:hyperlink>
            <w:r>
              <w:rPr>
                <w:rFonts w:cs="Arial"/>
                <w:szCs w:val="22"/>
              </w:rPr>
              <w:t>) which provides event listings from UK museums</w:t>
            </w:r>
            <w:r w:rsidR="003B7E0C">
              <w:rPr>
                <w:rFonts w:cs="Arial"/>
                <w:szCs w:val="22"/>
              </w:rPr>
              <w:t>,</w:t>
            </w:r>
            <w:r>
              <w:rPr>
                <w:rFonts w:cs="Arial"/>
                <w:szCs w:val="22"/>
              </w:rPr>
              <w:t xml:space="preserve"> art galleries</w:t>
            </w:r>
            <w:r w:rsidR="003B7E0C">
              <w:rPr>
                <w:rFonts w:cs="Arial"/>
                <w:szCs w:val="22"/>
              </w:rPr>
              <w:t xml:space="preserve"> and heritage sites</w:t>
            </w:r>
            <w:r>
              <w:rPr>
                <w:rFonts w:cs="Arial"/>
                <w:szCs w:val="22"/>
              </w:rPr>
              <w:t xml:space="preserve">. </w:t>
            </w:r>
            <w:r w:rsidR="002F11F1">
              <w:rPr>
                <w:rFonts w:cs="Arial"/>
                <w:szCs w:val="22"/>
              </w:rPr>
              <w:t>D</w:t>
            </w:r>
            <w:r>
              <w:rPr>
                <w:rFonts w:cs="Arial"/>
                <w:szCs w:val="22"/>
              </w:rPr>
              <w:t>ata was not available as a time series.</w:t>
            </w:r>
          </w:p>
        </w:tc>
      </w:tr>
      <w:tr w:rsidR="00682CD3" w:rsidRPr="001D6533" w14:paraId="6374F983" w14:textId="77777777" w:rsidTr="00511EC8">
        <w:trPr>
          <w:trHeight w:val="270"/>
        </w:trPr>
        <w:tc>
          <w:tcPr>
            <w:tcW w:w="3578" w:type="dxa"/>
            <w:tcBorders>
              <w:top w:val="nil"/>
              <w:left w:val="nil"/>
              <w:bottom w:val="nil"/>
              <w:right w:val="nil"/>
            </w:tcBorders>
            <w:hideMark/>
          </w:tcPr>
          <w:p w14:paraId="5369B220" w14:textId="77777777" w:rsidR="00682CD3" w:rsidRPr="001D6533" w:rsidRDefault="00682CD3" w:rsidP="00955D2E">
            <w:pPr>
              <w:ind w:left="34"/>
              <w:rPr>
                <w:rFonts w:cs="Arial"/>
                <w:szCs w:val="22"/>
              </w:rPr>
            </w:pPr>
            <w:r>
              <w:rPr>
                <w:rFonts w:eastAsia="Calibri" w:cs="Arial"/>
                <w:szCs w:val="22"/>
              </w:rPr>
              <w:t>Libraries</w:t>
            </w:r>
          </w:p>
        </w:tc>
        <w:tc>
          <w:tcPr>
            <w:tcW w:w="5386" w:type="dxa"/>
            <w:tcBorders>
              <w:top w:val="nil"/>
              <w:left w:val="nil"/>
              <w:bottom w:val="nil"/>
              <w:right w:val="nil"/>
            </w:tcBorders>
          </w:tcPr>
          <w:p w14:paraId="18E34FB1" w14:textId="77777777" w:rsidR="00682CD3" w:rsidRPr="001D6533" w:rsidRDefault="00682CD3" w:rsidP="00955D2E">
            <w:pPr>
              <w:ind w:left="0"/>
              <w:rPr>
                <w:rFonts w:cs="Arial"/>
                <w:szCs w:val="22"/>
              </w:rPr>
            </w:pPr>
            <w:r>
              <w:rPr>
                <w:rFonts w:cs="Arial"/>
                <w:szCs w:val="22"/>
              </w:rPr>
              <w:t>The number of libraries per local authority, taken from the UK Public Libraries Contacts database.</w:t>
            </w:r>
          </w:p>
        </w:tc>
      </w:tr>
      <w:tr w:rsidR="00511EC8" w:rsidRPr="001D6533" w14:paraId="4B283106"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1424FF49" w14:textId="77777777" w:rsidR="00511EC8" w:rsidRDefault="00511EC8" w:rsidP="00AC62D7">
            <w:pPr>
              <w:ind w:left="34"/>
              <w:rPr>
                <w:rFonts w:cs="Arial"/>
                <w:b/>
                <w:bCs/>
                <w:szCs w:val="22"/>
                <w:u w:val="single"/>
              </w:rPr>
            </w:pPr>
          </w:p>
          <w:p w14:paraId="6A623F80" w14:textId="77777777" w:rsidR="00511EC8" w:rsidRPr="001D6533" w:rsidRDefault="00511EC8" w:rsidP="00AC62D7">
            <w:pPr>
              <w:ind w:left="34"/>
              <w:rPr>
                <w:rFonts w:cs="Arial"/>
                <w:b/>
                <w:i/>
                <w:szCs w:val="22"/>
              </w:rPr>
            </w:pPr>
            <w:r w:rsidRPr="001D6533">
              <w:rPr>
                <w:rFonts w:cs="Arial"/>
                <w:b/>
                <w:bCs/>
                <w:szCs w:val="22"/>
                <w:u w:val="single"/>
              </w:rPr>
              <w:t>Investment</w:t>
            </w:r>
            <w:r w:rsidRPr="001D6533">
              <w:rPr>
                <w:rFonts w:cs="Arial"/>
                <w:b/>
                <w:bCs/>
                <w:i/>
                <w:szCs w:val="22"/>
              </w:rPr>
              <w:t> </w:t>
            </w:r>
          </w:p>
        </w:tc>
        <w:tc>
          <w:tcPr>
            <w:tcW w:w="5386" w:type="dxa"/>
          </w:tcPr>
          <w:p w14:paraId="562B033D" w14:textId="77777777" w:rsidR="00511EC8" w:rsidRPr="001D6533" w:rsidRDefault="00511EC8" w:rsidP="00AC62D7">
            <w:pPr>
              <w:ind w:left="112"/>
              <w:rPr>
                <w:rFonts w:cs="Arial"/>
                <w:szCs w:val="22"/>
              </w:rPr>
            </w:pPr>
          </w:p>
        </w:tc>
      </w:tr>
      <w:tr w:rsidR="00511EC8" w:rsidRPr="001D6533" w14:paraId="3EDAD06F"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5FED824D" w14:textId="77777777" w:rsidR="00511EC8" w:rsidRPr="001D6533" w:rsidRDefault="00511EC8" w:rsidP="00AC62D7">
            <w:pPr>
              <w:ind w:left="34"/>
              <w:rPr>
                <w:rFonts w:cs="Arial"/>
                <w:szCs w:val="22"/>
              </w:rPr>
            </w:pPr>
            <w:r w:rsidRPr="001D6533">
              <w:rPr>
                <w:rFonts w:cs="Arial"/>
                <w:bCs/>
                <w:szCs w:val="22"/>
              </w:rPr>
              <w:t>Local authority investment in culture, sports and heritage</w:t>
            </w:r>
          </w:p>
        </w:tc>
        <w:tc>
          <w:tcPr>
            <w:tcW w:w="5386" w:type="dxa"/>
          </w:tcPr>
          <w:p w14:paraId="35ACBCFC" w14:textId="77777777" w:rsidR="00511EC8" w:rsidRPr="001D6533" w:rsidRDefault="00511EC8" w:rsidP="00AC62D7">
            <w:pPr>
              <w:ind w:left="0"/>
              <w:rPr>
                <w:rFonts w:cs="Arial"/>
                <w:szCs w:val="22"/>
              </w:rPr>
            </w:pPr>
            <w:r>
              <w:rPr>
                <w:rFonts w:cs="Arial"/>
                <w:szCs w:val="22"/>
              </w:rPr>
              <w:t>The sum of various types of local authority expenditure in a local authority in a year. Spending categories included: archives, heritage, museums and galleries, arts development and support, theatres and public entertainment, community centres, foreshore, sports development and community recreation, sports and recreation facilities including golf course, open spaces, tourism, and library services. Data from DCLG local authority revenue expenditure and financing, and all figures take the net total expenditure, i.e. the sum of net current and capital (net of fees and income), including expenditure on fixed assets.</w:t>
            </w:r>
          </w:p>
        </w:tc>
      </w:tr>
      <w:tr w:rsidR="00511EC8" w:rsidRPr="001D6533" w14:paraId="4D1DCF03"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6B7B17B3" w14:textId="77777777" w:rsidR="00511EC8" w:rsidRPr="001D6533" w:rsidRDefault="00511EC8" w:rsidP="00AC62D7">
            <w:pPr>
              <w:ind w:left="34"/>
              <w:rPr>
                <w:rFonts w:cs="Arial"/>
                <w:szCs w:val="22"/>
              </w:rPr>
            </w:pPr>
            <w:r w:rsidRPr="001D6533">
              <w:rPr>
                <w:rFonts w:cs="Arial"/>
                <w:bCs/>
                <w:szCs w:val="22"/>
              </w:rPr>
              <w:t>Lottery investment in arts, sports and heritage</w:t>
            </w:r>
          </w:p>
        </w:tc>
        <w:tc>
          <w:tcPr>
            <w:tcW w:w="5386" w:type="dxa"/>
          </w:tcPr>
          <w:p w14:paraId="6C492503" w14:textId="77777777" w:rsidR="00511EC8" w:rsidRPr="001D6533" w:rsidRDefault="00511EC8" w:rsidP="00AC62D7">
            <w:pPr>
              <w:ind w:left="0"/>
              <w:rPr>
                <w:rFonts w:cs="Arial"/>
                <w:szCs w:val="22"/>
              </w:rPr>
            </w:pPr>
            <w:r>
              <w:rPr>
                <w:rFonts w:cs="Arial"/>
                <w:szCs w:val="22"/>
              </w:rPr>
              <w:t>The sum of lottery investment in arts, sports and heritage in the local authority. Data is from the Heritage Lottery Fund, Arts Council England and Sport England.</w:t>
            </w:r>
          </w:p>
        </w:tc>
      </w:tr>
      <w:tr w:rsidR="00511EC8" w:rsidRPr="001D6533" w14:paraId="49F09096" w14:textId="77777777" w:rsidTr="00AC62D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8964" w:type="dxa"/>
            <w:gridSpan w:val="2"/>
          </w:tcPr>
          <w:p w14:paraId="2DF92DFA" w14:textId="77777777" w:rsidR="00511EC8" w:rsidRDefault="00511EC8" w:rsidP="00AC62D7">
            <w:pPr>
              <w:ind w:left="34"/>
              <w:rPr>
                <w:rFonts w:cs="Arial"/>
                <w:b/>
                <w:bCs/>
                <w:szCs w:val="22"/>
                <w:u w:val="single"/>
              </w:rPr>
            </w:pPr>
          </w:p>
          <w:p w14:paraId="07E07B8D" w14:textId="4B659401" w:rsidR="00511EC8" w:rsidRDefault="00511EC8" w:rsidP="00AC62D7">
            <w:pPr>
              <w:ind w:left="0"/>
              <w:rPr>
                <w:rFonts w:cs="Arial"/>
                <w:szCs w:val="22"/>
              </w:rPr>
            </w:pPr>
            <w:r w:rsidRPr="001D6533">
              <w:rPr>
                <w:rFonts w:cs="Arial"/>
                <w:b/>
                <w:bCs/>
                <w:szCs w:val="22"/>
                <w:u w:val="single"/>
              </w:rPr>
              <w:t>Additional push/pull factors or control variables</w:t>
            </w:r>
          </w:p>
        </w:tc>
      </w:tr>
      <w:tr w:rsidR="00511EC8" w:rsidRPr="001D6533" w14:paraId="19935AB0"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7C534055" w14:textId="77777777" w:rsidR="00511EC8" w:rsidRPr="001D6533" w:rsidRDefault="00511EC8" w:rsidP="00AC62D7">
            <w:pPr>
              <w:ind w:left="34"/>
              <w:rPr>
                <w:rFonts w:cs="Arial"/>
                <w:szCs w:val="22"/>
              </w:rPr>
            </w:pPr>
            <w:r w:rsidRPr="001D6533">
              <w:rPr>
                <w:rFonts w:cs="Arial"/>
                <w:bCs/>
                <w:szCs w:val="22"/>
              </w:rPr>
              <w:t>Employment rate</w:t>
            </w:r>
          </w:p>
        </w:tc>
        <w:tc>
          <w:tcPr>
            <w:tcW w:w="5386" w:type="dxa"/>
          </w:tcPr>
          <w:p w14:paraId="20D80061" w14:textId="77777777" w:rsidR="00511EC8" w:rsidRPr="001D6533" w:rsidRDefault="00511EC8" w:rsidP="00AC62D7">
            <w:pPr>
              <w:ind w:left="0"/>
              <w:rPr>
                <w:rFonts w:cs="Arial"/>
                <w:szCs w:val="22"/>
              </w:rPr>
            </w:pPr>
            <w:r>
              <w:rPr>
                <w:rFonts w:cs="Arial"/>
                <w:szCs w:val="22"/>
              </w:rPr>
              <w:t>The estimated proportion of employed individuals, taken from the Annual Population Survey.</w:t>
            </w:r>
          </w:p>
        </w:tc>
      </w:tr>
      <w:tr w:rsidR="00511EC8" w:rsidRPr="001D6533" w14:paraId="238EB448"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450AD66C" w14:textId="77777777" w:rsidR="00511EC8" w:rsidRPr="001D6533" w:rsidRDefault="00511EC8" w:rsidP="00AC62D7">
            <w:pPr>
              <w:ind w:left="34"/>
              <w:rPr>
                <w:rFonts w:cs="Arial"/>
                <w:szCs w:val="22"/>
              </w:rPr>
            </w:pPr>
            <w:r w:rsidRPr="001D6533">
              <w:rPr>
                <w:rFonts w:cs="Arial"/>
                <w:bCs/>
                <w:szCs w:val="22"/>
              </w:rPr>
              <w:t>Skilled labour proportion</w:t>
            </w:r>
          </w:p>
        </w:tc>
        <w:tc>
          <w:tcPr>
            <w:tcW w:w="5386" w:type="dxa"/>
          </w:tcPr>
          <w:p w14:paraId="4BD0C7D3" w14:textId="77777777" w:rsidR="00511EC8" w:rsidRPr="001D6533" w:rsidRDefault="00511EC8" w:rsidP="00AC62D7">
            <w:pPr>
              <w:ind w:left="0"/>
              <w:rPr>
                <w:rFonts w:cs="Arial"/>
                <w:szCs w:val="22"/>
              </w:rPr>
            </w:pPr>
            <w:r>
              <w:rPr>
                <w:rFonts w:cs="Arial"/>
                <w:szCs w:val="22"/>
              </w:rPr>
              <w:t>The proportion of employed workers at high skill level – skill level 4 (SOC 11, 21, 22, 23, 24) – in the Annual Population Survey.</w:t>
            </w:r>
          </w:p>
        </w:tc>
      </w:tr>
      <w:tr w:rsidR="00511EC8" w:rsidRPr="001D6533" w14:paraId="7C07E3E5"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34A704B3" w14:textId="77777777" w:rsidR="00511EC8" w:rsidRPr="001D6533" w:rsidRDefault="00511EC8" w:rsidP="00AC62D7">
            <w:pPr>
              <w:ind w:left="34"/>
              <w:rPr>
                <w:rFonts w:cs="Arial"/>
                <w:szCs w:val="22"/>
              </w:rPr>
            </w:pPr>
            <w:r w:rsidRPr="001D6533">
              <w:rPr>
                <w:rFonts w:cs="Arial"/>
                <w:bCs/>
                <w:szCs w:val="22"/>
              </w:rPr>
              <w:t>Housing density</w:t>
            </w:r>
          </w:p>
        </w:tc>
        <w:tc>
          <w:tcPr>
            <w:tcW w:w="5386" w:type="dxa"/>
          </w:tcPr>
          <w:p w14:paraId="066C1901" w14:textId="77777777" w:rsidR="00511EC8" w:rsidRPr="001D6533" w:rsidRDefault="00511EC8" w:rsidP="00AC62D7">
            <w:pPr>
              <w:ind w:left="0"/>
              <w:rPr>
                <w:rFonts w:cs="Arial"/>
                <w:szCs w:val="22"/>
              </w:rPr>
            </w:pPr>
            <w:r>
              <w:rPr>
                <w:rFonts w:cs="Arial"/>
                <w:szCs w:val="22"/>
              </w:rPr>
              <w:t>Housing density was calculated by determining the number of households per hectare in a local authority. Data is based on Census estimates (available for 2001 and 2011).</w:t>
            </w:r>
          </w:p>
        </w:tc>
      </w:tr>
      <w:tr w:rsidR="00511EC8" w:rsidRPr="001D6533" w14:paraId="029C2033"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55BED2A8" w14:textId="77777777" w:rsidR="00511EC8" w:rsidRPr="001D6533" w:rsidRDefault="00511EC8" w:rsidP="00AC62D7">
            <w:pPr>
              <w:ind w:left="34"/>
              <w:rPr>
                <w:rFonts w:cs="Arial"/>
                <w:szCs w:val="22"/>
              </w:rPr>
            </w:pPr>
            <w:r w:rsidRPr="001D6533">
              <w:rPr>
                <w:rFonts w:cs="Arial"/>
                <w:bCs/>
                <w:szCs w:val="22"/>
              </w:rPr>
              <w:t>Network infrastructure</w:t>
            </w:r>
          </w:p>
        </w:tc>
        <w:tc>
          <w:tcPr>
            <w:tcW w:w="5386" w:type="dxa"/>
          </w:tcPr>
          <w:p w14:paraId="14A46AA6" w14:textId="77777777" w:rsidR="00511EC8" w:rsidRPr="001D6533" w:rsidRDefault="00511EC8" w:rsidP="00AC62D7">
            <w:pPr>
              <w:ind w:left="0"/>
              <w:rPr>
                <w:rFonts w:cs="Arial"/>
                <w:szCs w:val="22"/>
              </w:rPr>
            </w:pPr>
            <w:r>
              <w:rPr>
                <w:rFonts w:cs="Arial"/>
                <w:szCs w:val="22"/>
              </w:rPr>
              <w:t>Network infrastructure is the percentage availability of Super Fast Broadband (SFBB) in premises in each local authority. Data from OFCOM networks data, and is not available in time series.</w:t>
            </w:r>
          </w:p>
        </w:tc>
      </w:tr>
      <w:tr w:rsidR="00511EC8" w:rsidRPr="001D6533" w14:paraId="72858BB1"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3A8BF95A" w14:textId="77777777" w:rsidR="00511EC8" w:rsidRPr="001D6533" w:rsidRDefault="00511EC8" w:rsidP="00AC62D7">
            <w:pPr>
              <w:ind w:left="34"/>
              <w:rPr>
                <w:rFonts w:cs="Arial"/>
                <w:szCs w:val="22"/>
              </w:rPr>
            </w:pPr>
            <w:r w:rsidRPr="001D6533">
              <w:rPr>
                <w:rFonts w:cs="Arial"/>
                <w:bCs/>
                <w:szCs w:val="22"/>
              </w:rPr>
              <w:t>Transport infrastructure</w:t>
            </w:r>
          </w:p>
        </w:tc>
        <w:tc>
          <w:tcPr>
            <w:tcW w:w="5386" w:type="dxa"/>
          </w:tcPr>
          <w:p w14:paraId="26E9CDB6" w14:textId="77777777" w:rsidR="00511EC8" w:rsidRPr="001D6533" w:rsidRDefault="00511EC8" w:rsidP="00AC62D7">
            <w:pPr>
              <w:ind w:left="0"/>
              <w:rPr>
                <w:rFonts w:cs="Arial"/>
                <w:szCs w:val="22"/>
              </w:rPr>
            </w:pPr>
            <w:r>
              <w:rPr>
                <w:rFonts w:cs="Arial"/>
                <w:szCs w:val="22"/>
              </w:rPr>
              <w:t>Transport infrastructure is measured by the number of rail station stops in each local authority. Data from the National Public Transport Access Nodes dataset.</w:t>
            </w:r>
          </w:p>
        </w:tc>
      </w:tr>
      <w:tr w:rsidR="00511EC8" w:rsidRPr="001D6533" w14:paraId="38770C5E"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084CF792" w14:textId="77777777" w:rsidR="00511EC8" w:rsidRPr="001D6533" w:rsidRDefault="00511EC8" w:rsidP="00AC62D7">
            <w:pPr>
              <w:ind w:left="34"/>
              <w:rPr>
                <w:rFonts w:cs="Arial"/>
                <w:szCs w:val="22"/>
              </w:rPr>
            </w:pPr>
            <w:r w:rsidRPr="001D6533">
              <w:rPr>
                <w:rFonts w:cs="Arial"/>
                <w:bCs/>
                <w:szCs w:val="22"/>
              </w:rPr>
              <w:t>Life satisfaction</w:t>
            </w:r>
          </w:p>
        </w:tc>
        <w:tc>
          <w:tcPr>
            <w:tcW w:w="5386" w:type="dxa"/>
          </w:tcPr>
          <w:p w14:paraId="0BC24FAB" w14:textId="77777777" w:rsidR="00511EC8" w:rsidRPr="001D6533" w:rsidRDefault="00511EC8" w:rsidP="00AC62D7">
            <w:pPr>
              <w:ind w:left="0"/>
              <w:rPr>
                <w:rFonts w:cs="Arial"/>
                <w:szCs w:val="22"/>
              </w:rPr>
            </w:pPr>
            <w:r w:rsidRPr="009548FC">
              <w:rPr>
                <w:rFonts w:cs="Arial"/>
              </w:rPr>
              <w:t>Two well-being proxy indicators w</w:t>
            </w:r>
            <w:r w:rsidRPr="009A43FB">
              <w:rPr>
                <w:rFonts w:cs="Arial"/>
              </w:rPr>
              <w:t xml:space="preserve">ere selected, on the basis of availability and quality. The first </w:t>
            </w:r>
            <w:r>
              <w:rPr>
                <w:rFonts w:cs="Arial"/>
              </w:rPr>
              <w:t>wa</w:t>
            </w:r>
            <w:r w:rsidRPr="009A43FB">
              <w:rPr>
                <w:rFonts w:cs="Arial"/>
              </w:rPr>
              <w:t xml:space="preserve">s the </w:t>
            </w:r>
            <w:r w:rsidRPr="009A43FB">
              <w:rPr>
                <w:rFonts w:cs="Arial"/>
              </w:rPr>
              <w:lastRenderedPageBreak/>
              <w:t xml:space="preserve">Life Satisfaction Index, collected by ONS, which is however not available for the entire period 2003-2013. It was thus possible to use it for cross-sectional regressions, but not </w:t>
            </w:r>
            <w:r w:rsidRPr="00873DB7">
              <w:rPr>
                <w:rFonts w:cs="Arial"/>
              </w:rPr>
              <w:t xml:space="preserve">for the panel analysis (longitudinal analysis). The best proxy indicator we found for the panel data analysis </w:t>
            </w:r>
            <w:r w:rsidRPr="009548FC">
              <w:rPr>
                <w:rFonts w:cs="Arial"/>
              </w:rPr>
              <w:t>was the average hours of physical activity undertaken weekly, and the percentage of the population being ac</w:t>
            </w:r>
            <w:r>
              <w:rPr>
                <w:rFonts w:cs="Arial"/>
              </w:rPr>
              <w:t>tive on at least a weekly basis, taken from the Active People Survey.</w:t>
            </w:r>
          </w:p>
        </w:tc>
      </w:tr>
      <w:tr w:rsidR="00511EC8" w:rsidRPr="001D6533" w14:paraId="07B70435"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tcPr>
          <w:p w14:paraId="4A22434C" w14:textId="77777777" w:rsidR="00511EC8" w:rsidRPr="001D6533" w:rsidRDefault="00511EC8" w:rsidP="00AC62D7">
            <w:pPr>
              <w:ind w:left="34"/>
              <w:rPr>
                <w:rFonts w:cs="Arial"/>
                <w:bCs/>
                <w:szCs w:val="22"/>
              </w:rPr>
            </w:pPr>
            <w:r w:rsidRPr="001D6533">
              <w:rPr>
                <w:rFonts w:cs="Arial"/>
                <w:bCs/>
                <w:szCs w:val="22"/>
              </w:rPr>
              <w:lastRenderedPageBreak/>
              <w:t>Size of the market (population)</w:t>
            </w:r>
          </w:p>
        </w:tc>
        <w:tc>
          <w:tcPr>
            <w:tcW w:w="5386" w:type="dxa"/>
          </w:tcPr>
          <w:p w14:paraId="1F7C8996" w14:textId="0293B94C" w:rsidR="00511EC8" w:rsidRPr="009548FC" w:rsidRDefault="00952DC8" w:rsidP="00952DC8">
            <w:pPr>
              <w:ind w:left="0"/>
              <w:rPr>
                <w:rFonts w:cs="Arial"/>
              </w:rPr>
            </w:pPr>
            <w:r>
              <w:rPr>
                <w:rFonts w:cs="Arial"/>
                <w:szCs w:val="22"/>
              </w:rPr>
              <w:t>P</w:t>
            </w:r>
            <w:r w:rsidR="00511EC8">
              <w:rPr>
                <w:rFonts w:cs="Arial"/>
                <w:szCs w:val="22"/>
              </w:rPr>
              <w:t xml:space="preserve">opulation size in the local authority </w:t>
            </w:r>
            <w:r>
              <w:rPr>
                <w:rFonts w:cs="Arial"/>
                <w:szCs w:val="22"/>
              </w:rPr>
              <w:t>each</w:t>
            </w:r>
            <w:r w:rsidR="00511EC8">
              <w:rPr>
                <w:rFonts w:cs="Arial"/>
                <w:szCs w:val="22"/>
              </w:rPr>
              <w:t xml:space="preserve"> year </w:t>
            </w:r>
            <w:r>
              <w:rPr>
                <w:rFonts w:cs="Arial"/>
                <w:szCs w:val="22"/>
              </w:rPr>
              <w:t xml:space="preserve">is used </w:t>
            </w:r>
            <w:r w:rsidR="00511EC8">
              <w:rPr>
                <w:rFonts w:cs="Arial"/>
                <w:szCs w:val="22"/>
              </w:rPr>
              <w:t>as a control variable. Data from the Annual Population Survey.</w:t>
            </w:r>
          </w:p>
        </w:tc>
      </w:tr>
      <w:tr w:rsidR="00511EC8" w:rsidRPr="001D6533" w14:paraId="4389C915"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tcPr>
          <w:p w14:paraId="13290806" w14:textId="77777777" w:rsidR="00511EC8" w:rsidRPr="001D6533" w:rsidRDefault="00511EC8" w:rsidP="00AC62D7">
            <w:pPr>
              <w:ind w:left="34"/>
              <w:rPr>
                <w:rFonts w:cs="Arial"/>
                <w:bCs/>
                <w:szCs w:val="22"/>
              </w:rPr>
            </w:pPr>
            <w:r>
              <w:rPr>
                <w:rFonts w:cs="Arial"/>
                <w:bCs/>
                <w:szCs w:val="22"/>
              </w:rPr>
              <w:t>GVA</w:t>
            </w:r>
          </w:p>
        </w:tc>
        <w:tc>
          <w:tcPr>
            <w:tcW w:w="5386" w:type="dxa"/>
          </w:tcPr>
          <w:p w14:paraId="28258C72" w14:textId="77777777" w:rsidR="00511EC8" w:rsidRPr="009548FC" w:rsidRDefault="00511EC8" w:rsidP="00AC62D7">
            <w:pPr>
              <w:ind w:left="0"/>
              <w:rPr>
                <w:rFonts w:cs="Arial"/>
              </w:rPr>
            </w:pPr>
            <w:r>
              <w:rPr>
                <w:rFonts w:cs="Arial"/>
                <w:szCs w:val="22"/>
              </w:rPr>
              <w:t>Data on GVA is not easily available at a local level. Therefore as a proxy for GVA, we used total compensation of employees from the Annual Survey of Hours and Earnings.</w:t>
            </w:r>
          </w:p>
        </w:tc>
      </w:tr>
      <w:tr w:rsidR="00511EC8" w:rsidRPr="001D6533" w14:paraId="3453D3A1"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tcPr>
          <w:p w14:paraId="17F3F20A" w14:textId="77777777" w:rsidR="00511EC8" w:rsidRDefault="00511EC8" w:rsidP="00AC62D7">
            <w:pPr>
              <w:ind w:left="34"/>
              <w:rPr>
                <w:rFonts w:cs="Arial"/>
                <w:bCs/>
                <w:szCs w:val="22"/>
              </w:rPr>
            </w:pPr>
            <w:r>
              <w:rPr>
                <w:rFonts w:cs="Arial"/>
                <w:bCs/>
                <w:szCs w:val="22"/>
              </w:rPr>
              <w:t>Competitiveness</w:t>
            </w:r>
          </w:p>
        </w:tc>
        <w:tc>
          <w:tcPr>
            <w:tcW w:w="5386" w:type="dxa"/>
          </w:tcPr>
          <w:p w14:paraId="04992115" w14:textId="77777777" w:rsidR="00511EC8" w:rsidRDefault="00511EC8" w:rsidP="00AC62D7">
            <w:pPr>
              <w:ind w:left="0"/>
              <w:rPr>
                <w:rFonts w:cs="Arial"/>
                <w:szCs w:val="22"/>
              </w:rPr>
            </w:pPr>
            <w:r>
              <w:rPr>
                <w:rFonts w:cs="Arial"/>
                <w:szCs w:val="22"/>
              </w:rPr>
              <w:t xml:space="preserve">Competitiveness is a measure of the ability of a local authority to create value. It is a concept that encompasses multiple indicators. The analysis uses the </w:t>
            </w:r>
            <w:r w:rsidRPr="00DC2628">
              <w:rPr>
                <w:rFonts w:cs="Arial"/>
                <w:szCs w:val="22"/>
              </w:rPr>
              <w:t>Centre for International Competitiveness’s</w:t>
            </w:r>
            <w:r>
              <w:rPr>
                <w:rFonts w:cs="Arial"/>
                <w:i/>
                <w:szCs w:val="22"/>
              </w:rPr>
              <w:t xml:space="preserve"> </w:t>
            </w:r>
            <w:r w:rsidRPr="00DC2628">
              <w:rPr>
                <w:rFonts w:cs="Arial"/>
                <w:i/>
                <w:szCs w:val="22"/>
              </w:rPr>
              <w:t>UK Competitiveness Index</w:t>
            </w:r>
            <w:r>
              <w:rPr>
                <w:rStyle w:val="FootnoteReference"/>
                <w:rFonts w:cs="Arial"/>
                <w:szCs w:val="22"/>
              </w:rPr>
              <w:footnoteReference w:id="10"/>
            </w:r>
            <w:r>
              <w:rPr>
                <w:rFonts w:cs="Arial"/>
                <w:szCs w:val="22"/>
              </w:rPr>
              <w:t xml:space="preserve">, an integrated measure of competitiveness that includes: </w:t>
            </w:r>
          </w:p>
          <w:p w14:paraId="0196E5FE" w14:textId="77777777" w:rsidR="00511EC8" w:rsidRPr="00546C1D" w:rsidRDefault="00511EC8" w:rsidP="00AC62D7">
            <w:pPr>
              <w:pStyle w:val="ListParagraph"/>
              <w:numPr>
                <w:ilvl w:val="0"/>
                <w:numId w:val="60"/>
              </w:numPr>
              <w:contextualSpacing w:val="0"/>
              <w:rPr>
                <w:rFonts w:ascii="Arial" w:hAnsi="Arial" w:cs="Arial"/>
                <w:color w:val="000000"/>
                <w:sz w:val="22"/>
                <w:szCs w:val="22"/>
                <w:lang w:eastAsia="en-US"/>
              </w:rPr>
            </w:pPr>
            <w:r w:rsidRPr="004D3FD8">
              <w:rPr>
                <w:rFonts w:ascii="Arial" w:hAnsi="Arial" w:cs="Arial"/>
                <w:color w:val="000000"/>
                <w:sz w:val="22"/>
                <w:szCs w:val="22"/>
              </w:rPr>
              <w:t>Business start-up rates per 1000 inhabitants</w:t>
            </w:r>
          </w:p>
          <w:p w14:paraId="15020011"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Number of businesses per 1000 inhabitants</w:t>
            </w:r>
          </w:p>
          <w:p w14:paraId="08C947E6"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Proportion of knowledge-based businesses</w:t>
            </w:r>
          </w:p>
          <w:p w14:paraId="2CD7F89E"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Proportion of population with NVQ level 4+</w:t>
            </w:r>
          </w:p>
          <w:p w14:paraId="74698E1D"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GVA per head</w:t>
            </w:r>
          </w:p>
          <w:p w14:paraId="107DE663"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Productivity (output per hour worked)</w:t>
            </w:r>
          </w:p>
          <w:p w14:paraId="48FC18CA"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Employment rate</w:t>
            </w:r>
          </w:p>
          <w:p w14:paraId="0A4FD966" w14:textId="77777777" w:rsidR="00511EC8" w:rsidRDefault="00511EC8" w:rsidP="00AC62D7">
            <w:pPr>
              <w:ind w:left="0"/>
              <w:rPr>
                <w:rFonts w:cs="Arial"/>
                <w:szCs w:val="22"/>
              </w:rPr>
            </w:pPr>
            <w:r>
              <w:rPr>
                <w:rFonts w:cs="Arial"/>
                <w:szCs w:val="22"/>
              </w:rPr>
              <w:t>As such, it overlaps with other variables used in the analysis. Therefore where it is used in the analysis, we do not variables represented in the index as separate controls. This was considered preferable as some of the variables within the Index (such as productivity) are not easily available at a local authority level. The Index is published every two years; where data was not available we interpolated results to estimate index values for the intervening years.</w:t>
            </w:r>
          </w:p>
        </w:tc>
      </w:tr>
      <w:tr w:rsidR="00511EC8" w:rsidRPr="001D6533" w14:paraId="00A7A511"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tcPr>
          <w:p w14:paraId="0EEA9C76" w14:textId="77777777" w:rsidR="00511EC8" w:rsidRDefault="00511EC8" w:rsidP="00AC62D7">
            <w:pPr>
              <w:ind w:left="34"/>
              <w:rPr>
                <w:rFonts w:cs="Arial"/>
                <w:bCs/>
                <w:szCs w:val="22"/>
              </w:rPr>
            </w:pPr>
            <w:r>
              <w:rPr>
                <w:rFonts w:cs="Arial"/>
                <w:bCs/>
                <w:szCs w:val="22"/>
              </w:rPr>
              <w:t>Major urban centre</w:t>
            </w:r>
          </w:p>
        </w:tc>
        <w:tc>
          <w:tcPr>
            <w:tcW w:w="5386" w:type="dxa"/>
          </w:tcPr>
          <w:p w14:paraId="59810D98" w14:textId="77777777" w:rsidR="00511EC8" w:rsidRDefault="00511EC8" w:rsidP="00AC62D7">
            <w:pPr>
              <w:ind w:left="0"/>
              <w:rPr>
                <w:rFonts w:cs="Arial"/>
                <w:szCs w:val="22"/>
              </w:rPr>
            </w:pPr>
            <w:r>
              <w:rPr>
                <w:rFonts w:cs="Arial"/>
                <w:szCs w:val="22"/>
              </w:rPr>
              <w:t>An area is considered a major urban centre if it contains a population in a major conurbation according to the ONS (e.g. London, Birmingham, Greater Manchester).</w:t>
            </w:r>
          </w:p>
          <w:p w14:paraId="46F358EF" w14:textId="77777777" w:rsidR="00511EC8" w:rsidRDefault="00511EC8" w:rsidP="00AC62D7">
            <w:pPr>
              <w:ind w:left="0"/>
              <w:rPr>
                <w:rFonts w:cs="Arial"/>
                <w:szCs w:val="22"/>
              </w:rPr>
            </w:pPr>
            <w:r>
              <w:rPr>
                <w:rFonts w:cs="Arial"/>
                <w:szCs w:val="22"/>
              </w:rPr>
              <w:t>This variable is binary, and equal to 1 if the Local Authority contains a major urban centre; 0 otherwise.</w:t>
            </w:r>
          </w:p>
        </w:tc>
      </w:tr>
    </w:tbl>
    <w:p w14:paraId="2A53C926" w14:textId="3367BD2C" w:rsidR="00E17DB0" w:rsidRDefault="00E17DB0" w:rsidP="00F0636B">
      <w:pPr>
        <w:ind w:left="0"/>
      </w:pPr>
    </w:p>
    <w:p w14:paraId="70B1450B" w14:textId="77777777" w:rsidR="00682CD3" w:rsidRDefault="00682CD3" w:rsidP="00520273">
      <w:pPr>
        <w:ind w:left="0"/>
      </w:pPr>
    </w:p>
    <w:p w14:paraId="40347B6D" w14:textId="727A990E" w:rsidR="00BE1F0F" w:rsidRPr="00682CD3" w:rsidRDefault="00BE1F0F" w:rsidP="00520273">
      <w:pPr>
        <w:ind w:left="0"/>
      </w:pPr>
      <w:r>
        <w:t xml:space="preserve">The gathered dataset also includes further variables not used in the final analysis (for example </w:t>
      </w:r>
      <w:r w:rsidR="002F11F1">
        <w:t>the I</w:t>
      </w:r>
      <w:r>
        <w:t xml:space="preserve">ndex of </w:t>
      </w:r>
      <w:r w:rsidR="002F11F1">
        <w:t>M</w:t>
      </w:r>
      <w:r>
        <w:t xml:space="preserve">ultiple </w:t>
      </w:r>
      <w:r w:rsidR="002F11F1">
        <w:t>D</w:t>
      </w:r>
      <w:r>
        <w:t>eprivation) as well as detailed breakdowns of variables (such as local authority investment disaggregated), which will aid in future analysis.</w:t>
      </w:r>
    </w:p>
    <w:p w14:paraId="4D5D13EE" w14:textId="19847816" w:rsidR="00630920" w:rsidRPr="00514EFA" w:rsidRDefault="001A60F8" w:rsidP="00630920">
      <w:pPr>
        <w:pStyle w:val="Heading1Numbered"/>
      </w:pPr>
      <w:bookmarkStart w:id="153" w:name="_Toc467569655"/>
      <w:r>
        <w:lastRenderedPageBreak/>
        <w:t xml:space="preserve">Appendix VII – </w:t>
      </w:r>
      <w:r w:rsidR="00630920" w:rsidRPr="00514EFA">
        <w:t>References</w:t>
      </w:r>
      <w:bookmarkEnd w:id="153"/>
    </w:p>
    <w:p w14:paraId="06D2739F" w14:textId="77777777" w:rsidR="00630920" w:rsidRPr="00520273" w:rsidRDefault="00630920" w:rsidP="00630920">
      <w:pPr>
        <w:rPr>
          <w:rFonts w:cs="Arial"/>
          <w:szCs w:val="22"/>
        </w:rPr>
      </w:pPr>
      <w:r w:rsidRPr="00520273">
        <w:rPr>
          <w:rFonts w:cs="Arial"/>
          <w:szCs w:val="22"/>
        </w:rPr>
        <w:t xml:space="preserve">ACE (2012) </w:t>
      </w:r>
      <w:r w:rsidRPr="00520273">
        <w:rPr>
          <w:rFonts w:cs="Arial"/>
          <w:i/>
          <w:szCs w:val="22"/>
        </w:rPr>
        <w:t>Measuring the economic benefits of arts and culture. Practical guidance on research methodologies for arts and cultural organisations</w:t>
      </w:r>
      <w:r w:rsidRPr="00520273">
        <w:rPr>
          <w:rFonts w:cs="Arial"/>
          <w:szCs w:val="22"/>
        </w:rPr>
        <w:t>. BOP for the Arts Council of England. London, May</w:t>
      </w:r>
    </w:p>
    <w:p w14:paraId="52AA4C4A" w14:textId="77777777" w:rsidR="00630920" w:rsidRPr="00520273" w:rsidRDefault="00630920" w:rsidP="00630920">
      <w:pPr>
        <w:rPr>
          <w:rFonts w:cs="Arial"/>
          <w:szCs w:val="22"/>
        </w:rPr>
      </w:pPr>
      <w:r w:rsidRPr="00520273">
        <w:rPr>
          <w:rFonts w:cs="Arial"/>
          <w:szCs w:val="22"/>
        </w:rPr>
        <w:t xml:space="preserve">ACE (2014) </w:t>
      </w:r>
      <w:r w:rsidRPr="00520273">
        <w:rPr>
          <w:rFonts w:cs="Arial"/>
          <w:i/>
          <w:szCs w:val="22"/>
        </w:rPr>
        <w:t>Evidence review of the economic contribution of libraries</w:t>
      </w:r>
      <w:r w:rsidRPr="00520273">
        <w:rPr>
          <w:rFonts w:cs="Arial"/>
          <w:szCs w:val="22"/>
        </w:rPr>
        <w:t>. BOP for the Arts Council of England. London, June</w:t>
      </w:r>
    </w:p>
    <w:p w14:paraId="6A3D8F31" w14:textId="7F252E83" w:rsidR="00630920" w:rsidRPr="00520273" w:rsidRDefault="005F4DE2" w:rsidP="00630920">
      <w:pPr>
        <w:rPr>
          <w:rFonts w:cs="Arial"/>
          <w:szCs w:val="22"/>
        </w:rPr>
      </w:pPr>
      <w:r>
        <w:rPr>
          <w:rFonts w:cs="Arial"/>
          <w:szCs w:val="22"/>
        </w:rPr>
        <w:t>Ahlfeldt, P.G.M. &amp;</w:t>
      </w:r>
      <w:r w:rsidR="00630920" w:rsidRPr="00520273">
        <w:rPr>
          <w:rFonts w:cs="Arial"/>
          <w:szCs w:val="22"/>
        </w:rPr>
        <w:t xml:space="preserve"> Maennig, W. (2008)</w:t>
      </w:r>
      <w:r>
        <w:rPr>
          <w:rFonts w:cs="Arial"/>
          <w:szCs w:val="22"/>
        </w:rPr>
        <w:t>.</w:t>
      </w:r>
      <w:r w:rsidR="00630920" w:rsidRPr="00520273">
        <w:rPr>
          <w:rFonts w:cs="Arial"/>
          <w:szCs w:val="22"/>
        </w:rPr>
        <w:t xml:space="preserve"> Impact of Sports Arenas on Land Values: Evidence from Berlin, </w:t>
      </w:r>
      <w:r w:rsidR="00630920" w:rsidRPr="00520273">
        <w:rPr>
          <w:rFonts w:cs="Arial"/>
          <w:i/>
          <w:szCs w:val="22"/>
        </w:rPr>
        <w:t>Annals of Regional Science</w:t>
      </w:r>
      <w:r w:rsidR="00630920" w:rsidRPr="00520273">
        <w:rPr>
          <w:rFonts w:cs="Arial"/>
          <w:szCs w:val="22"/>
        </w:rPr>
        <w:t xml:space="preserve"> (submitted), pp.42</w:t>
      </w:r>
    </w:p>
    <w:p w14:paraId="56AB429C" w14:textId="44229E71" w:rsidR="00630920" w:rsidRPr="00520273" w:rsidRDefault="005F4DE2" w:rsidP="00630920">
      <w:pPr>
        <w:rPr>
          <w:rFonts w:cs="Arial"/>
          <w:szCs w:val="22"/>
        </w:rPr>
      </w:pPr>
      <w:r>
        <w:rPr>
          <w:rFonts w:cs="Arial"/>
          <w:szCs w:val="22"/>
        </w:rPr>
        <w:t>Ahlfeldt, P.G.M. &amp;</w:t>
      </w:r>
      <w:r w:rsidR="00630920" w:rsidRPr="00520273">
        <w:rPr>
          <w:rFonts w:cs="Arial"/>
          <w:szCs w:val="22"/>
        </w:rPr>
        <w:t xml:space="preserve"> Maennig, W. (2009)</w:t>
      </w:r>
      <w:r>
        <w:rPr>
          <w:rFonts w:cs="Arial"/>
          <w:szCs w:val="22"/>
        </w:rPr>
        <w:t>.</w:t>
      </w:r>
      <w:r w:rsidR="00630920" w:rsidRPr="00520273">
        <w:rPr>
          <w:rFonts w:cs="Arial"/>
          <w:szCs w:val="22"/>
        </w:rPr>
        <w:t xml:space="preserve"> Arenas, Arena Architecture and the Impact on Location Desirability: the Case of ‘Olympic Arenas’ in Prenzlauer Berg, Berlin, </w:t>
      </w:r>
      <w:r w:rsidR="00630920" w:rsidRPr="00520273">
        <w:rPr>
          <w:rFonts w:cs="Arial"/>
          <w:i/>
          <w:szCs w:val="22"/>
        </w:rPr>
        <w:t>Urban Studies</w:t>
      </w:r>
      <w:r w:rsidR="00630920" w:rsidRPr="00520273">
        <w:rPr>
          <w:rFonts w:cs="Arial"/>
          <w:szCs w:val="22"/>
        </w:rPr>
        <w:t>, 46(7): 1343</w:t>
      </w:r>
      <w:r w:rsidR="00630920">
        <w:rPr>
          <w:rFonts w:cs="Arial"/>
          <w:szCs w:val="22"/>
        </w:rPr>
        <w:t>–</w:t>
      </w:r>
      <w:r w:rsidR="00630920" w:rsidRPr="00520273">
        <w:rPr>
          <w:rFonts w:cs="Arial"/>
          <w:szCs w:val="22"/>
        </w:rPr>
        <w:t>1362</w:t>
      </w:r>
    </w:p>
    <w:p w14:paraId="03274586" w14:textId="366C72F1" w:rsidR="00630920" w:rsidRPr="00520273" w:rsidRDefault="005F4DE2" w:rsidP="00630920">
      <w:pPr>
        <w:autoSpaceDE w:val="0"/>
        <w:autoSpaceDN w:val="0"/>
        <w:adjustRightInd w:val="0"/>
        <w:rPr>
          <w:rFonts w:eastAsiaTheme="minorHAnsi" w:cs="Arial"/>
          <w:i/>
          <w:iCs/>
          <w:szCs w:val="22"/>
        </w:rPr>
      </w:pPr>
      <w:r>
        <w:rPr>
          <w:rFonts w:eastAsiaTheme="minorHAnsi" w:cs="Arial"/>
          <w:szCs w:val="22"/>
        </w:rPr>
        <w:t>Ahlfeldt, G. M &amp; Kavetsos, G</w:t>
      </w:r>
      <w:r w:rsidR="00630920" w:rsidRPr="00520273">
        <w:rPr>
          <w:rFonts w:eastAsiaTheme="minorHAnsi" w:cs="Arial"/>
          <w:szCs w:val="22"/>
        </w:rPr>
        <w:t xml:space="preserve"> (2014)</w:t>
      </w:r>
      <w:r>
        <w:rPr>
          <w:rFonts w:eastAsiaTheme="minorHAnsi" w:cs="Arial"/>
          <w:szCs w:val="22"/>
        </w:rPr>
        <w:t>.</w:t>
      </w:r>
      <w:r w:rsidR="00630920" w:rsidRPr="00520273">
        <w:rPr>
          <w:rFonts w:eastAsiaTheme="minorHAnsi" w:cs="Arial"/>
          <w:szCs w:val="22"/>
        </w:rPr>
        <w:t xml:space="preserve"> </w:t>
      </w:r>
      <w:r w:rsidR="00630920" w:rsidRPr="00520273">
        <w:rPr>
          <w:rFonts w:eastAsiaTheme="minorHAnsi" w:cs="Arial"/>
          <w:iCs/>
          <w:szCs w:val="22"/>
        </w:rPr>
        <w:t>Form or function?: the effect of new sports stadia on property prices in London.</w:t>
      </w:r>
      <w:r w:rsidR="00630920" w:rsidRPr="00520273">
        <w:rPr>
          <w:rFonts w:eastAsiaTheme="minorHAnsi" w:cs="Arial"/>
          <w:i/>
          <w:iCs/>
          <w:szCs w:val="22"/>
        </w:rPr>
        <w:t xml:space="preserve"> </w:t>
      </w:r>
      <w:r w:rsidR="00630920" w:rsidRPr="00520273">
        <w:rPr>
          <w:rFonts w:eastAsiaTheme="minorHAnsi" w:cs="Arial"/>
          <w:i/>
          <w:szCs w:val="22"/>
        </w:rPr>
        <w:t>Journal of the Royal Statistical Society: Series A (Statistics</w:t>
      </w:r>
      <w:r w:rsidR="00630920" w:rsidRPr="00520273">
        <w:rPr>
          <w:rFonts w:eastAsiaTheme="minorHAnsi" w:cs="Arial"/>
          <w:i/>
          <w:iCs/>
          <w:szCs w:val="22"/>
        </w:rPr>
        <w:t xml:space="preserve"> </w:t>
      </w:r>
      <w:r w:rsidR="00630920" w:rsidRPr="00520273">
        <w:rPr>
          <w:rFonts w:eastAsiaTheme="minorHAnsi" w:cs="Arial"/>
          <w:i/>
          <w:szCs w:val="22"/>
        </w:rPr>
        <w:t>in Society)</w:t>
      </w:r>
      <w:r w:rsidR="00630920" w:rsidRPr="00520273">
        <w:rPr>
          <w:rFonts w:eastAsiaTheme="minorHAnsi" w:cs="Arial"/>
          <w:szCs w:val="22"/>
        </w:rPr>
        <w:t>, 177 (1): 169</w:t>
      </w:r>
      <w:r w:rsidR="00630920">
        <w:rPr>
          <w:rFonts w:eastAsiaTheme="minorHAnsi" w:cs="Arial"/>
          <w:szCs w:val="22"/>
        </w:rPr>
        <w:t>–</w:t>
      </w:r>
      <w:r w:rsidR="00630920" w:rsidRPr="00520273">
        <w:rPr>
          <w:rFonts w:eastAsiaTheme="minorHAnsi" w:cs="Arial"/>
          <w:szCs w:val="22"/>
        </w:rPr>
        <w:t>190</w:t>
      </w:r>
    </w:p>
    <w:p w14:paraId="14A2D9E8" w14:textId="5E8876AF" w:rsidR="00630920" w:rsidRDefault="00630920" w:rsidP="00630920">
      <w:pPr>
        <w:rPr>
          <w:rFonts w:cs="Arial"/>
          <w:szCs w:val="22"/>
        </w:rPr>
      </w:pPr>
      <w:r>
        <w:rPr>
          <w:rFonts w:cs="Arial"/>
          <w:szCs w:val="22"/>
        </w:rPr>
        <w:t>AHRC (2016)</w:t>
      </w:r>
      <w:r w:rsidR="008A3A4A">
        <w:rPr>
          <w:rFonts w:cs="Arial"/>
          <w:szCs w:val="22"/>
        </w:rPr>
        <w:t>.</w:t>
      </w:r>
      <w:r>
        <w:rPr>
          <w:rFonts w:cs="Arial"/>
          <w:szCs w:val="22"/>
        </w:rPr>
        <w:t xml:space="preserve"> </w:t>
      </w:r>
      <w:r w:rsidRPr="009640D5">
        <w:rPr>
          <w:rFonts w:cs="Arial"/>
          <w:i/>
          <w:szCs w:val="22"/>
        </w:rPr>
        <w:t>Understanding the value of arts and culture</w:t>
      </w:r>
    </w:p>
    <w:p w14:paraId="468E63E9" w14:textId="681DE935" w:rsidR="00630920" w:rsidRDefault="00630920" w:rsidP="00630920">
      <w:pPr>
        <w:rPr>
          <w:rFonts w:cs="Arial"/>
          <w:szCs w:val="22"/>
        </w:rPr>
      </w:pPr>
      <w:r w:rsidRPr="00520273">
        <w:rPr>
          <w:rFonts w:cs="Arial"/>
          <w:szCs w:val="22"/>
        </w:rPr>
        <w:t>Amion/Locum (2010)</w:t>
      </w:r>
      <w:r w:rsidR="008A3A4A">
        <w:rPr>
          <w:rFonts w:cs="Arial"/>
          <w:szCs w:val="22"/>
        </w:rPr>
        <w:t>.</w:t>
      </w:r>
      <w:r w:rsidRPr="00520273">
        <w:rPr>
          <w:rFonts w:cs="Arial"/>
          <w:i/>
          <w:szCs w:val="22"/>
        </w:rPr>
        <w:t>The impact of historic environment regeneration</w:t>
      </w:r>
      <w:r w:rsidRPr="00520273">
        <w:rPr>
          <w:rFonts w:cs="Arial"/>
          <w:szCs w:val="22"/>
        </w:rPr>
        <w:t>, English Heritage</w:t>
      </w:r>
    </w:p>
    <w:p w14:paraId="07694C62" w14:textId="1559A131" w:rsidR="008A3A4A" w:rsidRPr="008A3A4A" w:rsidRDefault="008A3A4A" w:rsidP="00630920">
      <w:pPr>
        <w:rPr>
          <w:rFonts w:cs="Arial"/>
          <w:szCs w:val="22"/>
        </w:rPr>
      </w:pPr>
      <w:r>
        <w:rPr>
          <w:szCs w:val="22"/>
        </w:rPr>
        <w:t>A</w:t>
      </w:r>
      <w:r w:rsidR="002A2E86">
        <w:rPr>
          <w:szCs w:val="22"/>
        </w:rPr>
        <w:t>rzauro-Carod et al (2010</w:t>
      </w:r>
      <w:r>
        <w:rPr>
          <w:szCs w:val="22"/>
        </w:rPr>
        <w:t>).</w:t>
      </w:r>
      <w:r w:rsidRPr="008A3A4A">
        <w:rPr>
          <w:szCs w:val="22"/>
        </w:rPr>
        <w:t xml:space="preserve"> </w:t>
      </w:r>
      <w:r w:rsidRPr="008A3A4A">
        <w:rPr>
          <w:i/>
          <w:szCs w:val="22"/>
        </w:rPr>
        <w:t xml:space="preserve">Empirical studies in industrial location: an assessment of their methods and results, </w:t>
      </w:r>
      <w:r w:rsidRPr="008A3A4A">
        <w:rPr>
          <w:szCs w:val="22"/>
        </w:rPr>
        <w:t>Journal of Regional Science, April 2009</w:t>
      </w:r>
    </w:p>
    <w:p w14:paraId="5F9BCF30" w14:textId="77777777" w:rsidR="00630920" w:rsidRPr="00520273" w:rsidRDefault="00630920" w:rsidP="00630920">
      <w:pPr>
        <w:tabs>
          <w:tab w:val="left" w:pos="1244"/>
        </w:tabs>
        <w:rPr>
          <w:rFonts w:cs="Arial"/>
          <w:szCs w:val="22"/>
        </w:rPr>
      </w:pPr>
      <w:r w:rsidRPr="00520273">
        <w:rPr>
          <w:rFonts w:cs="Arial"/>
          <w:szCs w:val="22"/>
        </w:rPr>
        <w:t xml:space="preserve">Baade, R.A., Nikolova, M., Matheson, V.A. (2006) </w:t>
      </w:r>
      <w:r w:rsidRPr="00520273">
        <w:rPr>
          <w:rFonts w:cs="Arial"/>
          <w:i/>
          <w:iCs/>
          <w:szCs w:val="22"/>
        </w:rPr>
        <w:t>A Tale of Two Stadiums: Comparing the Economic Impact of Chicago’s Wrigley Field and U.S. Cellular Field</w:t>
      </w:r>
      <w:r w:rsidRPr="00520273">
        <w:rPr>
          <w:rFonts w:cs="Arial"/>
          <w:szCs w:val="22"/>
        </w:rPr>
        <w:t>, Working Paper Series, Paper No. 06</w:t>
      </w:r>
      <w:r>
        <w:rPr>
          <w:rFonts w:cs="Arial"/>
          <w:szCs w:val="22"/>
        </w:rPr>
        <w:t>–</w:t>
      </w:r>
      <w:r w:rsidRPr="00520273">
        <w:rPr>
          <w:rFonts w:cs="Arial"/>
          <w:szCs w:val="22"/>
        </w:rPr>
        <w:t>14, IASE</w:t>
      </w:r>
    </w:p>
    <w:p w14:paraId="776853B4" w14:textId="0E6EED21" w:rsidR="00630920" w:rsidRPr="00520273" w:rsidRDefault="00630920" w:rsidP="00630920">
      <w:pPr>
        <w:rPr>
          <w:rFonts w:cs="Arial"/>
          <w:szCs w:val="22"/>
        </w:rPr>
      </w:pPr>
      <w:r w:rsidRPr="00520273">
        <w:rPr>
          <w:rFonts w:cs="Arial"/>
          <w:szCs w:val="22"/>
        </w:rPr>
        <w:t>Bakhshi</w:t>
      </w:r>
      <w:r w:rsidR="009D7534">
        <w:rPr>
          <w:rFonts w:cs="Arial"/>
          <w:szCs w:val="22"/>
        </w:rPr>
        <w:t>, H et al</w:t>
      </w:r>
      <w:r w:rsidR="00D873DC">
        <w:rPr>
          <w:rFonts w:cs="Arial"/>
          <w:szCs w:val="22"/>
        </w:rPr>
        <w:t xml:space="preserve"> (2014</w:t>
      </w:r>
      <w:r w:rsidRPr="00520273">
        <w:rPr>
          <w:rFonts w:cs="Arial"/>
          <w:szCs w:val="22"/>
        </w:rPr>
        <w:t>)</w:t>
      </w:r>
      <w:r w:rsidR="009D7534">
        <w:rPr>
          <w:rFonts w:cs="Arial"/>
          <w:szCs w:val="22"/>
        </w:rPr>
        <w:t>.</w:t>
      </w:r>
      <w:r w:rsidRPr="00520273">
        <w:rPr>
          <w:rFonts w:cs="Arial"/>
          <w:szCs w:val="22"/>
        </w:rPr>
        <w:t xml:space="preserve"> Capital of Culture? An Econometric Analysis of the Relationship between Arts &amp; Cultural Clusters, Wages and the Creative Economy in English Cities, In </w:t>
      </w:r>
      <w:r w:rsidRPr="00520273">
        <w:rPr>
          <w:rFonts w:cs="Arial"/>
          <w:i/>
          <w:szCs w:val="22"/>
        </w:rPr>
        <w:t>Creative Communities: Art Works in Economic Development</w:t>
      </w:r>
      <w:r w:rsidRPr="00520273">
        <w:rPr>
          <w:rFonts w:cs="Arial"/>
          <w:szCs w:val="22"/>
        </w:rPr>
        <w:t xml:space="preserve"> (M.</w:t>
      </w:r>
      <w:r>
        <w:rPr>
          <w:rFonts w:cs="Arial"/>
          <w:szCs w:val="22"/>
        </w:rPr>
        <w:t xml:space="preserve"> </w:t>
      </w:r>
      <w:r w:rsidRPr="00520273">
        <w:rPr>
          <w:rFonts w:cs="Arial"/>
          <w:szCs w:val="22"/>
        </w:rPr>
        <w:t>Rushton, ed). Washington DC: Brookings Institution</w:t>
      </w:r>
    </w:p>
    <w:p w14:paraId="78601679" w14:textId="5A5B8909" w:rsidR="00630920" w:rsidRPr="00520273" w:rsidRDefault="009D7534" w:rsidP="00630920">
      <w:pPr>
        <w:rPr>
          <w:rFonts w:cs="Arial"/>
          <w:szCs w:val="22"/>
        </w:rPr>
      </w:pPr>
      <w:r>
        <w:rPr>
          <w:rFonts w:cs="Arial"/>
          <w:szCs w:val="22"/>
        </w:rPr>
        <w:t>Bathelt, H</w:t>
      </w:r>
      <w:r w:rsidR="00630920" w:rsidRPr="00520273">
        <w:rPr>
          <w:rFonts w:cs="Arial"/>
          <w:szCs w:val="22"/>
        </w:rPr>
        <w:t>, Malmberg, A. and Maskell, P. (2004)</w:t>
      </w:r>
      <w:r w:rsidR="00630920">
        <w:rPr>
          <w:rFonts w:cs="Arial"/>
          <w:szCs w:val="22"/>
        </w:rPr>
        <w:t xml:space="preserve"> </w:t>
      </w:r>
      <w:r w:rsidR="00630920" w:rsidRPr="00520273">
        <w:rPr>
          <w:rFonts w:cs="Arial"/>
          <w:szCs w:val="22"/>
        </w:rPr>
        <w:t xml:space="preserve">Clusters and knowledge: local buzz, global pipelines and the process of knowledge creation, </w:t>
      </w:r>
      <w:r w:rsidR="00630920" w:rsidRPr="00520273">
        <w:rPr>
          <w:rFonts w:cs="Arial"/>
          <w:i/>
          <w:iCs/>
          <w:szCs w:val="22"/>
        </w:rPr>
        <w:t>Progress in Human Geography</w:t>
      </w:r>
      <w:r w:rsidR="00630920" w:rsidRPr="00520273">
        <w:rPr>
          <w:rFonts w:cs="Arial"/>
          <w:szCs w:val="22"/>
        </w:rPr>
        <w:t>, 28(1): 310</w:t>
      </w:r>
      <w:r w:rsidR="00630920">
        <w:rPr>
          <w:rFonts w:cs="Arial"/>
          <w:szCs w:val="22"/>
        </w:rPr>
        <w:t>–</w:t>
      </w:r>
      <w:r w:rsidR="00630920" w:rsidRPr="00520273">
        <w:rPr>
          <w:rFonts w:cs="Arial"/>
          <w:szCs w:val="22"/>
        </w:rPr>
        <w:t>356</w:t>
      </w:r>
    </w:p>
    <w:p w14:paraId="194B2A5A" w14:textId="14C97B0C" w:rsidR="00630920" w:rsidRPr="00520273" w:rsidRDefault="00630920" w:rsidP="00630920">
      <w:pPr>
        <w:spacing w:line="201" w:lineRule="exact"/>
        <w:ind w:right="-20"/>
        <w:rPr>
          <w:rFonts w:cs="Arial"/>
          <w:szCs w:val="22"/>
        </w:rPr>
      </w:pPr>
      <w:r w:rsidRPr="00520273">
        <w:rPr>
          <w:rFonts w:cs="Arial"/>
          <w:szCs w:val="22"/>
        </w:rPr>
        <w:t>Bevan,</w:t>
      </w:r>
      <w:r w:rsidRPr="00520273">
        <w:rPr>
          <w:rFonts w:cs="Arial"/>
          <w:spacing w:val="5"/>
          <w:szCs w:val="22"/>
        </w:rPr>
        <w:t xml:space="preserve"> </w:t>
      </w:r>
      <w:r w:rsidRPr="00520273">
        <w:rPr>
          <w:rFonts w:cs="Arial"/>
          <w:spacing w:val="-13"/>
          <w:szCs w:val="22"/>
        </w:rPr>
        <w:t>T</w:t>
      </w:r>
      <w:r w:rsidRPr="00520273">
        <w:rPr>
          <w:rFonts w:cs="Arial"/>
          <w:spacing w:val="7"/>
          <w:szCs w:val="22"/>
        </w:rPr>
        <w:t xml:space="preserve"> </w:t>
      </w:r>
      <w:r w:rsidRPr="00520273">
        <w:rPr>
          <w:rFonts w:cs="Arial"/>
          <w:szCs w:val="22"/>
        </w:rPr>
        <w:t>&amp;</w:t>
      </w:r>
      <w:r w:rsidRPr="00520273">
        <w:rPr>
          <w:rFonts w:cs="Arial"/>
          <w:spacing w:val="6"/>
          <w:szCs w:val="22"/>
        </w:rPr>
        <w:t xml:space="preserve"> </w:t>
      </w:r>
      <w:r w:rsidRPr="00520273">
        <w:rPr>
          <w:rFonts w:cs="Arial"/>
          <w:spacing w:val="-7"/>
          <w:szCs w:val="22"/>
        </w:rPr>
        <w:t>T</w:t>
      </w:r>
      <w:r w:rsidRPr="00520273">
        <w:rPr>
          <w:rFonts w:cs="Arial"/>
          <w:szCs w:val="22"/>
        </w:rPr>
        <w:t>urnham,</w:t>
      </w:r>
      <w:r w:rsidRPr="00520273">
        <w:rPr>
          <w:rFonts w:cs="Arial"/>
          <w:spacing w:val="2"/>
          <w:szCs w:val="22"/>
        </w:rPr>
        <w:t xml:space="preserve"> </w:t>
      </w:r>
      <w:r w:rsidR="009D7534">
        <w:rPr>
          <w:rFonts w:cs="Arial"/>
          <w:szCs w:val="22"/>
        </w:rPr>
        <w:t>A</w:t>
      </w:r>
      <w:r w:rsidRPr="00520273">
        <w:rPr>
          <w:rFonts w:cs="Arial"/>
          <w:spacing w:val="7"/>
          <w:szCs w:val="22"/>
        </w:rPr>
        <w:t xml:space="preserve"> </w:t>
      </w:r>
      <w:r w:rsidRPr="00520273">
        <w:rPr>
          <w:rFonts w:cs="Arial"/>
          <w:szCs w:val="22"/>
        </w:rPr>
        <w:t>(2010)</w:t>
      </w:r>
      <w:r w:rsidR="009D7534">
        <w:rPr>
          <w:rFonts w:cs="Arial"/>
          <w:szCs w:val="22"/>
        </w:rPr>
        <w:t>.</w:t>
      </w:r>
      <w:r w:rsidRPr="00520273">
        <w:rPr>
          <w:rFonts w:cs="Arial"/>
          <w:szCs w:val="22"/>
        </w:rPr>
        <w:t xml:space="preserve"> </w:t>
      </w:r>
      <w:r w:rsidRPr="00520273">
        <w:rPr>
          <w:rFonts w:cs="Arial"/>
          <w:i/>
          <w:szCs w:val="22"/>
        </w:rPr>
        <w:t>Night</w:t>
      </w:r>
      <w:r w:rsidRPr="00520273">
        <w:rPr>
          <w:rFonts w:cs="Arial"/>
          <w:i/>
          <w:spacing w:val="-7"/>
          <w:szCs w:val="22"/>
        </w:rPr>
        <w:t xml:space="preserve"> </w:t>
      </w:r>
      <w:r w:rsidRPr="00520273">
        <w:rPr>
          <w:rFonts w:cs="Arial"/>
          <w:i/>
          <w:szCs w:val="22"/>
        </w:rPr>
        <w:t>mix</w:t>
      </w:r>
      <w:r w:rsidRPr="00520273">
        <w:rPr>
          <w:rFonts w:cs="Arial"/>
          <w:i/>
          <w:spacing w:val="-16"/>
          <w:szCs w:val="22"/>
        </w:rPr>
        <w:t xml:space="preserve"> </w:t>
      </w:r>
      <w:r w:rsidRPr="00520273">
        <w:rPr>
          <w:rFonts w:cs="Arial"/>
          <w:i/>
          <w:szCs w:val="22"/>
        </w:rPr>
        <w:t>new</w:t>
      </w:r>
      <w:r w:rsidRPr="00520273">
        <w:rPr>
          <w:rFonts w:cs="Arial"/>
          <w:i/>
          <w:spacing w:val="-1"/>
          <w:szCs w:val="22"/>
        </w:rPr>
        <w:t>s</w:t>
      </w:r>
      <w:r w:rsidRPr="00520273">
        <w:rPr>
          <w:rFonts w:cs="Arial"/>
          <w:szCs w:val="22"/>
        </w:rPr>
        <w:t>.</w:t>
      </w:r>
      <w:r w:rsidRPr="00520273">
        <w:rPr>
          <w:rFonts w:cs="Arial"/>
          <w:spacing w:val="-6"/>
          <w:szCs w:val="22"/>
        </w:rPr>
        <w:t xml:space="preserve"> </w:t>
      </w:r>
      <w:r w:rsidRPr="00520273">
        <w:rPr>
          <w:rFonts w:cs="Arial"/>
          <w:szCs w:val="22"/>
        </w:rPr>
        <w:t>Summe</w:t>
      </w:r>
      <w:r w:rsidRPr="00520273">
        <w:rPr>
          <w:rFonts w:cs="Arial"/>
          <w:spacing w:val="-9"/>
          <w:szCs w:val="22"/>
        </w:rPr>
        <w:t>r</w:t>
      </w:r>
      <w:r w:rsidRPr="00520273">
        <w:rPr>
          <w:rFonts w:cs="Arial"/>
          <w:szCs w:val="22"/>
        </w:rPr>
        <w:t>.</w:t>
      </w:r>
      <w:r w:rsidRPr="00520273">
        <w:rPr>
          <w:rFonts w:cs="Arial"/>
          <w:spacing w:val="-3"/>
          <w:szCs w:val="22"/>
        </w:rPr>
        <w:t xml:space="preserve"> </w:t>
      </w:r>
      <w:r w:rsidRPr="00520273">
        <w:rPr>
          <w:rFonts w:cs="Arial"/>
          <w:szCs w:val="22"/>
        </w:rPr>
        <w:t>Retrieved</w:t>
      </w:r>
      <w:r w:rsidRPr="00520273">
        <w:rPr>
          <w:rFonts w:cs="Arial"/>
          <w:spacing w:val="-4"/>
          <w:szCs w:val="22"/>
        </w:rPr>
        <w:t xml:space="preserve"> </w:t>
      </w:r>
      <w:r w:rsidRPr="00520273">
        <w:rPr>
          <w:rFonts w:cs="Arial"/>
          <w:szCs w:val="22"/>
        </w:rPr>
        <w:t>from</w:t>
      </w:r>
      <w:r w:rsidRPr="00520273">
        <w:rPr>
          <w:rFonts w:cs="Arial"/>
          <w:spacing w:val="1"/>
          <w:szCs w:val="22"/>
        </w:rPr>
        <w:t xml:space="preserve"> </w:t>
      </w:r>
      <w:hyperlink r:id="rId37">
        <w:r w:rsidRPr="00520273">
          <w:rPr>
            <w:rFonts w:cs="Arial"/>
            <w:szCs w:val="22"/>
          </w:rPr>
          <w:t>ww</w:t>
        </w:r>
        <w:r w:rsidRPr="00520273">
          <w:rPr>
            <w:rFonts w:cs="Arial"/>
            <w:spacing w:val="-11"/>
            <w:szCs w:val="22"/>
          </w:rPr>
          <w:t>w</w:t>
        </w:r>
        <w:r w:rsidRPr="00520273">
          <w:rPr>
            <w:rFonts w:cs="Arial"/>
            <w:szCs w:val="22"/>
          </w:rPr>
          <w:t>.tb</w:t>
        </w:r>
        <w:r w:rsidRPr="00520273">
          <w:rPr>
            <w:rFonts w:cs="Arial"/>
            <w:spacing w:val="-9"/>
            <w:szCs w:val="22"/>
          </w:rPr>
          <w:t>r</w:t>
        </w:r>
        <w:r w:rsidRPr="00520273">
          <w:rPr>
            <w:rFonts w:cs="Arial"/>
            <w:szCs w:val="22"/>
          </w:rPr>
          <w:t>.co.uk</w:t>
        </w:r>
      </w:hyperlink>
    </w:p>
    <w:p w14:paraId="73A4850D" w14:textId="77777777" w:rsidR="00630920" w:rsidRPr="00520273" w:rsidRDefault="00630920" w:rsidP="00630920">
      <w:pPr>
        <w:rPr>
          <w:rFonts w:cs="Arial"/>
          <w:szCs w:val="22"/>
        </w:rPr>
      </w:pPr>
      <w:r w:rsidRPr="00520273">
        <w:rPr>
          <w:rFonts w:cs="Arial"/>
          <w:szCs w:val="22"/>
        </w:rPr>
        <w:t xml:space="preserve">BOP (2010) </w:t>
      </w:r>
      <w:r w:rsidRPr="00520273">
        <w:rPr>
          <w:rFonts w:cs="Arial"/>
          <w:i/>
          <w:szCs w:val="22"/>
        </w:rPr>
        <w:t>Evaluation of AV Festival</w:t>
      </w:r>
      <w:r w:rsidRPr="00520273">
        <w:rPr>
          <w:rFonts w:cs="Arial"/>
          <w:szCs w:val="22"/>
        </w:rPr>
        <w:t>. London</w:t>
      </w:r>
    </w:p>
    <w:p w14:paraId="09913312" w14:textId="77777777" w:rsidR="00630920" w:rsidRPr="00520273" w:rsidRDefault="00630920" w:rsidP="00630920">
      <w:pPr>
        <w:autoSpaceDE w:val="0"/>
        <w:autoSpaceDN w:val="0"/>
        <w:adjustRightInd w:val="0"/>
        <w:rPr>
          <w:rFonts w:eastAsiaTheme="minorHAnsi" w:cs="Arial"/>
          <w:szCs w:val="22"/>
        </w:rPr>
      </w:pPr>
      <w:r w:rsidRPr="00520273">
        <w:rPr>
          <w:rFonts w:cs="Arial"/>
          <w:szCs w:val="22"/>
        </w:rPr>
        <w:t xml:space="preserve">BOP (2013) </w:t>
      </w:r>
      <w:r w:rsidRPr="00520273">
        <w:rPr>
          <w:rFonts w:eastAsiaTheme="minorHAnsi" w:cs="Arial"/>
          <w:i/>
          <w:szCs w:val="22"/>
        </w:rPr>
        <w:t>The Economic, Social and Cultural Impact of the City Arts and Culture Cluster</w:t>
      </w:r>
      <w:r w:rsidRPr="00520273">
        <w:rPr>
          <w:rFonts w:eastAsiaTheme="minorHAnsi" w:cs="Arial"/>
          <w:szCs w:val="22"/>
        </w:rPr>
        <w:t>. City Corporation. London</w:t>
      </w:r>
    </w:p>
    <w:p w14:paraId="2260EA05" w14:textId="77777777" w:rsidR="00630920" w:rsidRPr="00520273" w:rsidRDefault="00630920" w:rsidP="00630920">
      <w:pPr>
        <w:rPr>
          <w:rFonts w:cs="Arial"/>
          <w:szCs w:val="22"/>
        </w:rPr>
      </w:pPr>
      <w:r w:rsidRPr="00520273">
        <w:rPr>
          <w:rFonts w:cs="Arial"/>
          <w:szCs w:val="22"/>
        </w:rPr>
        <w:t xml:space="preserve">Boyle, P., Flowerdew, R. and Brook, O. (2008) </w:t>
      </w:r>
      <w:r w:rsidRPr="00520273">
        <w:rPr>
          <w:rFonts w:cs="Arial"/>
          <w:i/>
          <w:szCs w:val="22"/>
        </w:rPr>
        <w:t>Demographic indicators of cultural consumption</w:t>
      </w:r>
      <w:r w:rsidRPr="00520273">
        <w:rPr>
          <w:rFonts w:cs="Arial"/>
          <w:szCs w:val="22"/>
        </w:rPr>
        <w:t>: Full Research Report. Swindon: ESRC</w:t>
      </w:r>
    </w:p>
    <w:p w14:paraId="7AFE894B" w14:textId="77777777" w:rsidR="00630920" w:rsidRPr="00520273" w:rsidRDefault="00630920" w:rsidP="00630920">
      <w:pPr>
        <w:tabs>
          <w:tab w:val="left" w:pos="284"/>
          <w:tab w:val="left" w:pos="1244"/>
        </w:tabs>
        <w:rPr>
          <w:rFonts w:cs="Arial"/>
          <w:bCs/>
          <w:szCs w:val="22"/>
        </w:rPr>
      </w:pPr>
      <w:r w:rsidRPr="00520273">
        <w:rPr>
          <w:rFonts w:cs="Arial"/>
          <w:bCs/>
          <w:szCs w:val="22"/>
        </w:rPr>
        <w:t xml:space="preserve">CABE (2007) </w:t>
      </w:r>
      <w:r w:rsidRPr="00520273">
        <w:rPr>
          <w:rFonts w:cs="Arial"/>
          <w:bCs/>
          <w:i/>
          <w:szCs w:val="22"/>
        </w:rPr>
        <w:t>Paved with Gold: The real value of good street design</w:t>
      </w:r>
      <w:r w:rsidRPr="00520273">
        <w:rPr>
          <w:rFonts w:cs="Arial"/>
          <w:bCs/>
          <w:szCs w:val="22"/>
        </w:rPr>
        <w:t>. London: CABE</w:t>
      </w:r>
    </w:p>
    <w:p w14:paraId="0BDEA649" w14:textId="5C8BC157" w:rsidR="009B0C87" w:rsidRDefault="00630920" w:rsidP="009B0C87">
      <w:pPr>
        <w:tabs>
          <w:tab w:val="left" w:pos="1244"/>
        </w:tabs>
        <w:rPr>
          <w:rFonts w:cs="Arial"/>
          <w:bCs/>
          <w:szCs w:val="22"/>
        </w:rPr>
      </w:pPr>
      <w:r w:rsidRPr="00520273">
        <w:rPr>
          <w:rFonts w:cs="Arial"/>
          <w:bCs/>
          <w:szCs w:val="22"/>
        </w:rPr>
        <w:lastRenderedPageBreak/>
        <w:t xml:space="preserve">Canning, D. and Pedroni, P. (2008) Infrastructure, Long-Run Economic Growth and Causality Tests for Cointegrated Panels, </w:t>
      </w:r>
      <w:r w:rsidRPr="00520273">
        <w:rPr>
          <w:rFonts w:cs="Arial"/>
          <w:bCs/>
          <w:i/>
          <w:szCs w:val="22"/>
        </w:rPr>
        <w:t>Manchester School</w:t>
      </w:r>
      <w:r w:rsidRPr="00520273">
        <w:rPr>
          <w:rFonts w:cs="Arial"/>
          <w:bCs/>
          <w:szCs w:val="22"/>
        </w:rPr>
        <w:t>, 76(5): 504</w:t>
      </w:r>
      <w:r>
        <w:rPr>
          <w:rFonts w:cs="Arial"/>
          <w:bCs/>
          <w:szCs w:val="22"/>
        </w:rPr>
        <w:t>–</w:t>
      </w:r>
      <w:r w:rsidRPr="00520273">
        <w:rPr>
          <w:rFonts w:cs="Arial"/>
          <w:bCs/>
          <w:szCs w:val="22"/>
        </w:rPr>
        <w:t>27</w:t>
      </w:r>
    </w:p>
    <w:p w14:paraId="2DD2578C" w14:textId="79754F07" w:rsidR="00BD1C2B" w:rsidRPr="00BD1C2B" w:rsidRDefault="00630920" w:rsidP="00BD1C2B">
      <w:pPr>
        <w:tabs>
          <w:tab w:val="left" w:pos="1244"/>
        </w:tabs>
        <w:rPr>
          <w:rFonts w:cs="Arial"/>
          <w:bCs/>
          <w:color w:val="0000FF"/>
          <w:szCs w:val="22"/>
          <w:u w:val="single"/>
        </w:rPr>
      </w:pPr>
      <w:r w:rsidRPr="00520273">
        <w:rPr>
          <w:rFonts w:cs="Arial"/>
          <w:bCs/>
          <w:szCs w:val="22"/>
        </w:rPr>
        <w:t xml:space="preserve">CCI (2012) </w:t>
      </w:r>
      <w:r w:rsidRPr="00520273">
        <w:rPr>
          <w:rFonts w:cs="Arial"/>
          <w:bCs/>
          <w:i/>
          <w:szCs w:val="22"/>
        </w:rPr>
        <w:t>CCI Creative City Index</w:t>
      </w:r>
      <w:r w:rsidRPr="00520273">
        <w:rPr>
          <w:rFonts w:cs="Arial"/>
          <w:bCs/>
          <w:szCs w:val="22"/>
        </w:rPr>
        <w:t xml:space="preserve">. ARC, Queensland </w:t>
      </w:r>
      <w:hyperlink r:id="rId38" w:history="1">
        <w:r w:rsidRPr="00520273">
          <w:rPr>
            <w:rStyle w:val="Hyperlink"/>
            <w:rFonts w:cs="Arial"/>
            <w:bCs/>
            <w:szCs w:val="22"/>
          </w:rPr>
          <w:t>http://www.cci.edu.au/node/1349</w:t>
        </w:r>
      </w:hyperlink>
    </w:p>
    <w:p w14:paraId="2A33A413" w14:textId="77777777" w:rsidR="00630920" w:rsidRDefault="00630920" w:rsidP="00630920">
      <w:pPr>
        <w:tabs>
          <w:tab w:val="left" w:pos="1244"/>
        </w:tabs>
        <w:rPr>
          <w:rFonts w:cs="Arial"/>
          <w:szCs w:val="22"/>
        </w:rPr>
      </w:pPr>
      <w:r w:rsidRPr="00520273">
        <w:rPr>
          <w:rFonts w:cs="Arial"/>
          <w:bCs/>
          <w:szCs w:val="22"/>
        </w:rPr>
        <w:t>CEBR (2013)</w:t>
      </w:r>
      <w:r>
        <w:rPr>
          <w:rFonts w:cs="Arial"/>
          <w:bCs/>
          <w:szCs w:val="22"/>
        </w:rPr>
        <w:t xml:space="preserve"> </w:t>
      </w:r>
      <w:r w:rsidRPr="00520273">
        <w:rPr>
          <w:rFonts w:cs="Arial"/>
          <w:bCs/>
          <w:i/>
          <w:szCs w:val="22"/>
        </w:rPr>
        <w:t xml:space="preserve">The </w:t>
      </w:r>
      <w:r w:rsidRPr="00520273">
        <w:rPr>
          <w:rFonts w:cs="Arial"/>
          <w:i/>
          <w:szCs w:val="22"/>
        </w:rPr>
        <w:t>contribution of arts &amp; culture to the UK economy</w:t>
      </w:r>
      <w:r w:rsidRPr="00520273">
        <w:rPr>
          <w:rFonts w:cs="Arial"/>
          <w:szCs w:val="22"/>
        </w:rPr>
        <w:t>, Arts Council England/Museum Directors</w:t>
      </w:r>
    </w:p>
    <w:p w14:paraId="2465B016" w14:textId="2276B084" w:rsidR="00BD1C2B" w:rsidRPr="00520273" w:rsidRDefault="00BD1C2B" w:rsidP="00970152">
      <w:pPr>
        <w:autoSpaceDE w:val="0"/>
        <w:autoSpaceDN w:val="0"/>
        <w:adjustRightInd w:val="0"/>
        <w:rPr>
          <w:rFonts w:cs="Arial"/>
          <w:szCs w:val="22"/>
        </w:rPr>
      </w:pPr>
      <w:r w:rsidRPr="00970152">
        <w:rPr>
          <w:rFonts w:cs="Arial"/>
          <w:szCs w:val="22"/>
        </w:rPr>
        <w:t>Centre for International Competitiveness (</w:t>
      </w:r>
      <w:r w:rsidR="00970152">
        <w:rPr>
          <w:rFonts w:cs="Arial"/>
          <w:szCs w:val="22"/>
        </w:rPr>
        <w:t>2016</w:t>
      </w:r>
      <w:r w:rsidRPr="00970152">
        <w:rPr>
          <w:rFonts w:cs="Arial"/>
          <w:szCs w:val="22"/>
        </w:rPr>
        <w:t>)</w:t>
      </w:r>
      <w:r w:rsidR="00970152">
        <w:rPr>
          <w:rFonts w:cs="Arial"/>
          <w:szCs w:val="22"/>
        </w:rPr>
        <w:t xml:space="preserve"> UK</w:t>
      </w:r>
      <w:r w:rsidRPr="00970152">
        <w:rPr>
          <w:rFonts w:cs="Arial"/>
          <w:szCs w:val="22"/>
        </w:rPr>
        <w:t xml:space="preserve"> </w:t>
      </w:r>
      <w:r w:rsidR="00342903" w:rsidRPr="00970152">
        <w:rPr>
          <w:rFonts w:cs="Arial"/>
          <w:szCs w:val="22"/>
        </w:rPr>
        <w:t>Competitiveness Index</w:t>
      </w:r>
      <w:r w:rsidR="00970152">
        <w:rPr>
          <w:rFonts w:cs="Arial"/>
          <w:szCs w:val="22"/>
        </w:rPr>
        <w:t xml:space="preserve"> 2016, Cardiff University/Nottingham Trent University</w:t>
      </w:r>
    </w:p>
    <w:p w14:paraId="79CF681B" w14:textId="77777777" w:rsidR="00F40E03" w:rsidRDefault="00F40E03" w:rsidP="00630920">
      <w:pPr>
        <w:autoSpaceDE w:val="0"/>
        <w:autoSpaceDN w:val="0"/>
        <w:adjustRightInd w:val="0"/>
        <w:rPr>
          <w:rFonts w:cs="Arial"/>
          <w:szCs w:val="22"/>
        </w:rPr>
      </w:pPr>
      <w:r w:rsidRPr="00F40E03">
        <w:rPr>
          <w:rFonts w:cs="Arial"/>
          <w:szCs w:val="22"/>
        </w:rPr>
        <w:t xml:space="preserve">Chapain et al (2010), </w:t>
      </w:r>
      <w:r w:rsidRPr="00F40E03">
        <w:rPr>
          <w:rFonts w:cs="Arial"/>
          <w:i/>
          <w:szCs w:val="22"/>
        </w:rPr>
        <w:t>Creative clusters and innovation – putting creativity on the map</w:t>
      </w:r>
      <w:r w:rsidRPr="00F40E03">
        <w:rPr>
          <w:rFonts w:cs="Arial"/>
          <w:szCs w:val="22"/>
        </w:rPr>
        <w:t xml:space="preserve">, Nesta </w:t>
      </w:r>
    </w:p>
    <w:p w14:paraId="1A2A4758" w14:textId="24D9C2EE" w:rsidR="00630920" w:rsidRPr="00520273" w:rsidRDefault="00630920" w:rsidP="00630920">
      <w:pPr>
        <w:autoSpaceDE w:val="0"/>
        <w:autoSpaceDN w:val="0"/>
        <w:adjustRightInd w:val="0"/>
        <w:rPr>
          <w:rFonts w:cs="Arial"/>
          <w:szCs w:val="22"/>
        </w:rPr>
      </w:pPr>
      <w:r w:rsidRPr="00520273">
        <w:rPr>
          <w:rFonts w:cs="Arial"/>
          <w:szCs w:val="22"/>
        </w:rPr>
        <w:t xml:space="preserve">Clifton, N. (2008) The “Creative Class” in the UK: An Initial Analysis, </w:t>
      </w:r>
      <w:r w:rsidRPr="00520273">
        <w:rPr>
          <w:rFonts w:cs="Arial"/>
          <w:i/>
          <w:iCs/>
          <w:szCs w:val="22"/>
        </w:rPr>
        <w:t>Geografika Ann.B</w:t>
      </w:r>
      <w:r w:rsidRPr="00520273">
        <w:rPr>
          <w:rFonts w:cs="Arial"/>
          <w:szCs w:val="22"/>
        </w:rPr>
        <w:t>, 90(1): 63</w:t>
      </w:r>
      <w:r>
        <w:rPr>
          <w:rFonts w:cs="Arial"/>
          <w:szCs w:val="22"/>
        </w:rPr>
        <w:t>–</w:t>
      </w:r>
      <w:r w:rsidRPr="00520273">
        <w:rPr>
          <w:rFonts w:cs="Arial"/>
          <w:szCs w:val="22"/>
        </w:rPr>
        <w:t>82</w:t>
      </w:r>
    </w:p>
    <w:p w14:paraId="62FFB7A9" w14:textId="77777777" w:rsidR="00630920" w:rsidRPr="00520273" w:rsidRDefault="00630920" w:rsidP="00630920">
      <w:pPr>
        <w:autoSpaceDE w:val="0"/>
        <w:autoSpaceDN w:val="0"/>
        <w:adjustRightInd w:val="0"/>
        <w:rPr>
          <w:rFonts w:cs="Arial"/>
          <w:szCs w:val="22"/>
        </w:rPr>
      </w:pPr>
      <w:r w:rsidRPr="00520273">
        <w:rPr>
          <w:rFonts w:cs="Arial"/>
          <w:szCs w:val="22"/>
        </w:rPr>
        <w:t xml:space="preserve">Clifton, N. and Cooke, P. (2009) Creative knowledge workers and location in Europe and North America: a comparative review, </w:t>
      </w:r>
      <w:r w:rsidRPr="00520273">
        <w:rPr>
          <w:rFonts w:cs="Arial"/>
          <w:i/>
          <w:iCs/>
          <w:szCs w:val="22"/>
        </w:rPr>
        <w:t>Creative Industries Journal</w:t>
      </w:r>
      <w:r w:rsidRPr="00520273">
        <w:rPr>
          <w:rFonts w:cs="Arial"/>
          <w:szCs w:val="22"/>
        </w:rPr>
        <w:t>, 2(1): 73</w:t>
      </w:r>
      <w:r>
        <w:rPr>
          <w:rFonts w:cs="Arial"/>
          <w:szCs w:val="22"/>
        </w:rPr>
        <w:t>–</w:t>
      </w:r>
      <w:r w:rsidRPr="00520273">
        <w:rPr>
          <w:rFonts w:cs="Arial"/>
          <w:szCs w:val="22"/>
        </w:rPr>
        <w:t>89</w:t>
      </w:r>
    </w:p>
    <w:p w14:paraId="0735AD2F" w14:textId="77777777" w:rsidR="00630920" w:rsidRDefault="00630920" w:rsidP="00630920">
      <w:pPr>
        <w:tabs>
          <w:tab w:val="left" w:pos="1244"/>
        </w:tabs>
        <w:rPr>
          <w:rFonts w:cs="Arial"/>
          <w:bCs/>
          <w:szCs w:val="22"/>
        </w:rPr>
      </w:pPr>
      <w:r w:rsidRPr="00520273">
        <w:rPr>
          <w:rFonts w:cs="Arial"/>
          <w:bCs/>
          <w:szCs w:val="22"/>
        </w:rPr>
        <w:t xml:space="preserve">Coates, D. &amp; Humphreys, B.R., (1998) </w:t>
      </w:r>
      <w:r w:rsidRPr="00520273">
        <w:rPr>
          <w:rFonts w:cs="Arial"/>
          <w:bCs/>
          <w:i/>
          <w:iCs/>
          <w:szCs w:val="22"/>
        </w:rPr>
        <w:t>The Growth Effects of Sport Franchises, Stadia and Arenas</w:t>
      </w:r>
      <w:r w:rsidRPr="00520273">
        <w:rPr>
          <w:rFonts w:cs="Arial"/>
          <w:bCs/>
          <w:szCs w:val="22"/>
        </w:rPr>
        <w:t>, University of Maryland Baltimore County</w:t>
      </w:r>
    </w:p>
    <w:p w14:paraId="14208D0E" w14:textId="67E1C66F" w:rsidR="0037149A" w:rsidRPr="0037149A" w:rsidRDefault="0037149A" w:rsidP="0037149A">
      <w:pPr>
        <w:autoSpaceDE w:val="0"/>
        <w:autoSpaceDN w:val="0"/>
        <w:adjustRightInd w:val="0"/>
        <w:rPr>
          <w:rFonts w:eastAsiaTheme="minorHAnsi" w:cs="Arial"/>
          <w:szCs w:val="22"/>
        </w:rPr>
      </w:pPr>
      <w:r w:rsidRPr="0037149A">
        <w:rPr>
          <w:szCs w:val="22"/>
        </w:rPr>
        <w:t xml:space="preserve">Crossick, G &amp; Kaszynska, P (2016). </w:t>
      </w:r>
      <w:r w:rsidRPr="0037149A">
        <w:rPr>
          <w:i/>
          <w:szCs w:val="22"/>
        </w:rPr>
        <w:t xml:space="preserve">Understanding the value of arts &amp; culture: </w:t>
      </w:r>
      <w:r w:rsidRPr="0037149A">
        <w:rPr>
          <w:bCs/>
          <w:i/>
          <w:szCs w:val="22"/>
        </w:rPr>
        <w:t xml:space="preserve">The AHRC Cultural Value Project. </w:t>
      </w:r>
      <w:r w:rsidRPr="0037149A">
        <w:rPr>
          <w:bCs/>
          <w:szCs w:val="22"/>
        </w:rPr>
        <w:t>Swindon. AHRC</w:t>
      </w:r>
    </w:p>
    <w:p w14:paraId="1C650B4A" w14:textId="69DD3D31" w:rsidR="00F40E03" w:rsidRDefault="00F40E03" w:rsidP="00630920">
      <w:pPr>
        <w:rPr>
          <w:rFonts w:cs="Arial"/>
          <w:szCs w:val="22"/>
        </w:rPr>
      </w:pPr>
      <w:r w:rsidRPr="00F40E03">
        <w:rPr>
          <w:rFonts w:cs="Arial"/>
          <w:szCs w:val="22"/>
        </w:rPr>
        <w:t>Cruz, S</w:t>
      </w:r>
      <w:r>
        <w:rPr>
          <w:rFonts w:cs="Arial"/>
          <w:szCs w:val="22"/>
        </w:rPr>
        <w:t xml:space="preserve"> &amp; Teixeira, AA</w:t>
      </w:r>
      <w:r w:rsidRPr="00F40E03">
        <w:rPr>
          <w:rFonts w:cs="Arial"/>
          <w:szCs w:val="22"/>
        </w:rPr>
        <w:t>C</w:t>
      </w:r>
      <w:r>
        <w:rPr>
          <w:rFonts w:cs="Arial"/>
          <w:szCs w:val="22"/>
        </w:rPr>
        <w:t xml:space="preserve"> (2014)</w:t>
      </w:r>
      <w:r w:rsidRPr="00F40E03">
        <w:rPr>
          <w:rFonts w:cs="Arial"/>
          <w:szCs w:val="22"/>
        </w:rPr>
        <w:t xml:space="preserve"> </w:t>
      </w:r>
      <w:r w:rsidRPr="00F40E03">
        <w:rPr>
          <w:rFonts w:cs="Arial"/>
          <w:i/>
          <w:szCs w:val="22"/>
        </w:rPr>
        <w:t>The Determinants of Spatial Location of Creative Industries Start-Ups: Evidence from Portugal using a Discrete Choice Model Approach</w:t>
      </w:r>
      <w:r w:rsidRPr="00F40E03">
        <w:rPr>
          <w:rFonts w:cs="Arial"/>
          <w:szCs w:val="22"/>
        </w:rPr>
        <w:t>. FEP Working Papers no. 546</w:t>
      </w:r>
    </w:p>
    <w:p w14:paraId="31418EEF" w14:textId="6B6EE0F5" w:rsidR="00630920" w:rsidRPr="00520273" w:rsidRDefault="00630920" w:rsidP="00630920">
      <w:pPr>
        <w:rPr>
          <w:rFonts w:cs="Arial"/>
          <w:szCs w:val="22"/>
        </w:rPr>
      </w:pPr>
      <w:r w:rsidRPr="00520273">
        <w:rPr>
          <w:rFonts w:cs="Arial"/>
          <w:szCs w:val="22"/>
        </w:rPr>
        <w:t xml:space="preserve">Daly, S. (2005) </w:t>
      </w:r>
      <w:r w:rsidRPr="00520273">
        <w:rPr>
          <w:rFonts w:cs="Arial"/>
          <w:i/>
          <w:szCs w:val="22"/>
        </w:rPr>
        <w:t>Social Capital and the Cultural Sector</w:t>
      </w:r>
      <w:r w:rsidRPr="00520273">
        <w:rPr>
          <w:rFonts w:cs="Arial"/>
          <w:szCs w:val="22"/>
        </w:rPr>
        <w:t>, LSE Centre for Civil Society, DCMS</w:t>
      </w:r>
    </w:p>
    <w:p w14:paraId="3B153CC5" w14:textId="77777777" w:rsidR="00630920" w:rsidRPr="00520273" w:rsidRDefault="00630920" w:rsidP="00630920">
      <w:pPr>
        <w:autoSpaceDE w:val="0"/>
        <w:autoSpaceDN w:val="0"/>
        <w:adjustRightInd w:val="0"/>
        <w:rPr>
          <w:rFonts w:eastAsiaTheme="minorHAnsi" w:cs="Arial"/>
          <w:szCs w:val="22"/>
        </w:rPr>
      </w:pPr>
      <w:r w:rsidRPr="00520273">
        <w:rPr>
          <w:rFonts w:eastAsiaTheme="minorHAnsi" w:cs="Arial"/>
          <w:bCs/>
          <w:szCs w:val="22"/>
        </w:rPr>
        <w:t>Davies L.E. (</w:t>
      </w:r>
      <w:r w:rsidRPr="00520273">
        <w:rPr>
          <w:rFonts w:eastAsiaTheme="minorHAnsi" w:cs="Arial"/>
          <w:szCs w:val="22"/>
        </w:rPr>
        <w:t xml:space="preserve">2002) Sport in the City: Measuring Economic Significance at the Local Level, </w:t>
      </w:r>
      <w:r w:rsidRPr="00520273">
        <w:rPr>
          <w:rFonts w:eastAsiaTheme="minorHAnsi" w:cs="Arial"/>
          <w:i/>
          <w:iCs/>
          <w:szCs w:val="22"/>
        </w:rPr>
        <w:t xml:space="preserve">European Sport Management Quarterly </w:t>
      </w:r>
      <w:r w:rsidRPr="00520273">
        <w:rPr>
          <w:rFonts w:eastAsiaTheme="minorHAnsi" w:cs="Arial"/>
          <w:szCs w:val="22"/>
        </w:rPr>
        <w:t>2 (2) 83</w:t>
      </w:r>
      <w:r>
        <w:rPr>
          <w:rFonts w:eastAsiaTheme="minorHAnsi" w:cs="Arial"/>
          <w:szCs w:val="22"/>
        </w:rPr>
        <w:t>–</w:t>
      </w:r>
      <w:r w:rsidRPr="00520273">
        <w:rPr>
          <w:rFonts w:eastAsiaTheme="minorHAnsi" w:cs="Arial"/>
          <w:szCs w:val="22"/>
        </w:rPr>
        <w:t>107</w:t>
      </w:r>
    </w:p>
    <w:p w14:paraId="3ACB4C92" w14:textId="37191429" w:rsidR="009B0C87" w:rsidRDefault="00630920" w:rsidP="009B0C87">
      <w:pPr>
        <w:rPr>
          <w:rFonts w:cs="Arial"/>
          <w:szCs w:val="22"/>
        </w:rPr>
      </w:pPr>
      <w:r w:rsidRPr="00520273">
        <w:rPr>
          <w:rFonts w:eastAsiaTheme="minorHAnsi" w:cs="Arial"/>
          <w:szCs w:val="22"/>
        </w:rPr>
        <w:t>Davies, L.E.</w:t>
      </w:r>
      <w:r w:rsidRPr="00520273">
        <w:rPr>
          <w:rFonts w:cs="Arial"/>
          <w:szCs w:val="22"/>
        </w:rPr>
        <w:t xml:space="preserve"> (2005) </w:t>
      </w:r>
      <w:r w:rsidRPr="00520273">
        <w:rPr>
          <w:rFonts w:eastAsiaTheme="minorHAnsi" w:cs="Arial"/>
          <w:bCs/>
          <w:szCs w:val="22"/>
        </w:rPr>
        <w:t>Not in my back yard! Sports stadia location and the property</w:t>
      </w:r>
      <w:r w:rsidRPr="00520273">
        <w:rPr>
          <w:rFonts w:cs="Arial"/>
          <w:szCs w:val="22"/>
        </w:rPr>
        <w:t xml:space="preserve"> </w:t>
      </w:r>
      <w:r w:rsidRPr="00520273">
        <w:rPr>
          <w:rFonts w:eastAsiaTheme="minorHAnsi" w:cs="Arial"/>
          <w:bCs/>
          <w:szCs w:val="22"/>
        </w:rPr>
        <w:t xml:space="preserve">Market, </w:t>
      </w:r>
      <w:r w:rsidRPr="00520273">
        <w:rPr>
          <w:rFonts w:eastAsiaTheme="minorHAnsi" w:cs="Arial"/>
          <w:i/>
          <w:szCs w:val="22"/>
        </w:rPr>
        <w:t>Area</w:t>
      </w:r>
      <w:r w:rsidRPr="00520273">
        <w:rPr>
          <w:rFonts w:eastAsiaTheme="minorHAnsi" w:cs="Arial"/>
          <w:szCs w:val="22"/>
        </w:rPr>
        <w:t>, 37 (3). 268</w:t>
      </w:r>
      <w:r>
        <w:rPr>
          <w:rFonts w:eastAsiaTheme="minorHAnsi" w:cs="Arial"/>
          <w:szCs w:val="22"/>
        </w:rPr>
        <w:t>–</w:t>
      </w:r>
      <w:r w:rsidRPr="00520273">
        <w:rPr>
          <w:rFonts w:eastAsiaTheme="minorHAnsi" w:cs="Arial"/>
          <w:szCs w:val="22"/>
        </w:rPr>
        <w:t>276</w:t>
      </w:r>
    </w:p>
    <w:p w14:paraId="24454D4A" w14:textId="6176FF55" w:rsidR="009B0C87" w:rsidRPr="009B0C87" w:rsidRDefault="009B0C87" w:rsidP="009B0C87">
      <w:pPr>
        <w:ind w:left="641" w:firstLine="720"/>
        <w:rPr>
          <w:rFonts w:cs="Arial"/>
          <w:sz w:val="24"/>
        </w:rPr>
      </w:pPr>
      <w:r w:rsidRPr="009B0C87">
        <w:rPr>
          <w:sz w:val="24"/>
        </w:rPr>
        <w:t>DCMS (2016)</w:t>
      </w:r>
      <w:r>
        <w:rPr>
          <w:sz w:val="24"/>
        </w:rPr>
        <w:t>.</w:t>
      </w:r>
      <w:r w:rsidRPr="009B0C87">
        <w:rPr>
          <w:sz w:val="24"/>
        </w:rPr>
        <w:t xml:space="preserve"> The Culture White Paper. London</w:t>
      </w:r>
    </w:p>
    <w:p w14:paraId="30BA0461" w14:textId="2D2E5C43" w:rsidR="00630920" w:rsidRDefault="00630920" w:rsidP="00630920">
      <w:pPr>
        <w:rPr>
          <w:rFonts w:cs="Arial"/>
          <w:szCs w:val="22"/>
        </w:rPr>
      </w:pPr>
      <w:r w:rsidRPr="00520273">
        <w:rPr>
          <w:rFonts w:cs="Arial"/>
          <w:szCs w:val="22"/>
        </w:rPr>
        <w:t>DCMS (2014)</w:t>
      </w:r>
      <w:r w:rsidR="009B0C87">
        <w:rPr>
          <w:rFonts w:cs="Arial"/>
          <w:szCs w:val="22"/>
        </w:rPr>
        <w:t>.</w:t>
      </w:r>
      <w:r w:rsidRPr="00520273">
        <w:rPr>
          <w:rFonts w:cs="Arial"/>
          <w:szCs w:val="22"/>
        </w:rPr>
        <w:t xml:space="preserve"> </w:t>
      </w:r>
      <w:r w:rsidRPr="00520273">
        <w:rPr>
          <w:rFonts w:cs="Arial"/>
          <w:i/>
          <w:szCs w:val="22"/>
        </w:rPr>
        <w:t>Quantifying the Social Impacts of Culture and Sport</w:t>
      </w:r>
      <w:r w:rsidRPr="00520273">
        <w:rPr>
          <w:rFonts w:cs="Arial"/>
          <w:szCs w:val="22"/>
        </w:rPr>
        <w:t>. Fujiwara, Ku</w:t>
      </w:r>
      <w:r w:rsidR="009B0C87">
        <w:rPr>
          <w:rFonts w:cs="Arial"/>
          <w:szCs w:val="22"/>
        </w:rPr>
        <w:t>drna and Dolan for DCMS, London</w:t>
      </w:r>
    </w:p>
    <w:p w14:paraId="58272B48" w14:textId="66963DE5" w:rsidR="009B0C87" w:rsidRPr="009B0C87" w:rsidRDefault="009B0C87" w:rsidP="009B0C87">
      <w:pPr>
        <w:rPr>
          <w:rFonts w:cs="Arial"/>
          <w:color w:val="231F20"/>
          <w:szCs w:val="22"/>
        </w:rPr>
      </w:pPr>
      <w:r w:rsidRPr="00520273">
        <w:rPr>
          <w:rFonts w:cs="Arial"/>
          <w:szCs w:val="22"/>
        </w:rPr>
        <w:t>DCMS (2010)</w:t>
      </w:r>
      <w:r>
        <w:rPr>
          <w:rFonts w:cs="Arial"/>
          <w:szCs w:val="22"/>
        </w:rPr>
        <w:t>.</w:t>
      </w:r>
      <w:r w:rsidRPr="00520273">
        <w:rPr>
          <w:rFonts w:cs="Arial"/>
          <w:szCs w:val="22"/>
        </w:rPr>
        <w:t xml:space="preserve"> </w:t>
      </w:r>
      <w:r w:rsidRPr="00520273">
        <w:rPr>
          <w:rFonts w:cs="Arial"/>
          <w:i/>
          <w:szCs w:val="22"/>
        </w:rPr>
        <w:t>Taking Part – Statistical Release</w:t>
      </w:r>
      <w:r w:rsidRPr="00520273">
        <w:rPr>
          <w:rFonts w:cs="Arial"/>
          <w:szCs w:val="22"/>
        </w:rPr>
        <w:t xml:space="preserve">. Adult and Child Report 2009/10. August. </w:t>
      </w:r>
      <w:r w:rsidRPr="00520273">
        <w:rPr>
          <w:rFonts w:cs="Arial"/>
          <w:color w:val="231F20"/>
          <w:szCs w:val="22"/>
        </w:rPr>
        <w:t>London</w:t>
      </w:r>
    </w:p>
    <w:p w14:paraId="6B46C04C" w14:textId="2CD165F1" w:rsidR="00630920" w:rsidRDefault="00630920" w:rsidP="00630920">
      <w:pPr>
        <w:shd w:val="clear" w:color="auto" w:fill="FFFFFF"/>
        <w:rPr>
          <w:rFonts w:cs="Arial"/>
          <w:color w:val="111111"/>
          <w:spacing w:val="5"/>
          <w:szCs w:val="22"/>
          <w:lang w:eastAsia="en-GB"/>
        </w:rPr>
      </w:pPr>
      <w:r>
        <w:rPr>
          <w:rFonts w:cs="Arial"/>
          <w:color w:val="111111"/>
          <w:spacing w:val="5"/>
          <w:szCs w:val="22"/>
          <w:lang w:eastAsia="en-GB"/>
        </w:rPr>
        <w:t>Demos (2003)</w:t>
      </w:r>
      <w:r w:rsidR="009B0C87">
        <w:rPr>
          <w:rFonts w:cs="Arial"/>
          <w:color w:val="111111"/>
          <w:spacing w:val="5"/>
          <w:szCs w:val="22"/>
          <w:lang w:eastAsia="en-GB"/>
        </w:rPr>
        <w:t>.</w:t>
      </w:r>
      <w:r>
        <w:rPr>
          <w:rFonts w:cs="Arial"/>
          <w:color w:val="111111"/>
          <w:spacing w:val="5"/>
          <w:szCs w:val="22"/>
          <w:lang w:eastAsia="en-GB"/>
        </w:rPr>
        <w:t xml:space="preserve"> </w:t>
      </w:r>
      <w:r w:rsidRPr="009640D5">
        <w:rPr>
          <w:rFonts w:cs="Arial"/>
          <w:i/>
          <w:color w:val="111111"/>
          <w:spacing w:val="5"/>
          <w:szCs w:val="22"/>
          <w:lang w:eastAsia="en-GB"/>
        </w:rPr>
        <w:t>Capturing Cultural Value</w:t>
      </w:r>
    </w:p>
    <w:p w14:paraId="144C1341" w14:textId="2F5309AC" w:rsidR="00630920" w:rsidRPr="00520273" w:rsidRDefault="00D47DB3" w:rsidP="00630920">
      <w:pPr>
        <w:shd w:val="clear" w:color="auto" w:fill="FFFFFF"/>
        <w:rPr>
          <w:rFonts w:cs="Arial"/>
          <w:color w:val="111111"/>
          <w:spacing w:val="5"/>
          <w:szCs w:val="22"/>
          <w:lang w:eastAsia="en-GB"/>
        </w:rPr>
      </w:pPr>
      <w:r>
        <w:rPr>
          <w:rFonts w:cs="Arial"/>
          <w:color w:val="111111"/>
          <w:spacing w:val="5"/>
          <w:szCs w:val="22"/>
          <w:lang w:eastAsia="en-GB"/>
        </w:rPr>
        <w:t>Dobson, L &amp; West, E</w:t>
      </w:r>
      <w:r w:rsidR="00630920" w:rsidRPr="00520273">
        <w:rPr>
          <w:rFonts w:cs="Arial"/>
          <w:color w:val="111111"/>
          <w:spacing w:val="5"/>
          <w:szCs w:val="22"/>
          <w:lang w:eastAsia="en-GB"/>
        </w:rPr>
        <w:t xml:space="preserve"> (1989). Performing arts subsidies and future generations. In H. H. Chartrand, et al (Eds.), </w:t>
      </w:r>
      <w:r w:rsidR="00630920" w:rsidRPr="00520273">
        <w:rPr>
          <w:rFonts w:cs="Arial"/>
          <w:i/>
          <w:iCs/>
          <w:color w:val="111111"/>
          <w:spacing w:val="5"/>
          <w:szCs w:val="22"/>
          <w:lang w:eastAsia="en-GB"/>
        </w:rPr>
        <w:t>Cultural economics ‘88: A Canadian perspective</w:t>
      </w:r>
      <w:r w:rsidR="00630920" w:rsidRPr="00520273">
        <w:rPr>
          <w:rFonts w:cs="Arial"/>
          <w:color w:val="111111"/>
          <w:spacing w:val="5"/>
          <w:szCs w:val="22"/>
          <w:lang w:eastAsia="en-GB"/>
        </w:rPr>
        <w:t xml:space="preserve"> (pp. 108–116). Akron: Association for Cultural Economics.</w:t>
      </w:r>
    </w:p>
    <w:p w14:paraId="458B70F7" w14:textId="4848CD11" w:rsidR="00630920" w:rsidRPr="00520273" w:rsidRDefault="00630920" w:rsidP="00630920">
      <w:pPr>
        <w:autoSpaceDE w:val="0"/>
        <w:autoSpaceDN w:val="0"/>
        <w:adjustRightInd w:val="0"/>
        <w:rPr>
          <w:rFonts w:cs="Arial"/>
          <w:szCs w:val="22"/>
        </w:rPr>
      </w:pPr>
      <w:r w:rsidRPr="00520273">
        <w:rPr>
          <w:rFonts w:cs="Arial"/>
          <w:szCs w:val="22"/>
        </w:rPr>
        <w:t>DTI (2004)</w:t>
      </w:r>
      <w:r w:rsidR="00D47DB3">
        <w:rPr>
          <w:rFonts w:cs="Arial"/>
          <w:szCs w:val="22"/>
        </w:rPr>
        <w:t>.</w:t>
      </w:r>
      <w:r w:rsidRPr="00520273">
        <w:rPr>
          <w:rFonts w:cs="Arial"/>
          <w:szCs w:val="22"/>
        </w:rPr>
        <w:t xml:space="preserve"> </w:t>
      </w:r>
      <w:r w:rsidRPr="00520273">
        <w:rPr>
          <w:rFonts w:cs="Arial"/>
          <w:i/>
          <w:iCs/>
          <w:szCs w:val="22"/>
        </w:rPr>
        <w:t>Creative People, Openness and Productivity. An exploration of regional differences inspired by the Rise of the Creative Class</w:t>
      </w:r>
      <w:r w:rsidRPr="00520273">
        <w:rPr>
          <w:rFonts w:cs="Arial"/>
          <w:szCs w:val="22"/>
        </w:rPr>
        <w:t>. Adey, M., Coates, B. and Govett, C. London</w:t>
      </w:r>
    </w:p>
    <w:p w14:paraId="11799118" w14:textId="737AC79D" w:rsidR="00630920" w:rsidRPr="00520273" w:rsidRDefault="00D47DB3" w:rsidP="00630920">
      <w:pPr>
        <w:autoSpaceDE w:val="0"/>
        <w:autoSpaceDN w:val="0"/>
        <w:adjustRightInd w:val="0"/>
        <w:rPr>
          <w:rFonts w:cs="Arial"/>
          <w:szCs w:val="22"/>
        </w:rPr>
      </w:pPr>
      <w:r>
        <w:rPr>
          <w:rFonts w:cs="Arial"/>
          <w:szCs w:val="22"/>
        </w:rPr>
        <w:t>Ecclesiastical Insurance Group</w:t>
      </w:r>
      <w:r w:rsidR="00630920" w:rsidRPr="00520273">
        <w:rPr>
          <w:rFonts w:cs="Arial"/>
          <w:szCs w:val="22"/>
        </w:rPr>
        <w:t xml:space="preserve"> (2013)</w:t>
      </w:r>
      <w:r>
        <w:rPr>
          <w:rFonts w:cs="Arial"/>
          <w:szCs w:val="22"/>
        </w:rPr>
        <w:t>.</w:t>
      </w:r>
      <w:r w:rsidR="00630920" w:rsidRPr="00520273">
        <w:rPr>
          <w:rFonts w:cs="Arial"/>
          <w:szCs w:val="22"/>
        </w:rPr>
        <w:t xml:space="preserve"> </w:t>
      </w:r>
      <w:r w:rsidR="00630920" w:rsidRPr="00520273">
        <w:rPr>
          <w:rFonts w:cs="Arial"/>
          <w:i/>
          <w:szCs w:val="22"/>
        </w:rPr>
        <w:t>Community Census</w:t>
      </w:r>
      <w:r w:rsidR="00630920" w:rsidRPr="00520273">
        <w:rPr>
          <w:rFonts w:cs="Arial"/>
          <w:szCs w:val="22"/>
        </w:rPr>
        <w:t>, July</w:t>
      </w:r>
    </w:p>
    <w:p w14:paraId="7FC005A1" w14:textId="77777777" w:rsidR="00630920" w:rsidRPr="00520273" w:rsidRDefault="00630920" w:rsidP="00630920">
      <w:pPr>
        <w:autoSpaceDE w:val="0"/>
        <w:autoSpaceDN w:val="0"/>
        <w:adjustRightInd w:val="0"/>
        <w:rPr>
          <w:rFonts w:cs="Arial"/>
          <w:szCs w:val="22"/>
        </w:rPr>
      </w:pPr>
      <w:r w:rsidRPr="00520273">
        <w:rPr>
          <w:rFonts w:cs="Arial"/>
          <w:szCs w:val="22"/>
        </w:rPr>
        <w:t xml:space="preserve">ECORYS (2014) </w:t>
      </w:r>
      <w:r w:rsidRPr="00520273">
        <w:rPr>
          <w:rFonts w:cs="Arial"/>
          <w:i/>
          <w:szCs w:val="22"/>
        </w:rPr>
        <w:t>Local economic impacts from cultural sector investments</w:t>
      </w:r>
      <w:r w:rsidRPr="00520273">
        <w:rPr>
          <w:rFonts w:cs="Arial"/>
          <w:szCs w:val="22"/>
        </w:rPr>
        <w:t xml:space="preserve"> for DCMS. London</w:t>
      </w:r>
    </w:p>
    <w:p w14:paraId="04A4EF5F" w14:textId="0F028DFD" w:rsidR="00630920" w:rsidRPr="00520273" w:rsidRDefault="00630920" w:rsidP="00630920">
      <w:pPr>
        <w:autoSpaceDE w:val="0"/>
        <w:autoSpaceDN w:val="0"/>
        <w:adjustRightInd w:val="0"/>
        <w:rPr>
          <w:rFonts w:cs="Arial"/>
          <w:szCs w:val="22"/>
        </w:rPr>
      </w:pPr>
      <w:r w:rsidRPr="00520273">
        <w:rPr>
          <w:rFonts w:cs="Arial"/>
          <w:szCs w:val="22"/>
        </w:rPr>
        <w:lastRenderedPageBreak/>
        <w:t>English Heritage (2010)</w:t>
      </w:r>
      <w:r w:rsidR="00D47DB3">
        <w:rPr>
          <w:rFonts w:cs="Arial"/>
          <w:szCs w:val="22"/>
        </w:rPr>
        <w:t>.</w:t>
      </w:r>
      <w:r w:rsidRPr="00520273">
        <w:rPr>
          <w:rFonts w:cs="Arial"/>
          <w:szCs w:val="22"/>
        </w:rPr>
        <w:t xml:space="preserve"> </w:t>
      </w:r>
      <w:r w:rsidRPr="00520273">
        <w:rPr>
          <w:rFonts w:cs="Arial"/>
          <w:i/>
          <w:szCs w:val="22"/>
        </w:rPr>
        <w:t>Heritage Counts 2010</w:t>
      </w:r>
      <w:r w:rsidRPr="00520273">
        <w:rPr>
          <w:rFonts w:cs="Arial"/>
          <w:szCs w:val="22"/>
        </w:rPr>
        <w:t>. London</w:t>
      </w:r>
    </w:p>
    <w:p w14:paraId="467FC8FB" w14:textId="700DDAE1" w:rsidR="00630920" w:rsidRPr="00520273" w:rsidRDefault="00630920" w:rsidP="00630920">
      <w:pPr>
        <w:autoSpaceDE w:val="0"/>
        <w:autoSpaceDN w:val="0"/>
        <w:adjustRightInd w:val="0"/>
        <w:rPr>
          <w:rFonts w:cs="Arial"/>
          <w:szCs w:val="22"/>
        </w:rPr>
      </w:pPr>
      <w:r w:rsidRPr="00520273">
        <w:rPr>
          <w:rFonts w:cs="Arial"/>
          <w:szCs w:val="22"/>
        </w:rPr>
        <w:t>English Heritage (2013)</w:t>
      </w:r>
      <w:r w:rsidR="00D47DB3">
        <w:rPr>
          <w:rFonts w:cs="Arial"/>
          <w:szCs w:val="22"/>
        </w:rPr>
        <w:t>.</w:t>
      </w:r>
      <w:r w:rsidRPr="00520273">
        <w:rPr>
          <w:rFonts w:cs="Arial"/>
          <w:szCs w:val="22"/>
        </w:rPr>
        <w:t xml:space="preserve"> </w:t>
      </w:r>
      <w:r w:rsidRPr="00520273">
        <w:rPr>
          <w:rFonts w:cs="Arial"/>
          <w:i/>
          <w:szCs w:val="22"/>
        </w:rPr>
        <w:t>Heritage Counts 2013</w:t>
      </w:r>
      <w:r w:rsidRPr="00520273">
        <w:rPr>
          <w:rFonts w:cs="Arial"/>
          <w:szCs w:val="22"/>
        </w:rPr>
        <w:t>. London</w:t>
      </w:r>
    </w:p>
    <w:p w14:paraId="2F4E2B3D" w14:textId="5E92DDE0" w:rsidR="00630920" w:rsidRPr="00520273" w:rsidRDefault="00630920" w:rsidP="00630920">
      <w:pPr>
        <w:autoSpaceDE w:val="0"/>
        <w:autoSpaceDN w:val="0"/>
        <w:adjustRightInd w:val="0"/>
        <w:rPr>
          <w:rFonts w:cs="Arial"/>
          <w:szCs w:val="22"/>
        </w:rPr>
      </w:pPr>
      <w:r w:rsidRPr="00520273">
        <w:rPr>
          <w:rFonts w:cs="Arial"/>
          <w:szCs w:val="22"/>
        </w:rPr>
        <w:t>English Heritage (2014)</w:t>
      </w:r>
      <w:r w:rsidR="00D47DB3">
        <w:rPr>
          <w:rFonts w:cs="Arial"/>
          <w:szCs w:val="22"/>
        </w:rPr>
        <w:t>.</w:t>
      </w:r>
      <w:r w:rsidRPr="00520273">
        <w:rPr>
          <w:rFonts w:cs="Arial"/>
          <w:szCs w:val="22"/>
        </w:rPr>
        <w:t xml:space="preserve"> </w:t>
      </w:r>
      <w:r w:rsidRPr="00520273">
        <w:rPr>
          <w:rFonts w:cs="Arial"/>
          <w:i/>
          <w:szCs w:val="22"/>
        </w:rPr>
        <w:t>Heritage Counts 2014: The Value and Impact of Heritage</w:t>
      </w:r>
      <w:r w:rsidRPr="00520273">
        <w:rPr>
          <w:rFonts w:cs="Arial"/>
          <w:szCs w:val="22"/>
        </w:rPr>
        <w:t>. London</w:t>
      </w:r>
    </w:p>
    <w:p w14:paraId="64DD85C5" w14:textId="5D017871" w:rsidR="00630920" w:rsidRPr="00520273" w:rsidRDefault="00D47DB3" w:rsidP="00630920">
      <w:pPr>
        <w:autoSpaceDE w:val="0"/>
        <w:autoSpaceDN w:val="0"/>
        <w:adjustRightInd w:val="0"/>
        <w:rPr>
          <w:rFonts w:cs="Arial"/>
          <w:szCs w:val="22"/>
        </w:rPr>
      </w:pPr>
      <w:r>
        <w:rPr>
          <w:rFonts w:cs="Arial"/>
          <w:szCs w:val="22"/>
        </w:rPr>
        <w:t>Evans, G.L</w:t>
      </w:r>
      <w:r w:rsidR="00630920" w:rsidRPr="00520273">
        <w:rPr>
          <w:rFonts w:cs="Arial"/>
          <w:szCs w:val="22"/>
        </w:rPr>
        <w:t xml:space="preserve"> (1999)</w:t>
      </w:r>
      <w:r>
        <w:rPr>
          <w:rFonts w:cs="Arial"/>
          <w:szCs w:val="22"/>
        </w:rPr>
        <w:t>.</w:t>
      </w:r>
      <w:r w:rsidR="00630920" w:rsidRPr="00520273">
        <w:rPr>
          <w:rFonts w:cs="Arial"/>
          <w:szCs w:val="22"/>
        </w:rPr>
        <w:t xml:space="preserve"> The economics of the national performing arts – exploiting consumer surplus and willingness-to-pay: a case of cultural policy failure?, </w:t>
      </w:r>
      <w:r w:rsidR="00630920" w:rsidRPr="00520273">
        <w:rPr>
          <w:rFonts w:cs="Arial"/>
          <w:i/>
          <w:iCs/>
          <w:szCs w:val="22"/>
        </w:rPr>
        <w:t xml:space="preserve">Leisure Studies </w:t>
      </w:r>
      <w:r w:rsidR="00630920" w:rsidRPr="00520273">
        <w:rPr>
          <w:rFonts w:cs="Arial"/>
          <w:szCs w:val="22"/>
        </w:rPr>
        <w:t>18: 97–118</w:t>
      </w:r>
    </w:p>
    <w:p w14:paraId="2161C2C4" w14:textId="3A0154CA" w:rsidR="00630920" w:rsidRPr="00520273" w:rsidRDefault="002A2E86" w:rsidP="00630920">
      <w:pPr>
        <w:tabs>
          <w:tab w:val="left" w:pos="1244"/>
        </w:tabs>
        <w:rPr>
          <w:rFonts w:cs="Arial"/>
          <w:szCs w:val="22"/>
        </w:rPr>
      </w:pPr>
      <w:r>
        <w:rPr>
          <w:rFonts w:cs="Arial"/>
          <w:szCs w:val="22"/>
        </w:rPr>
        <w:t>Evans, G.L</w:t>
      </w:r>
      <w:r w:rsidR="00630920" w:rsidRPr="00520273">
        <w:rPr>
          <w:rFonts w:cs="Arial"/>
          <w:szCs w:val="22"/>
        </w:rPr>
        <w:t xml:space="preserve"> (1997)</w:t>
      </w:r>
      <w:r>
        <w:rPr>
          <w:rFonts w:cs="Arial"/>
          <w:szCs w:val="22"/>
        </w:rPr>
        <w:t>.</w:t>
      </w:r>
      <w:r w:rsidR="00630920">
        <w:rPr>
          <w:rFonts w:cs="Arial"/>
          <w:szCs w:val="22"/>
        </w:rPr>
        <w:t xml:space="preserve"> </w:t>
      </w:r>
      <w:r w:rsidR="00630920" w:rsidRPr="00520273">
        <w:rPr>
          <w:rFonts w:cs="Arial"/>
          <w:i/>
          <w:iCs/>
          <w:szCs w:val="22"/>
        </w:rPr>
        <w:t>The Employment Effects of Arts Lottery Spending</w:t>
      </w:r>
      <w:r w:rsidR="00630920" w:rsidRPr="00520273">
        <w:rPr>
          <w:rFonts w:cs="Arial"/>
          <w:szCs w:val="22"/>
        </w:rPr>
        <w:t>, Arts Council of England</w:t>
      </w:r>
    </w:p>
    <w:p w14:paraId="3E7997C5" w14:textId="0F7A5523" w:rsidR="00630920" w:rsidRPr="00520273" w:rsidRDefault="002A2E86" w:rsidP="00630920">
      <w:pPr>
        <w:tabs>
          <w:tab w:val="left" w:pos="1244"/>
        </w:tabs>
        <w:rPr>
          <w:rFonts w:cs="Arial"/>
          <w:szCs w:val="22"/>
        </w:rPr>
      </w:pPr>
      <w:r>
        <w:rPr>
          <w:rFonts w:cs="Arial"/>
          <w:szCs w:val="22"/>
        </w:rPr>
        <w:t>Evans, G.L</w:t>
      </w:r>
      <w:r w:rsidR="00630920">
        <w:rPr>
          <w:rFonts w:cs="Arial"/>
          <w:szCs w:val="22"/>
        </w:rPr>
        <w:t xml:space="preserve"> </w:t>
      </w:r>
      <w:r w:rsidR="00630920" w:rsidRPr="00520273">
        <w:rPr>
          <w:rFonts w:cs="Arial"/>
          <w:szCs w:val="22"/>
        </w:rPr>
        <w:t>(2004)</w:t>
      </w:r>
      <w:r>
        <w:rPr>
          <w:rFonts w:cs="Arial"/>
          <w:szCs w:val="22"/>
        </w:rPr>
        <w:t>.</w:t>
      </w:r>
      <w:r w:rsidR="00630920" w:rsidRPr="00520273">
        <w:rPr>
          <w:rFonts w:cs="Arial"/>
          <w:szCs w:val="22"/>
        </w:rPr>
        <w:t xml:space="preserve"> Cultural Industry Quarters - from pre-industrial to post-industrial production, In Bell, D. &amp; Jayne, M. (eds), </w:t>
      </w:r>
      <w:r w:rsidR="00630920" w:rsidRPr="00C20D5D">
        <w:rPr>
          <w:rFonts w:cs="Arial"/>
          <w:i/>
          <w:szCs w:val="22"/>
        </w:rPr>
        <w:t>City of Quarters: Urban Villages in the Contemporary City</w:t>
      </w:r>
      <w:r w:rsidR="00630920" w:rsidRPr="00520273">
        <w:rPr>
          <w:rFonts w:cs="Arial"/>
          <w:szCs w:val="22"/>
        </w:rPr>
        <w:t>. Aldershot, Ashgate: 71</w:t>
      </w:r>
      <w:r w:rsidR="00630920">
        <w:rPr>
          <w:rFonts w:cs="Arial"/>
          <w:szCs w:val="22"/>
        </w:rPr>
        <w:t>–</w:t>
      </w:r>
      <w:r w:rsidR="00630920" w:rsidRPr="00520273">
        <w:rPr>
          <w:rFonts w:cs="Arial"/>
          <w:szCs w:val="22"/>
        </w:rPr>
        <w:t>92</w:t>
      </w:r>
    </w:p>
    <w:p w14:paraId="59C02DBE" w14:textId="7900026A" w:rsidR="00630920" w:rsidRPr="00520273" w:rsidRDefault="00630920" w:rsidP="00630920">
      <w:pPr>
        <w:tabs>
          <w:tab w:val="left" w:pos="1244"/>
        </w:tabs>
        <w:rPr>
          <w:rFonts w:cs="Arial"/>
          <w:szCs w:val="22"/>
        </w:rPr>
      </w:pPr>
      <w:r w:rsidRPr="00520273">
        <w:rPr>
          <w:rFonts w:cs="Arial"/>
          <w:szCs w:val="22"/>
        </w:rPr>
        <w:t>Evans, G.L (2005)</w:t>
      </w:r>
      <w:r w:rsidR="002A2E86">
        <w:rPr>
          <w:rFonts w:cs="Arial"/>
          <w:szCs w:val="22"/>
        </w:rPr>
        <w:t>.</w:t>
      </w:r>
      <w:r w:rsidRPr="00520273">
        <w:rPr>
          <w:rFonts w:cs="Arial"/>
          <w:szCs w:val="22"/>
        </w:rPr>
        <w:t xml:space="preserve"> Measure for Measure: Evaluating the evidence of culture's contribution to regeneration, </w:t>
      </w:r>
      <w:r w:rsidRPr="00520273">
        <w:rPr>
          <w:rFonts w:cs="Arial"/>
          <w:i/>
          <w:iCs/>
          <w:szCs w:val="22"/>
        </w:rPr>
        <w:t>Urban Studies</w:t>
      </w:r>
      <w:r w:rsidRPr="00520273">
        <w:rPr>
          <w:rFonts w:cs="Arial"/>
          <w:szCs w:val="22"/>
        </w:rPr>
        <w:t>, 42 (5/6): 959–983</w:t>
      </w:r>
    </w:p>
    <w:p w14:paraId="3CA7AF4F" w14:textId="7D782ECA" w:rsidR="00630920" w:rsidRPr="00520273" w:rsidRDefault="00630920" w:rsidP="00630920">
      <w:pPr>
        <w:rPr>
          <w:rFonts w:cs="Arial"/>
          <w:color w:val="231F20"/>
          <w:szCs w:val="22"/>
        </w:rPr>
      </w:pPr>
      <w:r w:rsidRPr="00520273">
        <w:rPr>
          <w:rFonts w:cs="Arial"/>
          <w:szCs w:val="22"/>
        </w:rPr>
        <w:t>Evans,</w:t>
      </w:r>
      <w:r w:rsidR="002A2E86">
        <w:rPr>
          <w:rFonts w:cs="Arial"/>
          <w:szCs w:val="22"/>
        </w:rPr>
        <w:t xml:space="preserve"> G.L</w:t>
      </w:r>
      <w:r w:rsidRPr="00520273">
        <w:rPr>
          <w:rFonts w:cs="Arial"/>
          <w:szCs w:val="22"/>
        </w:rPr>
        <w:t xml:space="preserve"> (2008). Cultural mapping and sustainable communities: Planning for the Arts revisited, </w:t>
      </w:r>
      <w:r w:rsidRPr="00520273">
        <w:rPr>
          <w:rFonts w:cs="Arial"/>
          <w:i/>
          <w:szCs w:val="22"/>
        </w:rPr>
        <w:t>Cultural Trends</w:t>
      </w:r>
      <w:r w:rsidRPr="00520273">
        <w:rPr>
          <w:rFonts w:cs="Arial"/>
          <w:color w:val="231F20"/>
          <w:w w:val="101"/>
          <w:szCs w:val="22"/>
        </w:rPr>
        <w:t xml:space="preserve">, </w:t>
      </w:r>
      <w:r w:rsidRPr="00520273">
        <w:rPr>
          <w:rFonts w:cs="Arial"/>
          <w:color w:val="231F20"/>
          <w:szCs w:val="22"/>
        </w:rPr>
        <w:t>17(2)</w:t>
      </w:r>
      <w:r w:rsidRPr="00520273">
        <w:rPr>
          <w:rFonts w:cs="Arial"/>
          <w:color w:val="231F20"/>
          <w:spacing w:val="8"/>
          <w:szCs w:val="22"/>
        </w:rPr>
        <w:t xml:space="preserve">: </w:t>
      </w:r>
      <w:r w:rsidRPr="00520273">
        <w:rPr>
          <w:rFonts w:cs="Arial"/>
          <w:color w:val="231F20"/>
          <w:w w:val="99"/>
          <w:szCs w:val="22"/>
        </w:rPr>
        <w:t>65–</w:t>
      </w:r>
      <w:r w:rsidRPr="00520273">
        <w:rPr>
          <w:rFonts w:cs="Arial"/>
          <w:color w:val="231F20"/>
          <w:spacing w:val="-27"/>
          <w:szCs w:val="22"/>
        </w:rPr>
        <w:t xml:space="preserve"> </w:t>
      </w:r>
      <w:r w:rsidRPr="00520273">
        <w:rPr>
          <w:rFonts w:cs="Arial"/>
          <w:color w:val="231F20"/>
          <w:szCs w:val="22"/>
        </w:rPr>
        <w:t>96</w:t>
      </w:r>
    </w:p>
    <w:p w14:paraId="07FD4903" w14:textId="7312B657" w:rsidR="00630920" w:rsidRPr="00520273" w:rsidRDefault="002A2E86" w:rsidP="00630920">
      <w:pPr>
        <w:rPr>
          <w:rFonts w:cs="Arial"/>
          <w:bCs/>
          <w:szCs w:val="22"/>
        </w:rPr>
      </w:pPr>
      <w:r>
        <w:rPr>
          <w:rFonts w:cs="Arial"/>
          <w:color w:val="231F20"/>
          <w:szCs w:val="22"/>
        </w:rPr>
        <w:t>Evans, G.L</w:t>
      </w:r>
      <w:r w:rsidR="00630920" w:rsidRPr="00520273">
        <w:rPr>
          <w:rFonts w:cs="Arial"/>
          <w:color w:val="231F20"/>
          <w:szCs w:val="22"/>
        </w:rPr>
        <w:t xml:space="preserve"> (2009a)</w:t>
      </w:r>
      <w:r>
        <w:rPr>
          <w:rFonts w:cs="Arial"/>
          <w:color w:val="231F20"/>
          <w:szCs w:val="22"/>
        </w:rPr>
        <w:t>.</w:t>
      </w:r>
      <w:r w:rsidR="00630920" w:rsidRPr="00520273">
        <w:rPr>
          <w:rFonts w:cs="Arial"/>
          <w:color w:val="231F20"/>
          <w:szCs w:val="22"/>
        </w:rPr>
        <w:t xml:space="preserve"> </w:t>
      </w:r>
      <w:r w:rsidR="00630920" w:rsidRPr="00520273">
        <w:rPr>
          <w:rFonts w:cs="Arial"/>
          <w:bCs/>
          <w:i/>
          <w:szCs w:val="22"/>
        </w:rPr>
        <w:t>Creative Class – Back to the Future or Back to School</w:t>
      </w:r>
      <w:r w:rsidR="00630920" w:rsidRPr="00520273">
        <w:rPr>
          <w:rFonts w:cs="Arial"/>
          <w:bCs/>
          <w:szCs w:val="22"/>
        </w:rPr>
        <w:t>? Association of American Geographers Annual Meeting</w:t>
      </w:r>
    </w:p>
    <w:p w14:paraId="1AE6AD5E" w14:textId="0D51D3EE" w:rsidR="00630920" w:rsidRPr="00520273" w:rsidRDefault="00630920" w:rsidP="00630920">
      <w:pPr>
        <w:rPr>
          <w:rFonts w:cs="Arial"/>
          <w:bCs/>
          <w:szCs w:val="22"/>
        </w:rPr>
      </w:pPr>
      <w:r w:rsidRPr="00520273">
        <w:rPr>
          <w:rFonts w:cs="Arial"/>
          <w:bCs/>
          <w:szCs w:val="22"/>
        </w:rPr>
        <w:t>Evans,</w:t>
      </w:r>
      <w:r w:rsidR="002A2E86">
        <w:rPr>
          <w:rFonts w:cs="Arial"/>
          <w:bCs/>
          <w:szCs w:val="22"/>
        </w:rPr>
        <w:t xml:space="preserve"> G.L</w:t>
      </w:r>
      <w:r w:rsidRPr="00520273">
        <w:rPr>
          <w:rFonts w:cs="Arial"/>
          <w:bCs/>
          <w:szCs w:val="22"/>
        </w:rPr>
        <w:t xml:space="preserve"> </w:t>
      </w:r>
      <w:r w:rsidRPr="00520273">
        <w:rPr>
          <w:rFonts w:cs="Arial"/>
          <w:szCs w:val="22"/>
        </w:rPr>
        <w:t>(2009b)</w:t>
      </w:r>
      <w:r w:rsidR="002A2E86">
        <w:rPr>
          <w:rFonts w:cs="Arial"/>
          <w:szCs w:val="22"/>
        </w:rPr>
        <w:t>.</w:t>
      </w:r>
      <w:r w:rsidRPr="00520273">
        <w:rPr>
          <w:rFonts w:cs="Arial"/>
          <w:szCs w:val="22"/>
        </w:rPr>
        <w:t xml:space="preserve"> </w:t>
      </w:r>
      <w:r w:rsidRPr="00520273">
        <w:rPr>
          <w:rFonts w:cs="Arial"/>
          <w:iCs/>
          <w:szCs w:val="22"/>
        </w:rPr>
        <w:t xml:space="preserve">Accessibility, Urban Design and the Whole Journey Environment, </w:t>
      </w:r>
      <w:r w:rsidRPr="00520273">
        <w:rPr>
          <w:rFonts w:cs="Arial"/>
          <w:i/>
          <w:iCs/>
          <w:szCs w:val="22"/>
        </w:rPr>
        <w:t>Built Environment</w:t>
      </w:r>
      <w:r>
        <w:rPr>
          <w:rFonts w:cs="Arial"/>
          <w:bCs/>
          <w:iCs/>
          <w:szCs w:val="22"/>
        </w:rPr>
        <w:t xml:space="preserve"> </w:t>
      </w:r>
      <w:r w:rsidRPr="00520273">
        <w:rPr>
          <w:rFonts w:cs="Arial"/>
          <w:bCs/>
          <w:iCs/>
          <w:szCs w:val="22"/>
        </w:rPr>
        <w:t>35(3): 366</w:t>
      </w:r>
      <w:r>
        <w:rPr>
          <w:rFonts w:cs="Arial"/>
          <w:bCs/>
          <w:iCs/>
          <w:szCs w:val="22"/>
        </w:rPr>
        <w:t>–</w:t>
      </w:r>
      <w:r w:rsidRPr="00520273">
        <w:rPr>
          <w:rFonts w:cs="Arial"/>
          <w:bCs/>
          <w:iCs/>
          <w:szCs w:val="22"/>
        </w:rPr>
        <w:t>385</w:t>
      </w:r>
    </w:p>
    <w:p w14:paraId="1E95A83F" w14:textId="76A7250F" w:rsidR="00630920" w:rsidRPr="00520273" w:rsidRDefault="002A2E86" w:rsidP="00630920">
      <w:pPr>
        <w:tabs>
          <w:tab w:val="left" w:pos="1244"/>
        </w:tabs>
        <w:rPr>
          <w:rFonts w:cs="Arial"/>
          <w:szCs w:val="22"/>
        </w:rPr>
      </w:pPr>
      <w:r>
        <w:rPr>
          <w:rFonts w:cs="Arial"/>
          <w:szCs w:val="22"/>
        </w:rPr>
        <w:t>Evans, G.L</w:t>
      </w:r>
      <w:r w:rsidR="00630920" w:rsidRPr="00520273">
        <w:rPr>
          <w:rFonts w:cs="Arial"/>
          <w:szCs w:val="22"/>
        </w:rPr>
        <w:t xml:space="preserve"> (2009c)</w:t>
      </w:r>
      <w:r>
        <w:rPr>
          <w:rFonts w:cs="Arial"/>
          <w:szCs w:val="22"/>
        </w:rPr>
        <w:t>.</w:t>
      </w:r>
      <w:r w:rsidR="00630920" w:rsidRPr="00520273">
        <w:rPr>
          <w:rFonts w:cs="Arial"/>
          <w:szCs w:val="22"/>
        </w:rPr>
        <w:t xml:space="preserve"> Creative Cities, Creative Spaces, </w:t>
      </w:r>
      <w:r w:rsidR="00630920" w:rsidRPr="00C20D5D">
        <w:rPr>
          <w:rFonts w:cs="Arial"/>
          <w:i/>
          <w:szCs w:val="22"/>
        </w:rPr>
        <w:t>Urban Studies</w:t>
      </w:r>
      <w:r w:rsidR="00630920">
        <w:rPr>
          <w:rFonts w:cs="Arial"/>
          <w:szCs w:val="22"/>
        </w:rPr>
        <w:t xml:space="preserve"> </w:t>
      </w:r>
      <w:r w:rsidR="00630920" w:rsidRPr="00520273">
        <w:rPr>
          <w:rFonts w:cs="Arial"/>
          <w:szCs w:val="22"/>
        </w:rPr>
        <w:t>46(5&amp;6): 1003–1040</w:t>
      </w:r>
    </w:p>
    <w:p w14:paraId="6E643C18" w14:textId="5EDE79AC" w:rsidR="00630920" w:rsidRPr="00520273" w:rsidRDefault="002A2E86" w:rsidP="00630920">
      <w:pPr>
        <w:shd w:val="clear" w:color="auto" w:fill="FFFFFF"/>
        <w:rPr>
          <w:rFonts w:cs="Arial"/>
          <w:i/>
          <w:szCs w:val="22"/>
        </w:rPr>
      </w:pPr>
      <w:r>
        <w:rPr>
          <w:rFonts w:cs="Arial"/>
          <w:szCs w:val="22"/>
        </w:rPr>
        <w:t>Evans, G.L</w:t>
      </w:r>
      <w:r w:rsidR="00630920" w:rsidRPr="00520273">
        <w:rPr>
          <w:rFonts w:cs="Arial"/>
          <w:szCs w:val="22"/>
        </w:rPr>
        <w:t xml:space="preserve"> </w:t>
      </w:r>
      <w:r w:rsidR="00630920" w:rsidRPr="00520273">
        <w:rPr>
          <w:rFonts w:cs="Arial"/>
          <w:bCs/>
          <w:szCs w:val="22"/>
        </w:rPr>
        <w:t>(2009d)</w:t>
      </w:r>
      <w:r>
        <w:rPr>
          <w:rFonts w:cs="Arial"/>
          <w:bCs/>
          <w:szCs w:val="22"/>
        </w:rPr>
        <w:t>.</w:t>
      </w:r>
      <w:r w:rsidR="00630920" w:rsidRPr="00520273">
        <w:rPr>
          <w:rFonts w:cs="Arial"/>
          <w:bCs/>
          <w:szCs w:val="22"/>
        </w:rPr>
        <w:t xml:space="preserve"> </w:t>
      </w:r>
      <w:r w:rsidR="00630920" w:rsidRPr="00520273">
        <w:rPr>
          <w:rFonts w:cs="Arial"/>
          <w:szCs w:val="22"/>
        </w:rPr>
        <w:t>From cultural quarters to creative clusters: creative spaces in the new city economy. In M.</w:t>
      </w:r>
      <w:r w:rsidR="00630920">
        <w:rPr>
          <w:rFonts w:cs="Arial"/>
          <w:szCs w:val="22"/>
        </w:rPr>
        <w:t xml:space="preserve"> </w:t>
      </w:r>
      <w:r w:rsidR="00630920" w:rsidRPr="00520273">
        <w:rPr>
          <w:rFonts w:cs="Arial"/>
          <w:szCs w:val="22"/>
        </w:rPr>
        <w:t xml:space="preserve">Legner (ed) </w:t>
      </w:r>
      <w:r w:rsidR="00630920" w:rsidRPr="00520273">
        <w:rPr>
          <w:rFonts w:cs="Arial"/>
          <w:i/>
          <w:szCs w:val="22"/>
        </w:rPr>
        <w:t>The sustainability and development of cultural quarters: international perspectives</w:t>
      </w:r>
      <w:r w:rsidR="00630920" w:rsidRPr="00520273">
        <w:rPr>
          <w:rFonts w:cs="Arial"/>
          <w:szCs w:val="22"/>
        </w:rPr>
        <w:t>.</w:t>
      </w:r>
      <w:r w:rsidR="00630920" w:rsidRPr="00520273">
        <w:rPr>
          <w:rFonts w:cs="Arial"/>
          <w:i/>
          <w:szCs w:val="22"/>
        </w:rPr>
        <w:t xml:space="preserve"> </w:t>
      </w:r>
      <w:r w:rsidR="00630920" w:rsidRPr="00520273">
        <w:rPr>
          <w:rFonts w:cs="Arial"/>
          <w:szCs w:val="22"/>
        </w:rPr>
        <w:t>Stockholm: Institute of Urban History, 32</w:t>
      </w:r>
      <w:r w:rsidR="00630920">
        <w:rPr>
          <w:rFonts w:cs="Arial"/>
          <w:szCs w:val="22"/>
        </w:rPr>
        <w:t>–</w:t>
      </w:r>
      <w:r w:rsidR="00630920" w:rsidRPr="00520273">
        <w:rPr>
          <w:rFonts w:cs="Arial"/>
          <w:szCs w:val="22"/>
        </w:rPr>
        <w:t>59</w:t>
      </w:r>
    </w:p>
    <w:p w14:paraId="1662624D" w14:textId="367347DE" w:rsidR="00630920" w:rsidRPr="00520273" w:rsidRDefault="002A2E86" w:rsidP="00630920">
      <w:pPr>
        <w:shd w:val="clear" w:color="auto" w:fill="FFFFFF"/>
        <w:rPr>
          <w:rFonts w:cs="Arial"/>
          <w:szCs w:val="22"/>
        </w:rPr>
      </w:pPr>
      <w:r>
        <w:rPr>
          <w:rFonts w:cs="Arial"/>
          <w:szCs w:val="22"/>
        </w:rPr>
        <w:t>Evans, G.L</w:t>
      </w:r>
      <w:r w:rsidR="00630920" w:rsidRPr="00520273">
        <w:rPr>
          <w:rFonts w:cs="Arial"/>
          <w:szCs w:val="22"/>
        </w:rPr>
        <w:t xml:space="preserve"> (2011)</w:t>
      </w:r>
      <w:r>
        <w:rPr>
          <w:rFonts w:cs="Arial"/>
          <w:szCs w:val="22"/>
        </w:rPr>
        <w:t>.</w:t>
      </w:r>
      <w:r w:rsidR="00630920" w:rsidRPr="00520273">
        <w:rPr>
          <w:rFonts w:cs="Arial"/>
          <w:szCs w:val="22"/>
        </w:rPr>
        <w:t xml:space="preserve"> Hold Back the Night – Nuit Blanche Events in Capital Cities, </w:t>
      </w:r>
      <w:r w:rsidR="00630920" w:rsidRPr="00C20D5D">
        <w:rPr>
          <w:rFonts w:cs="Arial"/>
          <w:i/>
          <w:szCs w:val="22"/>
        </w:rPr>
        <w:t>Current Issues in Tourism</w:t>
      </w:r>
      <w:r w:rsidR="00630920" w:rsidRPr="00520273">
        <w:rPr>
          <w:rFonts w:cs="Arial"/>
          <w:szCs w:val="22"/>
        </w:rPr>
        <w:t>, 15(1/2): 35</w:t>
      </w:r>
      <w:r w:rsidR="00630920">
        <w:rPr>
          <w:rFonts w:cs="Arial"/>
          <w:szCs w:val="22"/>
        </w:rPr>
        <w:t>–</w:t>
      </w:r>
      <w:r w:rsidR="00630920" w:rsidRPr="00520273">
        <w:rPr>
          <w:rFonts w:cs="Arial"/>
          <w:szCs w:val="22"/>
        </w:rPr>
        <w:t xml:space="preserve">49 </w:t>
      </w:r>
    </w:p>
    <w:p w14:paraId="5761E7EE" w14:textId="2947C651" w:rsidR="00630920" w:rsidRPr="00520273" w:rsidRDefault="002A2E86" w:rsidP="00630920">
      <w:pPr>
        <w:shd w:val="clear" w:color="auto" w:fill="FFFFFF"/>
        <w:rPr>
          <w:rFonts w:cs="Arial"/>
          <w:szCs w:val="22"/>
        </w:rPr>
      </w:pPr>
      <w:r>
        <w:rPr>
          <w:rFonts w:cs="Arial"/>
          <w:szCs w:val="22"/>
        </w:rPr>
        <w:t>Evans, G.L</w:t>
      </w:r>
      <w:r w:rsidR="00630920" w:rsidRPr="00520273">
        <w:rPr>
          <w:rFonts w:cs="Arial"/>
          <w:szCs w:val="22"/>
        </w:rPr>
        <w:t xml:space="preserve"> (2011)</w:t>
      </w:r>
      <w:r>
        <w:rPr>
          <w:rFonts w:cs="Arial"/>
          <w:szCs w:val="22"/>
        </w:rPr>
        <w:t>.</w:t>
      </w:r>
      <w:r w:rsidR="00630920" w:rsidRPr="00520273">
        <w:rPr>
          <w:rFonts w:cs="Arial"/>
          <w:szCs w:val="22"/>
        </w:rPr>
        <w:t xml:space="preserve"> Events, Cities and the Night Time Economy, In S.Page &amp; J.Connell (eds) </w:t>
      </w:r>
      <w:r w:rsidR="00630920" w:rsidRPr="00C20D5D">
        <w:rPr>
          <w:rFonts w:cs="Arial"/>
          <w:i/>
          <w:szCs w:val="22"/>
        </w:rPr>
        <w:t>Handbook of Events</w:t>
      </w:r>
      <w:r w:rsidR="00630920" w:rsidRPr="00520273">
        <w:rPr>
          <w:rFonts w:cs="Arial"/>
          <w:szCs w:val="22"/>
        </w:rPr>
        <w:t>. Routledge: 415</w:t>
      </w:r>
      <w:r w:rsidR="00630920">
        <w:rPr>
          <w:rFonts w:cs="Arial"/>
          <w:szCs w:val="22"/>
        </w:rPr>
        <w:t>–</w:t>
      </w:r>
      <w:r w:rsidR="00630920" w:rsidRPr="00520273">
        <w:rPr>
          <w:rFonts w:cs="Arial"/>
          <w:szCs w:val="22"/>
        </w:rPr>
        <w:t>430</w:t>
      </w:r>
    </w:p>
    <w:p w14:paraId="620B8BFF" w14:textId="44BDD55D" w:rsidR="00630920" w:rsidRPr="00520273" w:rsidRDefault="002A2E86" w:rsidP="00630920">
      <w:pPr>
        <w:shd w:val="clear" w:color="auto" w:fill="FFFFFF"/>
        <w:rPr>
          <w:rFonts w:cs="Arial"/>
          <w:szCs w:val="22"/>
        </w:rPr>
      </w:pPr>
      <w:r>
        <w:rPr>
          <w:rFonts w:cs="Arial"/>
          <w:szCs w:val="22"/>
        </w:rPr>
        <w:t>Evans, G.L</w:t>
      </w:r>
      <w:r w:rsidR="00630920" w:rsidRPr="00520273">
        <w:rPr>
          <w:rFonts w:cs="Arial"/>
          <w:szCs w:val="22"/>
        </w:rPr>
        <w:t xml:space="preserve"> (2015a)</w:t>
      </w:r>
      <w:r>
        <w:rPr>
          <w:rFonts w:cs="Arial"/>
          <w:szCs w:val="22"/>
        </w:rPr>
        <w:t>.</w:t>
      </w:r>
      <w:r w:rsidR="00630920" w:rsidRPr="00520273">
        <w:rPr>
          <w:rFonts w:cs="Arial"/>
          <w:szCs w:val="22"/>
        </w:rPr>
        <w:t xml:space="preserve"> Participation and Provision in Arts &amp; Culture: Bridging the Divide, </w:t>
      </w:r>
      <w:r w:rsidR="00630920" w:rsidRPr="00C20D5D">
        <w:rPr>
          <w:rFonts w:cs="Arial"/>
          <w:i/>
          <w:szCs w:val="22"/>
        </w:rPr>
        <w:t>Cultural Trends</w:t>
      </w:r>
      <w:r w:rsidR="00630920">
        <w:rPr>
          <w:rFonts w:cs="Arial"/>
          <w:szCs w:val="22"/>
        </w:rPr>
        <w:t xml:space="preserve"> 25</w:t>
      </w:r>
    </w:p>
    <w:p w14:paraId="70069D1C" w14:textId="5FFE1BF1" w:rsidR="00630920" w:rsidRPr="00520273" w:rsidRDefault="002A2E86" w:rsidP="00630920">
      <w:pPr>
        <w:shd w:val="clear" w:color="auto" w:fill="FFFFFF"/>
        <w:rPr>
          <w:rFonts w:cs="Arial"/>
          <w:szCs w:val="22"/>
        </w:rPr>
      </w:pPr>
      <w:r>
        <w:rPr>
          <w:rFonts w:cs="Arial"/>
          <w:szCs w:val="22"/>
        </w:rPr>
        <w:t>Evans, G.L</w:t>
      </w:r>
      <w:r w:rsidR="00630920" w:rsidRPr="00520273">
        <w:rPr>
          <w:rFonts w:cs="Arial"/>
          <w:szCs w:val="22"/>
        </w:rPr>
        <w:t xml:space="preserve"> (2015b)</w:t>
      </w:r>
      <w:r>
        <w:rPr>
          <w:rFonts w:cs="Arial"/>
          <w:szCs w:val="22"/>
        </w:rPr>
        <w:t>.</w:t>
      </w:r>
      <w:r w:rsidR="00630920" w:rsidRPr="00520273">
        <w:rPr>
          <w:rFonts w:cs="Arial"/>
          <w:szCs w:val="22"/>
        </w:rPr>
        <w:t xml:space="preserve"> Creative Cities: An International Perspective, In Richards, G. and Hannigan, J. (eds) </w:t>
      </w:r>
      <w:r w:rsidR="00630920" w:rsidRPr="00C20D5D">
        <w:rPr>
          <w:rFonts w:cs="Arial"/>
          <w:i/>
          <w:szCs w:val="22"/>
        </w:rPr>
        <w:t>SAGE Handbook of New Urban Studies</w:t>
      </w:r>
      <w:r w:rsidR="00630920" w:rsidRPr="00520273">
        <w:rPr>
          <w:rFonts w:cs="Arial"/>
          <w:szCs w:val="22"/>
        </w:rPr>
        <w:t xml:space="preserve"> (forthcoming)</w:t>
      </w:r>
    </w:p>
    <w:p w14:paraId="48C63574" w14:textId="4322A8CC" w:rsidR="00630920" w:rsidRDefault="002A2E86" w:rsidP="00630920">
      <w:pPr>
        <w:tabs>
          <w:tab w:val="left" w:pos="1244"/>
        </w:tabs>
        <w:rPr>
          <w:rFonts w:cs="Arial"/>
          <w:szCs w:val="22"/>
        </w:rPr>
      </w:pPr>
      <w:r>
        <w:rPr>
          <w:rFonts w:cs="Arial"/>
          <w:szCs w:val="22"/>
        </w:rPr>
        <w:t>Evans, G &amp; Shaw, P</w:t>
      </w:r>
      <w:r w:rsidR="00630920" w:rsidRPr="00520273">
        <w:rPr>
          <w:rFonts w:cs="Arial"/>
          <w:szCs w:val="22"/>
        </w:rPr>
        <w:t xml:space="preserve"> (2001) </w:t>
      </w:r>
      <w:r w:rsidR="00630920" w:rsidRPr="00520273">
        <w:rPr>
          <w:rFonts w:cs="Arial"/>
          <w:i/>
          <w:iCs/>
          <w:szCs w:val="22"/>
        </w:rPr>
        <w:t>Study into the Social Impacts of Lottery Good Cause Spending in the UK</w:t>
      </w:r>
      <w:r w:rsidR="00630920" w:rsidRPr="00520273">
        <w:rPr>
          <w:rFonts w:cs="Arial"/>
          <w:szCs w:val="22"/>
        </w:rPr>
        <w:t>, Final report. London: DCMS</w:t>
      </w:r>
    </w:p>
    <w:p w14:paraId="76FD8DC3" w14:textId="464375B5" w:rsidR="00630920" w:rsidRPr="00520273" w:rsidRDefault="0031388C" w:rsidP="00630920">
      <w:pPr>
        <w:tabs>
          <w:tab w:val="left" w:pos="1244"/>
        </w:tabs>
        <w:rPr>
          <w:rFonts w:cs="Arial"/>
          <w:szCs w:val="22"/>
        </w:rPr>
      </w:pPr>
      <w:r>
        <w:rPr>
          <w:rFonts w:cs="Arial"/>
          <w:szCs w:val="22"/>
        </w:rPr>
        <w:t xml:space="preserve">Evans, G and Shaw, P </w:t>
      </w:r>
      <w:r w:rsidR="00630920" w:rsidRPr="00520273">
        <w:rPr>
          <w:rFonts w:cs="Arial"/>
          <w:szCs w:val="22"/>
        </w:rPr>
        <w:t>(2004)</w:t>
      </w:r>
      <w:r>
        <w:rPr>
          <w:rFonts w:cs="Arial"/>
          <w:szCs w:val="22"/>
        </w:rPr>
        <w:t>.</w:t>
      </w:r>
      <w:r w:rsidR="00630920" w:rsidRPr="00520273">
        <w:rPr>
          <w:rFonts w:cs="Arial"/>
          <w:szCs w:val="22"/>
        </w:rPr>
        <w:t xml:space="preserve"> </w:t>
      </w:r>
      <w:r w:rsidR="00630920" w:rsidRPr="00520273">
        <w:rPr>
          <w:rFonts w:cs="Arial"/>
          <w:i/>
          <w:iCs/>
          <w:szCs w:val="22"/>
        </w:rPr>
        <w:t>The contribution of culture to regeneration in the UK: a review of evidence</w:t>
      </w:r>
      <w:r w:rsidR="00630920" w:rsidRPr="00520273">
        <w:rPr>
          <w:rFonts w:cs="Arial"/>
          <w:szCs w:val="22"/>
        </w:rPr>
        <w:t>. London: DCMS</w:t>
      </w:r>
    </w:p>
    <w:p w14:paraId="78345DE2" w14:textId="77777777" w:rsidR="00630920" w:rsidRPr="00520273" w:rsidRDefault="00630920" w:rsidP="00630920">
      <w:pPr>
        <w:tabs>
          <w:tab w:val="left" w:pos="1244"/>
        </w:tabs>
        <w:rPr>
          <w:rFonts w:cs="Arial"/>
          <w:bCs/>
          <w:i/>
          <w:iCs/>
          <w:szCs w:val="22"/>
        </w:rPr>
      </w:pPr>
      <w:r w:rsidRPr="00520273">
        <w:rPr>
          <w:rFonts w:cs="Arial"/>
          <w:bCs/>
          <w:szCs w:val="22"/>
        </w:rPr>
        <w:t xml:space="preserve">Feng, X, Humphreys, B.R. (2008) </w:t>
      </w:r>
      <w:r w:rsidRPr="00520273">
        <w:rPr>
          <w:rFonts w:cs="Arial"/>
          <w:bCs/>
          <w:i/>
          <w:iCs/>
          <w:szCs w:val="22"/>
        </w:rPr>
        <w:t>Assessing the Economic Impact of Sports Facilities on Residential Property Values: A Spatial Hedonic Approach</w:t>
      </w:r>
      <w:r w:rsidRPr="00520273">
        <w:rPr>
          <w:rFonts w:cs="Arial"/>
          <w:bCs/>
          <w:szCs w:val="22"/>
        </w:rPr>
        <w:t>, Working Paper Series, No. 08</w:t>
      </w:r>
      <w:r>
        <w:rPr>
          <w:rFonts w:cs="Arial"/>
          <w:szCs w:val="22"/>
        </w:rPr>
        <w:t>–</w:t>
      </w:r>
      <w:r w:rsidRPr="00520273">
        <w:rPr>
          <w:rFonts w:cs="Arial"/>
          <w:bCs/>
          <w:szCs w:val="22"/>
        </w:rPr>
        <w:t>12, IASE/NAASE</w:t>
      </w:r>
    </w:p>
    <w:p w14:paraId="0C02A49C" w14:textId="7E17A2F9" w:rsidR="00630920" w:rsidRPr="00520273" w:rsidRDefault="002A2E86" w:rsidP="00630920">
      <w:pPr>
        <w:tabs>
          <w:tab w:val="left" w:pos="1244"/>
        </w:tabs>
        <w:rPr>
          <w:rFonts w:cs="Arial"/>
          <w:szCs w:val="22"/>
        </w:rPr>
      </w:pPr>
      <w:r>
        <w:rPr>
          <w:rFonts w:cs="Arial"/>
          <w:szCs w:val="22"/>
        </w:rPr>
        <w:t xml:space="preserve">Falck, O et al </w:t>
      </w:r>
      <w:r w:rsidR="00630920" w:rsidRPr="00520273">
        <w:rPr>
          <w:rFonts w:cs="Arial"/>
          <w:szCs w:val="22"/>
        </w:rPr>
        <w:t>(2011)</w:t>
      </w:r>
      <w:r>
        <w:rPr>
          <w:rFonts w:cs="Arial"/>
          <w:szCs w:val="22"/>
        </w:rPr>
        <w:t>.</w:t>
      </w:r>
      <w:r w:rsidR="00630920" w:rsidRPr="00520273">
        <w:rPr>
          <w:rFonts w:cs="Arial"/>
          <w:szCs w:val="22"/>
        </w:rPr>
        <w:t xml:space="preserve"> The phantom of the opera: Cultural amenities, human capital and regional economic growth, </w:t>
      </w:r>
      <w:r w:rsidR="00630920" w:rsidRPr="00520273">
        <w:rPr>
          <w:rFonts w:cs="Arial"/>
          <w:i/>
          <w:szCs w:val="22"/>
        </w:rPr>
        <w:t>Labour Economics</w:t>
      </w:r>
      <w:r w:rsidR="00630920" w:rsidRPr="00520273">
        <w:rPr>
          <w:rFonts w:cs="Arial"/>
          <w:szCs w:val="22"/>
        </w:rPr>
        <w:t>, 18: 755</w:t>
      </w:r>
      <w:r w:rsidR="00630920">
        <w:rPr>
          <w:rFonts w:cs="Arial"/>
          <w:szCs w:val="22"/>
        </w:rPr>
        <w:t>–</w:t>
      </w:r>
      <w:r w:rsidR="00630920" w:rsidRPr="00520273">
        <w:rPr>
          <w:rFonts w:cs="Arial"/>
          <w:szCs w:val="22"/>
        </w:rPr>
        <w:t>766</w:t>
      </w:r>
    </w:p>
    <w:p w14:paraId="6C05D244" w14:textId="5DCBF5DA" w:rsidR="00F40E03" w:rsidRDefault="00F40E03" w:rsidP="00630920">
      <w:pPr>
        <w:tabs>
          <w:tab w:val="left" w:pos="1244"/>
        </w:tabs>
        <w:rPr>
          <w:rFonts w:eastAsiaTheme="minorHAnsi" w:cs="Arial"/>
          <w:szCs w:val="22"/>
        </w:rPr>
      </w:pPr>
      <w:r w:rsidRPr="00F40E03">
        <w:rPr>
          <w:rFonts w:eastAsiaTheme="minorHAnsi" w:cs="Arial"/>
          <w:szCs w:val="22"/>
        </w:rPr>
        <w:t>Florida, R (2002). Bohemia and Economic Geography</w:t>
      </w:r>
      <w:r>
        <w:rPr>
          <w:rFonts w:eastAsiaTheme="minorHAnsi" w:cs="Arial"/>
          <w:szCs w:val="22"/>
        </w:rPr>
        <w:t>.</w:t>
      </w:r>
      <w:r w:rsidRPr="00F40E03">
        <w:rPr>
          <w:rFonts w:eastAsiaTheme="minorHAnsi" w:cs="Arial"/>
          <w:szCs w:val="22"/>
        </w:rPr>
        <w:t xml:space="preserve"> </w:t>
      </w:r>
      <w:r w:rsidRPr="00F40E03">
        <w:rPr>
          <w:rFonts w:eastAsiaTheme="minorHAnsi" w:cs="Arial"/>
          <w:i/>
          <w:szCs w:val="22"/>
        </w:rPr>
        <w:t>Journal of Economic Geography</w:t>
      </w:r>
      <w:r w:rsidRPr="00F40E03">
        <w:rPr>
          <w:rFonts w:eastAsiaTheme="minorHAnsi" w:cs="Arial"/>
          <w:szCs w:val="22"/>
        </w:rPr>
        <w:t xml:space="preserve"> issue 2, pp 55 </w:t>
      </w:r>
      <w:r>
        <w:rPr>
          <w:rFonts w:eastAsiaTheme="minorHAnsi" w:cs="Arial"/>
          <w:szCs w:val="22"/>
        </w:rPr>
        <w:t>–</w:t>
      </w:r>
      <w:r w:rsidRPr="00F40E03">
        <w:rPr>
          <w:rFonts w:eastAsiaTheme="minorHAnsi" w:cs="Arial"/>
          <w:szCs w:val="22"/>
        </w:rPr>
        <w:t xml:space="preserve"> 71</w:t>
      </w:r>
    </w:p>
    <w:p w14:paraId="5C71B1BD" w14:textId="36606720" w:rsidR="00630920" w:rsidRPr="00520273" w:rsidRDefault="002A2E86" w:rsidP="00630920">
      <w:pPr>
        <w:tabs>
          <w:tab w:val="left" w:pos="1244"/>
        </w:tabs>
        <w:rPr>
          <w:rFonts w:eastAsiaTheme="minorHAnsi" w:cs="Arial"/>
          <w:szCs w:val="22"/>
        </w:rPr>
      </w:pPr>
      <w:r>
        <w:rPr>
          <w:rFonts w:eastAsiaTheme="minorHAnsi" w:cs="Arial"/>
          <w:szCs w:val="22"/>
        </w:rPr>
        <w:lastRenderedPageBreak/>
        <w:t>Foord, J</w:t>
      </w:r>
      <w:r w:rsidR="00630920" w:rsidRPr="00520273">
        <w:rPr>
          <w:rFonts w:eastAsiaTheme="minorHAnsi" w:cs="Arial"/>
          <w:szCs w:val="22"/>
        </w:rPr>
        <w:t xml:space="preserve"> (2012)</w:t>
      </w:r>
      <w:r>
        <w:rPr>
          <w:rFonts w:eastAsiaTheme="minorHAnsi" w:cs="Arial"/>
          <w:szCs w:val="22"/>
        </w:rPr>
        <w:t>.</w:t>
      </w:r>
      <w:r w:rsidR="00630920" w:rsidRPr="00520273">
        <w:rPr>
          <w:rFonts w:eastAsiaTheme="minorHAnsi" w:cs="Arial"/>
          <w:szCs w:val="22"/>
        </w:rPr>
        <w:t xml:space="preserve"> </w:t>
      </w:r>
      <w:r w:rsidR="00630920" w:rsidRPr="002A2E86">
        <w:rPr>
          <w:rFonts w:eastAsiaTheme="minorHAnsi" w:cs="Arial"/>
          <w:i/>
          <w:szCs w:val="22"/>
        </w:rPr>
        <w:t>The new boomtown? Creative city to Tech City in east London</w:t>
      </w:r>
      <w:r w:rsidR="00630920" w:rsidRPr="00520273">
        <w:rPr>
          <w:rFonts w:eastAsiaTheme="minorHAnsi" w:cs="Arial"/>
          <w:szCs w:val="22"/>
        </w:rPr>
        <w:t xml:space="preserve">, </w:t>
      </w:r>
      <w:r w:rsidR="00630920" w:rsidRPr="002A2E86">
        <w:rPr>
          <w:rFonts w:eastAsiaTheme="minorHAnsi" w:cs="Arial"/>
          <w:szCs w:val="22"/>
        </w:rPr>
        <w:t>Cities,</w:t>
      </w:r>
      <w:r w:rsidR="00630920" w:rsidRPr="00520273">
        <w:rPr>
          <w:rFonts w:eastAsiaTheme="minorHAnsi" w:cs="Arial"/>
          <w:szCs w:val="22"/>
        </w:rPr>
        <w:t xml:space="preserve"> 33: 51</w:t>
      </w:r>
      <w:r w:rsidR="00630920">
        <w:rPr>
          <w:rFonts w:cs="Arial"/>
          <w:szCs w:val="22"/>
        </w:rPr>
        <w:t>–</w:t>
      </w:r>
      <w:r w:rsidR="00630920" w:rsidRPr="00520273">
        <w:rPr>
          <w:rFonts w:eastAsiaTheme="minorHAnsi" w:cs="Arial"/>
          <w:szCs w:val="22"/>
        </w:rPr>
        <w:t>60</w:t>
      </w:r>
    </w:p>
    <w:p w14:paraId="10BC7AED" w14:textId="2DEE96B8" w:rsidR="00630920" w:rsidRDefault="002A2E86" w:rsidP="00630920">
      <w:pPr>
        <w:tabs>
          <w:tab w:val="left" w:pos="1244"/>
        </w:tabs>
        <w:rPr>
          <w:rFonts w:eastAsiaTheme="minorHAnsi" w:cs="Arial"/>
          <w:szCs w:val="22"/>
        </w:rPr>
      </w:pPr>
      <w:r>
        <w:rPr>
          <w:rFonts w:eastAsiaTheme="minorHAnsi" w:cs="Arial"/>
          <w:szCs w:val="22"/>
        </w:rPr>
        <w:t>Freeman, A</w:t>
      </w:r>
      <w:r w:rsidR="00630920">
        <w:rPr>
          <w:rFonts w:eastAsiaTheme="minorHAnsi" w:cs="Arial"/>
          <w:szCs w:val="22"/>
        </w:rPr>
        <w:t xml:space="preserve"> </w:t>
      </w:r>
      <w:r w:rsidR="00630920" w:rsidRPr="00520273">
        <w:rPr>
          <w:rFonts w:eastAsiaTheme="minorHAnsi" w:cs="Arial"/>
          <w:szCs w:val="22"/>
        </w:rPr>
        <w:t>(2010)</w:t>
      </w:r>
      <w:r>
        <w:rPr>
          <w:rFonts w:eastAsiaTheme="minorHAnsi" w:cs="Arial"/>
          <w:szCs w:val="22"/>
        </w:rPr>
        <w:t>.</w:t>
      </w:r>
      <w:r w:rsidR="00630920" w:rsidRPr="00520273">
        <w:rPr>
          <w:rFonts w:eastAsiaTheme="minorHAnsi" w:cs="Arial"/>
          <w:szCs w:val="22"/>
        </w:rPr>
        <w:t xml:space="preserve"> </w:t>
      </w:r>
      <w:r w:rsidR="00630920" w:rsidRPr="00C20D5D">
        <w:rPr>
          <w:rFonts w:eastAsiaTheme="minorHAnsi" w:cs="Arial"/>
          <w:i/>
          <w:szCs w:val="22"/>
        </w:rPr>
        <w:t>London’s creative workforce: 2009 Update</w:t>
      </w:r>
      <w:r w:rsidR="00630920" w:rsidRPr="00520273">
        <w:rPr>
          <w:rFonts w:eastAsiaTheme="minorHAnsi" w:cs="Arial"/>
          <w:szCs w:val="22"/>
        </w:rPr>
        <w:t>. Working paper 40. London: Greater London Authority</w:t>
      </w:r>
    </w:p>
    <w:p w14:paraId="3C87DB47" w14:textId="77777777" w:rsidR="00F40E03" w:rsidRDefault="00F40E03" w:rsidP="00F40E03">
      <w:pPr>
        <w:tabs>
          <w:tab w:val="left" w:pos="1244"/>
        </w:tabs>
        <w:rPr>
          <w:rFonts w:cs="Arial"/>
          <w:bCs/>
          <w:szCs w:val="22"/>
        </w:rPr>
      </w:pPr>
      <w:r w:rsidRPr="00F40E03">
        <w:rPr>
          <w:rFonts w:cs="Arial"/>
          <w:bCs/>
          <w:szCs w:val="22"/>
        </w:rPr>
        <w:t xml:space="preserve">Fujiwara, D (2013) </w:t>
      </w:r>
      <w:r w:rsidRPr="00F40E03">
        <w:rPr>
          <w:rFonts w:cs="Arial"/>
          <w:bCs/>
          <w:i/>
          <w:szCs w:val="22"/>
        </w:rPr>
        <w:t>Museums and Happiness: The value of participating in museums and the arts</w:t>
      </w:r>
      <w:r w:rsidRPr="00F40E03">
        <w:rPr>
          <w:rFonts w:cs="Arial"/>
          <w:bCs/>
          <w:szCs w:val="22"/>
        </w:rPr>
        <w:t xml:space="preserve">. Stowmarket, The Happy Museum Project </w:t>
      </w:r>
    </w:p>
    <w:p w14:paraId="65230FB8" w14:textId="7F6CA54A" w:rsidR="0031388C" w:rsidRPr="0031388C" w:rsidRDefault="0031388C" w:rsidP="00630920">
      <w:pPr>
        <w:tabs>
          <w:tab w:val="left" w:pos="1244"/>
        </w:tabs>
        <w:rPr>
          <w:rFonts w:eastAsiaTheme="minorHAnsi" w:cs="Arial"/>
          <w:szCs w:val="22"/>
        </w:rPr>
      </w:pPr>
      <w:r w:rsidRPr="0031388C">
        <w:rPr>
          <w:rStyle w:val="FootnoteReference"/>
          <w:szCs w:val="22"/>
          <w:vertAlign w:val="baseline"/>
        </w:rPr>
        <w:t>Fujiwara, D et al (2014)</w:t>
      </w:r>
      <w:r w:rsidRPr="0031388C">
        <w:rPr>
          <w:szCs w:val="22"/>
        </w:rPr>
        <w:t>.</w:t>
      </w:r>
      <w:r w:rsidRPr="0031388C">
        <w:rPr>
          <w:rStyle w:val="FootnoteReference"/>
          <w:szCs w:val="22"/>
          <w:vertAlign w:val="baseline"/>
        </w:rPr>
        <w:t xml:space="preserve"> </w:t>
      </w:r>
      <w:r w:rsidRPr="0031388C">
        <w:rPr>
          <w:rStyle w:val="FootnoteReference"/>
          <w:i/>
          <w:szCs w:val="22"/>
          <w:vertAlign w:val="baseline"/>
        </w:rPr>
        <w:t>Quantifying the Social Impacts of Culture and Sport</w:t>
      </w:r>
      <w:r w:rsidRPr="0031388C">
        <w:rPr>
          <w:rStyle w:val="FootnoteReference"/>
          <w:szCs w:val="22"/>
          <w:vertAlign w:val="baseline"/>
        </w:rPr>
        <w:t>. London, DCMS.</w:t>
      </w:r>
    </w:p>
    <w:p w14:paraId="2CB4A137" w14:textId="77777777" w:rsidR="00F40E03" w:rsidRDefault="00F40E03" w:rsidP="00630920">
      <w:pPr>
        <w:tabs>
          <w:tab w:val="left" w:pos="1244"/>
        </w:tabs>
        <w:rPr>
          <w:rFonts w:cs="Arial"/>
          <w:bCs/>
          <w:szCs w:val="22"/>
        </w:rPr>
      </w:pPr>
      <w:r w:rsidRPr="00F40E03">
        <w:rPr>
          <w:rFonts w:cs="Arial"/>
          <w:bCs/>
          <w:szCs w:val="22"/>
        </w:rPr>
        <w:t xml:space="preserve">Fujiwara, D, Lawton, R &amp; Mourato, S (2015) </w:t>
      </w:r>
      <w:r w:rsidRPr="00F40E03">
        <w:rPr>
          <w:rFonts w:cs="Arial"/>
          <w:bCs/>
          <w:i/>
          <w:szCs w:val="22"/>
        </w:rPr>
        <w:t>The health and wellbeing benefits of public libraries</w:t>
      </w:r>
      <w:r w:rsidRPr="00F40E03">
        <w:rPr>
          <w:rFonts w:cs="Arial"/>
          <w:bCs/>
          <w:szCs w:val="22"/>
        </w:rPr>
        <w:t xml:space="preserve">. London, Arts Council England </w:t>
      </w:r>
    </w:p>
    <w:p w14:paraId="29C492B7" w14:textId="289983BD" w:rsidR="00630920" w:rsidRPr="00520273" w:rsidRDefault="00630920" w:rsidP="00630920">
      <w:pPr>
        <w:tabs>
          <w:tab w:val="left" w:pos="1244"/>
        </w:tabs>
        <w:rPr>
          <w:rFonts w:cs="Arial"/>
          <w:bCs/>
          <w:szCs w:val="22"/>
        </w:rPr>
      </w:pPr>
      <w:r w:rsidRPr="00520273">
        <w:rPr>
          <w:rFonts w:cs="Arial"/>
          <w:bCs/>
          <w:szCs w:val="22"/>
        </w:rPr>
        <w:t>GLA (2003)</w:t>
      </w:r>
      <w:r w:rsidR="002A2E86">
        <w:rPr>
          <w:rFonts w:cs="Arial"/>
          <w:bCs/>
          <w:szCs w:val="22"/>
        </w:rPr>
        <w:t>.</w:t>
      </w:r>
      <w:r w:rsidRPr="00520273">
        <w:rPr>
          <w:rFonts w:cs="Arial"/>
          <w:bCs/>
          <w:szCs w:val="22"/>
        </w:rPr>
        <w:t xml:space="preserve"> </w:t>
      </w:r>
      <w:r w:rsidRPr="00520273">
        <w:rPr>
          <w:rFonts w:cs="Arial"/>
          <w:bCs/>
          <w:i/>
          <w:szCs w:val="22"/>
        </w:rPr>
        <w:t>Valuing Greenness: Green spaces, house price and Londoners’ priorities</w:t>
      </w:r>
      <w:r w:rsidRPr="00520273">
        <w:rPr>
          <w:rFonts w:cs="Arial"/>
          <w:bCs/>
          <w:szCs w:val="22"/>
        </w:rPr>
        <w:t>. Greater London Authority</w:t>
      </w:r>
    </w:p>
    <w:p w14:paraId="753D4E4B" w14:textId="6BD42B42" w:rsidR="00630920" w:rsidRPr="00520273" w:rsidRDefault="00630920" w:rsidP="00630920">
      <w:pPr>
        <w:tabs>
          <w:tab w:val="left" w:pos="1244"/>
        </w:tabs>
        <w:rPr>
          <w:rFonts w:cs="Arial"/>
          <w:szCs w:val="22"/>
        </w:rPr>
      </w:pPr>
      <w:r w:rsidRPr="00520273">
        <w:rPr>
          <w:rFonts w:cs="Arial"/>
          <w:szCs w:val="22"/>
        </w:rPr>
        <w:t>GHK (2010)</w:t>
      </w:r>
      <w:r w:rsidR="002A2E86">
        <w:rPr>
          <w:rFonts w:cs="Arial"/>
          <w:szCs w:val="22"/>
        </w:rPr>
        <w:t>.</w:t>
      </w:r>
      <w:r w:rsidRPr="00520273">
        <w:rPr>
          <w:rFonts w:cs="Arial"/>
          <w:szCs w:val="22"/>
        </w:rPr>
        <w:t xml:space="preserve"> </w:t>
      </w:r>
      <w:r w:rsidRPr="00520273">
        <w:rPr>
          <w:rFonts w:cs="Arial"/>
          <w:i/>
          <w:szCs w:val="22"/>
        </w:rPr>
        <w:t>Economic Impact of HLF funded projects</w:t>
      </w:r>
      <w:r w:rsidRPr="00520273">
        <w:rPr>
          <w:rFonts w:cs="Arial"/>
          <w:szCs w:val="22"/>
        </w:rPr>
        <w:t>. Heritage Lottery Fund</w:t>
      </w:r>
    </w:p>
    <w:p w14:paraId="4BF18EF4" w14:textId="77777777" w:rsidR="00630920" w:rsidRPr="00520273" w:rsidRDefault="00630920" w:rsidP="00630920">
      <w:pPr>
        <w:autoSpaceDE w:val="0"/>
        <w:autoSpaceDN w:val="0"/>
        <w:adjustRightInd w:val="0"/>
        <w:rPr>
          <w:rFonts w:cs="Arial"/>
          <w:szCs w:val="22"/>
        </w:rPr>
      </w:pPr>
      <w:r w:rsidRPr="00520273">
        <w:rPr>
          <w:rFonts w:cs="Arial"/>
          <w:szCs w:val="22"/>
        </w:rPr>
        <w:t xml:space="preserve">Glaeser, E. (2004) Review of </w:t>
      </w:r>
      <w:r w:rsidRPr="00520273">
        <w:rPr>
          <w:rFonts w:cs="Arial"/>
          <w:i/>
          <w:iCs/>
          <w:szCs w:val="22"/>
        </w:rPr>
        <w:t>The rise of the creative class</w:t>
      </w:r>
      <w:r w:rsidRPr="00520273">
        <w:rPr>
          <w:rFonts w:cs="Arial"/>
          <w:szCs w:val="22"/>
        </w:rPr>
        <w:t xml:space="preserve">, by Richard Florida. </w:t>
      </w:r>
      <w:hyperlink r:id="rId39" w:history="1">
        <w:r w:rsidRPr="00520273">
          <w:rPr>
            <w:rStyle w:val="Hyperlink"/>
            <w:rFonts w:cs="Arial"/>
            <w:szCs w:val="22"/>
          </w:rPr>
          <w:t>www.creativeclass.com/rfcgdb/articles/GlaeserReview.pdf</w:t>
        </w:r>
      </w:hyperlink>
    </w:p>
    <w:p w14:paraId="0D05FC49" w14:textId="77777777" w:rsidR="00630920" w:rsidRDefault="00630920" w:rsidP="00630920">
      <w:pPr>
        <w:autoSpaceDE w:val="0"/>
        <w:autoSpaceDN w:val="0"/>
        <w:adjustRightInd w:val="0"/>
        <w:rPr>
          <w:rFonts w:eastAsiaTheme="minorHAnsi" w:cs="Arial"/>
          <w:szCs w:val="22"/>
        </w:rPr>
      </w:pPr>
      <w:r w:rsidRPr="00520273">
        <w:rPr>
          <w:rFonts w:eastAsiaTheme="minorHAnsi" w:cs="Arial"/>
          <w:szCs w:val="22"/>
        </w:rPr>
        <w:t xml:space="preserve">Glaeser, E, Giacomo, A., Ponzetto &amp; Tobio, K. (2011) </w:t>
      </w:r>
      <w:r w:rsidRPr="00520273">
        <w:rPr>
          <w:rFonts w:eastAsiaTheme="minorHAnsi" w:cs="Arial"/>
          <w:i/>
          <w:szCs w:val="22"/>
        </w:rPr>
        <w:t>Cities, Skills, and Regional Change</w:t>
      </w:r>
      <w:r w:rsidRPr="00520273">
        <w:rPr>
          <w:rFonts w:eastAsiaTheme="minorHAnsi" w:cs="Arial"/>
          <w:szCs w:val="22"/>
        </w:rPr>
        <w:t>, Harvard Institute of Economic Research</w:t>
      </w:r>
    </w:p>
    <w:p w14:paraId="5C3BF73A" w14:textId="03885726" w:rsidR="0031388C" w:rsidRPr="0031388C" w:rsidRDefault="0031388C" w:rsidP="00630920">
      <w:pPr>
        <w:autoSpaceDE w:val="0"/>
        <w:autoSpaceDN w:val="0"/>
        <w:adjustRightInd w:val="0"/>
        <w:rPr>
          <w:rFonts w:eastAsiaTheme="minorHAnsi" w:cs="Arial"/>
          <w:szCs w:val="22"/>
        </w:rPr>
      </w:pPr>
      <w:r w:rsidRPr="0031388C">
        <w:rPr>
          <w:szCs w:val="22"/>
        </w:rPr>
        <w:t xml:space="preserve">Holden J. (2015), </w:t>
      </w:r>
      <w:r w:rsidRPr="0031388C">
        <w:rPr>
          <w:i/>
          <w:szCs w:val="22"/>
        </w:rPr>
        <w:t>The ecology of culture,</w:t>
      </w:r>
      <w:r w:rsidRPr="0031388C">
        <w:rPr>
          <w:szCs w:val="22"/>
        </w:rPr>
        <w:t xml:space="preserve"> AHRC</w:t>
      </w:r>
    </w:p>
    <w:p w14:paraId="39AC4799" w14:textId="77777777" w:rsidR="00630920" w:rsidRPr="00520273" w:rsidRDefault="00630920" w:rsidP="00630920">
      <w:pPr>
        <w:spacing w:line="276" w:lineRule="auto"/>
        <w:rPr>
          <w:rFonts w:cs="Arial"/>
          <w:szCs w:val="22"/>
          <w:lang w:val="en-US"/>
        </w:rPr>
      </w:pPr>
      <w:r w:rsidRPr="00520273">
        <w:rPr>
          <w:rFonts w:cs="Arial"/>
          <w:szCs w:val="22"/>
          <w:lang w:val="en-US"/>
        </w:rPr>
        <w:t xml:space="preserve">Impacts08 (2008) </w:t>
      </w:r>
      <w:r w:rsidRPr="00520273">
        <w:rPr>
          <w:rFonts w:cs="Arial"/>
          <w:i/>
          <w:szCs w:val="22"/>
          <w:lang w:val="en-US"/>
        </w:rPr>
        <w:t>Doing Business in the European Capital of Culture: a profile of impact on the Merseyside and NW business base</w:t>
      </w:r>
      <w:r w:rsidRPr="00520273">
        <w:rPr>
          <w:rFonts w:cs="Arial"/>
          <w:szCs w:val="22"/>
          <w:lang w:val="en-US"/>
        </w:rPr>
        <w:t>.</w:t>
      </w:r>
      <w:r>
        <w:rPr>
          <w:rFonts w:cs="Arial"/>
          <w:szCs w:val="22"/>
          <w:lang w:val="en-US"/>
        </w:rPr>
        <w:t xml:space="preserve"> </w:t>
      </w:r>
      <w:r w:rsidRPr="00520273">
        <w:rPr>
          <w:rFonts w:cs="Arial"/>
          <w:szCs w:val="22"/>
          <w:lang w:val="en-US"/>
        </w:rPr>
        <w:t>European Capital of Culture Research Programme. Liverpool University, March.</w:t>
      </w:r>
    </w:p>
    <w:p w14:paraId="21439293" w14:textId="77777777" w:rsidR="00630920" w:rsidRPr="00520273" w:rsidRDefault="00630920" w:rsidP="00630920">
      <w:pPr>
        <w:spacing w:line="276" w:lineRule="auto"/>
        <w:rPr>
          <w:rFonts w:cs="Arial"/>
          <w:szCs w:val="22"/>
          <w:lang w:val="en-US"/>
        </w:rPr>
      </w:pPr>
      <w:r w:rsidRPr="00520273">
        <w:rPr>
          <w:rFonts w:cs="Arial"/>
          <w:szCs w:val="22"/>
          <w:lang w:val="en-US"/>
        </w:rPr>
        <w:t xml:space="preserve">Impacts08 (2009) </w:t>
      </w:r>
      <w:r w:rsidRPr="00520273">
        <w:rPr>
          <w:rFonts w:cs="Arial"/>
          <w:i/>
          <w:szCs w:val="22"/>
          <w:lang w:val="en-US"/>
        </w:rPr>
        <w:t>Local Area Studies – 2008 Results</w:t>
      </w:r>
      <w:r w:rsidRPr="00520273">
        <w:rPr>
          <w:rFonts w:cs="Arial"/>
          <w:szCs w:val="22"/>
          <w:lang w:val="en-US"/>
        </w:rPr>
        <w:t>. European Capital of Culture Research Programme, Liverpool University, April.</w:t>
      </w:r>
    </w:p>
    <w:p w14:paraId="385ACAA6" w14:textId="77777777" w:rsidR="00630920" w:rsidRPr="00520273" w:rsidRDefault="00630920" w:rsidP="00630920">
      <w:pPr>
        <w:spacing w:line="276" w:lineRule="auto"/>
        <w:rPr>
          <w:rFonts w:cs="Arial"/>
          <w:szCs w:val="22"/>
          <w:lang w:val="en-US"/>
        </w:rPr>
      </w:pPr>
      <w:r w:rsidRPr="00520273">
        <w:rPr>
          <w:rFonts w:cs="Arial"/>
          <w:szCs w:val="22"/>
          <w:lang w:val="en-US"/>
        </w:rPr>
        <w:t xml:space="preserve">Impacts08 (2010) </w:t>
      </w:r>
      <w:r w:rsidRPr="00C20D5D">
        <w:rPr>
          <w:rFonts w:cs="Arial"/>
          <w:i/>
          <w:szCs w:val="22"/>
          <w:lang w:val="en-US"/>
        </w:rPr>
        <w:t>Creating an impact: Liverpool’s experience as European Capital of Culture</w:t>
      </w:r>
      <w:r w:rsidRPr="00520273">
        <w:rPr>
          <w:rFonts w:cs="Arial"/>
          <w:szCs w:val="22"/>
          <w:lang w:val="en-US"/>
        </w:rPr>
        <w:t>. Impacts08 Study Unit, Liverpool University</w:t>
      </w:r>
    </w:p>
    <w:p w14:paraId="0E1D1375" w14:textId="77777777" w:rsidR="00630920" w:rsidRPr="00520273" w:rsidRDefault="00630920" w:rsidP="00630920">
      <w:pPr>
        <w:spacing w:line="276" w:lineRule="auto"/>
        <w:rPr>
          <w:rFonts w:cs="Arial"/>
          <w:szCs w:val="22"/>
          <w:lang w:val="en-US"/>
        </w:rPr>
      </w:pPr>
      <w:r w:rsidRPr="00520273">
        <w:rPr>
          <w:rFonts w:cs="Arial"/>
          <w:szCs w:val="22"/>
          <w:lang w:val="en-US"/>
        </w:rPr>
        <w:t xml:space="preserve">Ipsos MORI (2010) </w:t>
      </w:r>
      <w:r w:rsidRPr="00C20D5D">
        <w:rPr>
          <w:rFonts w:cs="Arial"/>
          <w:i/>
          <w:szCs w:val="22"/>
          <w:lang w:val="en-US"/>
        </w:rPr>
        <w:t>People and Places: public attitudes to beauty</w:t>
      </w:r>
      <w:r w:rsidRPr="00520273">
        <w:rPr>
          <w:rFonts w:cs="Arial"/>
          <w:szCs w:val="22"/>
          <w:lang w:val="en-US"/>
        </w:rPr>
        <w:t>, CABE</w:t>
      </w:r>
    </w:p>
    <w:p w14:paraId="0C80181E" w14:textId="77777777" w:rsidR="00630920" w:rsidRPr="00520273" w:rsidRDefault="00630920" w:rsidP="00630920">
      <w:pPr>
        <w:spacing w:line="276" w:lineRule="auto"/>
        <w:rPr>
          <w:rFonts w:cs="Arial"/>
          <w:szCs w:val="22"/>
          <w:lang w:val="en-US"/>
        </w:rPr>
      </w:pPr>
      <w:r w:rsidRPr="00520273">
        <w:rPr>
          <w:rFonts w:cs="Arial"/>
          <w:szCs w:val="22"/>
          <w:lang w:val="en-US"/>
        </w:rPr>
        <w:t>Jermyn, H. (2001)</w:t>
      </w:r>
      <w:r>
        <w:rPr>
          <w:rFonts w:cs="Arial"/>
          <w:szCs w:val="22"/>
          <w:lang w:val="en-US"/>
        </w:rPr>
        <w:t xml:space="preserve"> </w:t>
      </w:r>
      <w:r w:rsidRPr="002D625F">
        <w:rPr>
          <w:rFonts w:cs="Arial"/>
          <w:i/>
          <w:szCs w:val="22"/>
          <w:lang w:val="en-US"/>
        </w:rPr>
        <w:t>The Arts and Social Exclusion. A review</w:t>
      </w:r>
      <w:r w:rsidRPr="00520273">
        <w:rPr>
          <w:rFonts w:cs="Arial"/>
          <w:szCs w:val="22"/>
          <w:lang w:val="en-US"/>
        </w:rPr>
        <w:t>. London: Arts Council of England</w:t>
      </w:r>
    </w:p>
    <w:p w14:paraId="2929FB9C" w14:textId="77777777" w:rsidR="00630920" w:rsidRPr="00520273" w:rsidRDefault="00630920" w:rsidP="00630920">
      <w:pPr>
        <w:spacing w:line="276" w:lineRule="auto"/>
        <w:rPr>
          <w:rFonts w:cs="Arial"/>
          <w:szCs w:val="22"/>
          <w:lang w:val="en-US"/>
        </w:rPr>
      </w:pPr>
      <w:r w:rsidRPr="00520273">
        <w:rPr>
          <w:rFonts w:cs="Arial"/>
          <w:szCs w:val="22"/>
          <w:lang w:val="en-US"/>
        </w:rPr>
        <w:t xml:space="preserve">Jermyn, J. (ed) (2000) </w:t>
      </w:r>
      <w:r w:rsidRPr="002D625F">
        <w:rPr>
          <w:rFonts w:cs="Arial"/>
          <w:i/>
          <w:szCs w:val="22"/>
          <w:lang w:val="en-US"/>
        </w:rPr>
        <w:t>Placing Art in New Contexts: summary of a report to the Arts Council of England</w:t>
      </w:r>
      <w:r w:rsidRPr="00520273">
        <w:rPr>
          <w:rFonts w:cs="Arial"/>
          <w:szCs w:val="22"/>
          <w:lang w:val="en-US"/>
        </w:rPr>
        <w:t>. ACE Research Report No.19. London: Arts Council of England</w:t>
      </w:r>
    </w:p>
    <w:p w14:paraId="4AA658CD" w14:textId="77777777" w:rsidR="00630920" w:rsidRPr="00520273" w:rsidRDefault="00630920" w:rsidP="00630920">
      <w:pPr>
        <w:spacing w:line="276" w:lineRule="auto"/>
        <w:rPr>
          <w:rFonts w:cs="Arial"/>
          <w:szCs w:val="22"/>
          <w:lang w:val="en-US"/>
        </w:rPr>
      </w:pPr>
      <w:r w:rsidRPr="00520273">
        <w:rPr>
          <w:rFonts w:cs="Arial"/>
          <w:szCs w:val="22"/>
          <w:lang w:val="en-US"/>
        </w:rPr>
        <w:t xml:space="preserve">Jones, K., Lea, T., Sharpe, D., Jones, T. and Harvey, S. (2003) </w:t>
      </w:r>
      <w:r w:rsidRPr="002D625F">
        <w:rPr>
          <w:rFonts w:cs="Arial"/>
          <w:i/>
          <w:szCs w:val="22"/>
          <w:lang w:val="en-US"/>
        </w:rPr>
        <w:t>Beyond Anecdotal Evidence: The Spillover Effects of Investments in Cultural Facilities</w:t>
      </w:r>
      <w:r w:rsidRPr="00520273">
        <w:rPr>
          <w:rFonts w:cs="Arial"/>
          <w:szCs w:val="22"/>
          <w:lang w:val="en-US"/>
        </w:rPr>
        <w:t>. Toronto: Ryerson University</w:t>
      </w:r>
    </w:p>
    <w:p w14:paraId="6AA99519" w14:textId="77777777" w:rsidR="00630920" w:rsidRPr="00520273" w:rsidRDefault="00630920" w:rsidP="00630920">
      <w:pPr>
        <w:spacing w:line="276" w:lineRule="auto"/>
        <w:rPr>
          <w:rFonts w:cs="Arial"/>
          <w:szCs w:val="22"/>
          <w:lang w:val="en-US"/>
        </w:rPr>
      </w:pPr>
      <w:r w:rsidRPr="00520273">
        <w:rPr>
          <w:rFonts w:cs="Arial"/>
          <w:szCs w:val="22"/>
          <w:lang w:val="en-US"/>
        </w:rPr>
        <w:t xml:space="preserve">Jura Consultants (2005) </w:t>
      </w:r>
      <w:r w:rsidRPr="002D625F">
        <w:rPr>
          <w:rFonts w:cs="Arial"/>
          <w:i/>
          <w:szCs w:val="22"/>
          <w:lang w:val="en-US"/>
        </w:rPr>
        <w:t>Bolton Museum, Library &amp; Archives Services: An Economic Valuation for Bolton Council and MLA North West</w:t>
      </w:r>
    </w:p>
    <w:p w14:paraId="06C9DE1D" w14:textId="77777777" w:rsidR="00630920" w:rsidRDefault="00630920" w:rsidP="00630920">
      <w:pPr>
        <w:spacing w:line="276" w:lineRule="auto"/>
        <w:rPr>
          <w:rFonts w:cs="Arial"/>
          <w:szCs w:val="22"/>
          <w:lang w:val="en-US"/>
        </w:rPr>
      </w:pPr>
      <w:r w:rsidRPr="00520273">
        <w:rPr>
          <w:rFonts w:cs="Arial"/>
          <w:szCs w:val="22"/>
          <w:lang w:val="en-US"/>
        </w:rPr>
        <w:t xml:space="preserve">Kloosterman, R.(2013) Cultural Amenities: Large and Small, Mainstream and Niche – A Conceptual Framework for Cultural Planning in an Age of Austerity, </w:t>
      </w:r>
      <w:r w:rsidRPr="002D625F">
        <w:rPr>
          <w:rFonts w:cs="Arial"/>
          <w:i/>
          <w:szCs w:val="22"/>
          <w:lang w:val="en-US"/>
        </w:rPr>
        <w:t>European Planning Studies</w:t>
      </w:r>
      <w:r w:rsidRPr="00520273">
        <w:rPr>
          <w:rFonts w:cs="Arial"/>
          <w:szCs w:val="22"/>
          <w:lang w:val="en-US"/>
        </w:rPr>
        <w:t>, pp.16</w:t>
      </w:r>
    </w:p>
    <w:p w14:paraId="4BD2AE18" w14:textId="26A38159" w:rsidR="008A3A4A" w:rsidRDefault="008A3A4A" w:rsidP="00630920">
      <w:pPr>
        <w:spacing w:line="276" w:lineRule="auto"/>
        <w:rPr>
          <w:szCs w:val="22"/>
        </w:rPr>
      </w:pPr>
      <w:r>
        <w:rPr>
          <w:szCs w:val="22"/>
        </w:rPr>
        <w:t xml:space="preserve">Lazzeretti et al (2009). </w:t>
      </w:r>
      <w:r w:rsidRPr="008A3A4A">
        <w:rPr>
          <w:i/>
          <w:szCs w:val="22"/>
        </w:rPr>
        <w:t>Why do creative industries cluster? An analysis of the determinants of clustering of creative industries,</w:t>
      </w:r>
      <w:r w:rsidRPr="008A3A4A">
        <w:rPr>
          <w:szCs w:val="22"/>
        </w:rPr>
        <w:t xml:space="preserve"> IERMB Working Paper in Economics, nº 09.02, April 2009</w:t>
      </w:r>
    </w:p>
    <w:p w14:paraId="55950B02" w14:textId="0D02C283" w:rsidR="00DF5062" w:rsidRDefault="00DF5062" w:rsidP="00630920">
      <w:pPr>
        <w:spacing w:line="276" w:lineRule="auto"/>
        <w:rPr>
          <w:szCs w:val="22"/>
        </w:rPr>
      </w:pPr>
      <w:r>
        <w:rPr>
          <w:szCs w:val="22"/>
        </w:rPr>
        <w:lastRenderedPageBreak/>
        <w:t xml:space="preserve">Lazeretti, L, Capone, F &amp; Boix, R (2011) Reasons for Clustering of Creative Industries in Italy and Spain. </w:t>
      </w:r>
      <w:r w:rsidRPr="00DF5062">
        <w:rPr>
          <w:i/>
          <w:szCs w:val="22"/>
        </w:rPr>
        <w:t>European Planning Studies</w:t>
      </w:r>
      <w:r>
        <w:rPr>
          <w:szCs w:val="22"/>
        </w:rPr>
        <w:t xml:space="preserve"> 2012, 1–20.</w:t>
      </w:r>
    </w:p>
    <w:p w14:paraId="095AC5F2" w14:textId="77777777" w:rsidR="00630920" w:rsidRPr="00520273" w:rsidRDefault="00630920" w:rsidP="00630920">
      <w:pPr>
        <w:spacing w:line="276" w:lineRule="auto"/>
        <w:rPr>
          <w:rFonts w:cs="Arial"/>
          <w:szCs w:val="22"/>
          <w:lang w:val="en-US"/>
        </w:rPr>
      </w:pPr>
      <w:r w:rsidRPr="00520273">
        <w:rPr>
          <w:rFonts w:cs="Arial"/>
          <w:szCs w:val="22"/>
          <w:lang w:val="en-US"/>
        </w:rPr>
        <w:t xml:space="preserve">LDA (2003) </w:t>
      </w:r>
      <w:r w:rsidRPr="002D625F">
        <w:rPr>
          <w:rFonts w:cs="Arial"/>
          <w:i/>
          <w:szCs w:val="22"/>
          <w:lang w:val="en-US"/>
        </w:rPr>
        <w:t>Creative London: Vision and Plan</w:t>
      </w:r>
      <w:r w:rsidRPr="00520273">
        <w:rPr>
          <w:rFonts w:cs="Arial"/>
          <w:szCs w:val="22"/>
          <w:lang w:val="en-US"/>
        </w:rPr>
        <w:t>. London: London Development Agency</w:t>
      </w:r>
    </w:p>
    <w:p w14:paraId="7A688C5C" w14:textId="77777777" w:rsidR="00630920" w:rsidRPr="00520273" w:rsidRDefault="00630920" w:rsidP="00630920">
      <w:pPr>
        <w:spacing w:line="276" w:lineRule="auto"/>
        <w:rPr>
          <w:rFonts w:cs="Arial"/>
          <w:szCs w:val="22"/>
          <w:lang w:val="en-US"/>
        </w:rPr>
      </w:pPr>
      <w:r w:rsidRPr="00520273">
        <w:rPr>
          <w:rFonts w:cs="Arial"/>
          <w:szCs w:val="22"/>
          <w:lang w:val="en-US"/>
        </w:rPr>
        <w:t xml:space="preserve">LIRC (Leisure Industries Research Centre) (1997) </w:t>
      </w:r>
      <w:r w:rsidRPr="002D625F">
        <w:rPr>
          <w:rFonts w:cs="Arial"/>
          <w:i/>
          <w:szCs w:val="22"/>
          <w:lang w:val="en-US"/>
        </w:rPr>
        <w:t>A review of the economic impact of sport in the United Kingdom (Final Report)</w:t>
      </w:r>
      <w:r w:rsidRPr="00520273">
        <w:rPr>
          <w:rFonts w:cs="Arial"/>
          <w:szCs w:val="22"/>
          <w:lang w:val="en-US"/>
        </w:rPr>
        <w:t>. London: The Sports Council</w:t>
      </w:r>
    </w:p>
    <w:p w14:paraId="17DD8F26" w14:textId="77777777" w:rsidR="00630920" w:rsidRPr="00520273" w:rsidRDefault="00630920" w:rsidP="00630920">
      <w:pPr>
        <w:spacing w:line="276" w:lineRule="auto"/>
        <w:rPr>
          <w:rFonts w:cs="Arial"/>
          <w:szCs w:val="22"/>
          <w:lang w:val="en-US"/>
        </w:rPr>
      </w:pPr>
      <w:r w:rsidRPr="00520273">
        <w:rPr>
          <w:rFonts w:cs="Arial"/>
          <w:szCs w:val="22"/>
          <w:lang w:val="en-US"/>
        </w:rPr>
        <w:t xml:space="preserve">Lorenzen, M. and Andersen, K.V. (2007) </w:t>
      </w:r>
      <w:r w:rsidRPr="002D625F">
        <w:rPr>
          <w:rFonts w:cs="Arial"/>
          <w:i/>
          <w:szCs w:val="22"/>
          <w:lang w:val="en-US"/>
        </w:rPr>
        <w:t>The Geography of the European Creative Class: A Rank Size Analysis</w:t>
      </w:r>
      <w:r w:rsidRPr="00520273">
        <w:rPr>
          <w:rFonts w:cs="Arial"/>
          <w:szCs w:val="22"/>
          <w:lang w:val="en-US"/>
        </w:rPr>
        <w:t xml:space="preserve">. DRUID Working Paper 07-1. </w:t>
      </w:r>
      <w:hyperlink r:id="rId40" w:history="1">
        <w:r w:rsidRPr="00520273">
          <w:rPr>
            <w:rFonts w:cs="Arial"/>
            <w:szCs w:val="22"/>
            <w:lang w:val="en-US"/>
          </w:rPr>
          <w:t>www.druid.dk</w:t>
        </w:r>
      </w:hyperlink>
    </w:p>
    <w:p w14:paraId="29C963AC" w14:textId="5C3D16E5" w:rsidR="00630920" w:rsidRDefault="00630920" w:rsidP="00630920">
      <w:pPr>
        <w:spacing w:line="276" w:lineRule="auto"/>
        <w:rPr>
          <w:rFonts w:cs="Arial"/>
          <w:szCs w:val="22"/>
          <w:lang w:val="en-US"/>
        </w:rPr>
      </w:pPr>
      <w:r w:rsidRPr="00520273">
        <w:rPr>
          <w:rFonts w:cs="Arial"/>
          <w:szCs w:val="22"/>
          <w:lang w:val="en-US"/>
        </w:rPr>
        <w:t>LSE (2012)</w:t>
      </w:r>
      <w:r w:rsidR="0037149A">
        <w:rPr>
          <w:rFonts w:cs="Arial"/>
          <w:szCs w:val="22"/>
          <w:lang w:val="en-US"/>
        </w:rPr>
        <w:t>.</w:t>
      </w:r>
      <w:r w:rsidRPr="00520273">
        <w:rPr>
          <w:rFonts w:cs="Arial"/>
          <w:szCs w:val="22"/>
          <w:lang w:val="en-US"/>
        </w:rPr>
        <w:t xml:space="preserve"> </w:t>
      </w:r>
      <w:r w:rsidRPr="002D625F">
        <w:rPr>
          <w:rFonts w:cs="Arial"/>
          <w:i/>
          <w:szCs w:val="22"/>
          <w:lang w:val="en-US"/>
        </w:rPr>
        <w:t>An assessment of the effects of conservation areas on value</w:t>
      </w:r>
      <w:r w:rsidRPr="00520273">
        <w:rPr>
          <w:rFonts w:cs="Arial"/>
          <w:szCs w:val="22"/>
          <w:lang w:val="en-US"/>
        </w:rPr>
        <w:t>. London: English Heritage</w:t>
      </w:r>
    </w:p>
    <w:p w14:paraId="33E49CDB" w14:textId="2EA43D90" w:rsidR="0037149A" w:rsidRDefault="0037149A" w:rsidP="0037149A">
      <w:pPr>
        <w:spacing w:line="276" w:lineRule="auto"/>
        <w:rPr>
          <w:szCs w:val="22"/>
        </w:rPr>
      </w:pPr>
      <w:r w:rsidRPr="0037149A">
        <w:rPr>
          <w:rStyle w:val="FootnoteReference"/>
          <w:szCs w:val="22"/>
          <w:vertAlign w:val="baseline"/>
        </w:rPr>
        <w:t>Lyons, M (2007)</w:t>
      </w:r>
      <w:r w:rsidRPr="0037149A">
        <w:rPr>
          <w:szCs w:val="22"/>
        </w:rPr>
        <w:t>.</w:t>
      </w:r>
      <w:r w:rsidRPr="0037149A">
        <w:rPr>
          <w:rStyle w:val="FootnoteReference"/>
          <w:szCs w:val="22"/>
          <w:vertAlign w:val="baseline"/>
        </w:rPr>
        <w:t xml:space="preserve"> </w:t>
      </w:r>
      <w:r w:rsidRPr="0037149A">
        <w:rPr>
          <w:rStyle w:val="FootnoteReference"/>
          <w:i/>
          <w:szCs w:val="22"/>
          <w:vertAlign w:val="baseline"/>
        </w:rPr>
        <w:t xml:space="preserve">Place-shaping: a shared ambition for the future of local government. </w:t>
      </w:r>
      <w:r w:rsidRPr="0037149A">
        <w:rPr>
          <w:rStyle w:val="FootnoteReference"/>
          <w:szCs w:val="22"/>
          <w:vertAlign w:val="baseline"/>
        </w:rPr>
        <w:t>Norwich, The Stationery Office</w:t>
      </w:r>
    </w:p>
    <w:p w14:paraId="2E01802C" w14:textId="3E056948" w:rsidR="00630920" w:rsidRPr="00520273" w:rsidRDefault="00630920" w:rsidP="00630920">
      <w:pPr>
        <w:spacing w:line="276" w:lineRule="auto"/>
        <w:rPr>
          <w:rFonts w:cs="Arial"/>
          <w:szCs w:val="22"/>
          <w:lang w:val="en-US"/>
        </w:rPr>
      </w:pPr>
      <w:r w:rsidRPr="00520273">
        <w:rPr>
          <w:rFonts w:cs="Arial"/>
          <w:szCs w:val="22"/>
          <w:lang w:val="en-US"/>
        </w:rPr>
        <w:t xml:space="preserve">Markusen, A. and Schrock, G. (2006) </w:t>
      </w:r>
      <w:r w:rsidRPr="0037149A">
        <w:rPr>
          <w:rFonts w:cs="Arial"/>
          <w:i/>
          <w:szCs w:val="22"/>
          <w:lang w:val="en-US"/>
        </w:rPr>
        <w:t>The Artistic Dividend: Urban Artistic Specialisation and Economic Development Implications</w:t>
      </w:r>
      <w:r w:rsidR="0037149A">
        <w:rPr>
          <w:rFonts w:cs="Arial"/>
          <w:i/>
          <w:szCs w:val="22"/>
          <w:lang w:val="en-US"/>
        </w:rPr>
        <w:t>.</w:t>
      </w:r>
      <w:r w:rsidRPr="00520273">
        <w:rPr>
          <w:rFonts w:cs="Arial"/>
          <w:szCs w:val="22"/>
          <w:lang w:val="en-US"/>
        </w:rPr>
        <w:t xml:space="preserve"> </w:t>
      </w:r>
      <w:r w:rsidRPr="002D625F">
        <w:rPr>
          <w:rFonts w:cs="Arial"/>
          <w:i/>
          <w:szCs w:val="22"/>
          <w:lang w:val="en-US"/>
        </w:rPr>
        <w:t>Urban Studies</w:t>
      </w:r>
      <w:r w:rsidRPr="00520273">
        <w:rPr>
          <w:rFonts w:cs="Arial"/>
          <w:szCs w:val="22"/>
          <w:lang w:val="en-US"/>
        </w:rPr>
        <w:t>, 43(10): 1661</w:t>
      </w:r>
      <w:r>
        <w:rPr>
          <w:rFonts w:cs="Arial"/>
          <w:szCs w:val="22"/>
        </w:rPr>
        <w:t>–</w:t>
      </w:r>
      <w:r w:rsidRPr="00520273">
        <w:rPr>
          <w:rFonts w:cs="Arial"/>
          <w:szCs w:val="22"/>
          <w:lang w:val="en-US"/>
        </w:rPr>
        <w:t>1686</w:t>
      </w:r>
    </w:p>
    <w:p w14:paraId="0A9EE4CA" w14:textId="494D4658" w:rsidR="00630920" w:rsidRPr="00520273" w:rsidRDefault="00630920" w:rsidP="00630920">
      <w:pPr>
        <w:spacing w:line="276" w:lineRule="auto"/>
        <w:rPr>
          <w:rFonts w:cs="Arial"/>
          <w:szCs w:val="22"/>
          <w:lang w:val="en-US"/>
        </w:rPr>
      </w:pPr>
      <w:r w:rsidRPr="00520273">
        <w:rPr>
          <w:rFonts w:cs="Arial"/>
          <w:szCs w:val="22"/>
          <w:lang w:val="en-US"/>
        </w:rPr>
        <w:t>Markusen, A., Gadwa, A., Barbour, E. (2013)</w:t>
      </w:r>
      <w:r w:rsidR="005F4DE2">
        <w:rPr>
          <w:rFonts w:cs="Arial"/>
          <w:szCs w:val="22"/>
          <w:lang w:val="en-US"/>
        </w:rPr>
        <w:t>.</w:t>
      </w:r>
      <w:r w:rsidRPr="00520273">
        <w:rPr>
          <w:rFonts w:cs="Arial"/>
          <w:szCs w:val="22"/>
          <w:lang w:val="en-US"/>
        </w:rPr>
        <w:t xml:space="preserve"> The Arts, Consumption and Innovation in Regional Development. In </w:t>
      </w:r>
      <w:r w:rsidRPr="002D625F">
        <w:rPr>
          <w:rFonts w:cs="Arial"/>
          <w:i/>
          <w:szCs w:val="22"/>
          <w:lang w:val="en-US"/>
        </w:rPr>
        <w:t>Creative Communities: Art Works in Economic Development</w:t>
      </w:r>
      <w:r w:rsidRPr="00520273">
        <w:rPr>
          <w:rFonts w:cs="Arial"/>
          <w:szCs w:val="22"/>
          <w:lang w:val="en-US"/>
        </w:rPr>
        <w:t xml:space="preserve"> (M.Rushton, ed). Washington DC: Brookings Institution</w:t>
      </w:r>
    </w:p>
    <w:p w14:paraId="0CBBD3D5" w14:textId="520FF595" w:rsidR="00630920" w:rsidRPr="00520273" w:rsidRDefault="005F4DE2" w:rsidP="00630920">
      <w:pPr>
        <w:spacing w:line="276" w:lineRule="auto"/>
        <w:rPr>
          <w:rFonts w:cs="Arial"/>
          <w:szCs w:val="22"/>
          <w:lang w:val="en-US"/>
        </w:rPr>
      </w:pPr>
      <w:r>
        <w:rPr>
          <w:rFonts w:cs="Arial"/>
          <w:szCs w:val="22"/>
          <w:lang w:val="en-US"/>
        </w:rPr>
        <w:t>Marlet, G &amp; Woerkens, C</w:t>
      </w:r>
      <w:r w:rsidR="00630920" w:rsidRPr="00520273">
        <w:rPr>
          <w:rFonts w:cs="Arial"/>
          <w:szCs w:val="22"/>
          <w:lang w:val="en-US"/>
        </w:rPr>
        <w:t xml:space="preserve"> van (2005)</w:t>
      </w:r>
      <w:r>
        <w:rPr>
          <w:rFonts w:cs="Arial"/>
          <w:szCs w:val="22"/>
          <w:lang w:val="en-US"/>
        </w:rPr>
        <w:t>.</w:t>
      </w:r>
      <w:r w:rsidR="00630920" w:rsidRPr="00520273">
        <w:rPr>
          <w:rFonts w:cs="Arial"/>
          <w:szCs w:val="22"/>
          <w:lang w:val="en-US"/>
        </w:rPr>
        <w:t xml:space="preserve"> </w:t>
      </w:r>
      <w:r w:rsidR="00630920" w:rsidRPr="002D625F">
        <w:rPr>
          <w:rFonts w:cs="Arial"/>
          <w:i/>
          <w:szCs w:val="22"/>
          <w:lang w:val="en-US"/>
        </w:rPr>
        <w:t>Tolerance, aesthetics, amenities or jobs? Dutch city attraction to the creative class</w:t>
      </w:r>
      <w:r w:rsidR="00630920" w:rsidRPr="00520273">
        <w:rPr>
          <w:rFonts w:cs="Arial"/>
          <w:szCs w:val="22"/>
          <w:lang w:val="en-US"/>
        </w:rPr>
        <w:t>. Discussion Paper Series No. 05-33, Tjalling C. Koopmans Research Institute, Utrecht</w:t>
      </w:r>
    </w:p>
    <w:p w14:paraId="1CBA3992" w14:textId="77777777" w:rsidR="00630920" w:rsidRPr="00520273" w:rsidRDefault="00630920" w:rsidP="00630920">
      <w:pPr>
        <w:spacing w:line="276" w:lineRule="auto"/>
        <w:rPr>
          <w:rFonts w:cs="Arial"/>
          <w:szCs w:val="22"/>
          <w:lang w:val="en-US"/>
        </w:rPr>
      </w:pPr>
      <w:r w:rsidRPr="00520273">
        <w:rPr>
          <w:rFonts w:cs="Arial"/>
          <w:szCs w:val="22"/>
          <w:lang w:val="en-US"/>
        </w:rPr>
        <w:t xml:space="preserve">Matarasso, F. (1999) </w:t>
      </w:r>
      <w:r w:rsidRPr="002D625F">
        <w:rPr>
          <w:rFonts w:cs="Arial"/>
          <w:i/>
          <w:szCs w:val="22"/>
          <w:lang w:val="en-US"/>
        </w:rPr>
        <w:t>Towards a Local Culture Index: Measuring the Cultural Vitality of Communities</w:t>
      </w:r>
      <w:r w:rsidRPr="00520273">
        <w:rPr>
          <w:rFonts w:cs="Arial"/>
          <w:szCs w:val="22"/>
          <w:lang w:val="en-US"/>
        </w:rPr>
        <w:t>. Stroud: Comedia</w:t>
      </w:r>
    </w:p>
    <w:p w14:paraId="2F3F4971" w14:textId="77777777" w:rsidR="00630920" w:rsidRPr="00520273" w:rsidRDefault="00630920" w:rsidP="00630920">
      <w:pPr>
        <w:spacing w:line="276" w:lineRule="auto"/>
        <w:rPr>
          <w:rFonts w:cs="Arial"/>
          <w:szCs w:val="22"/>
          <w:lang w:val="en-US"/>
        </w:rPr>
      </w:pPr>
      <w:r w:rsidRPr="00520273">
        <w:rPr>
          <w:rFonts w:cs="Arial"/>
          <w:szCs w:val="22"/>
          <w:lang w:val="en-US"/>
        </w:rPr>
        <w:t xml:space="preserve">Meijers, E. (2008) Summing Small Cities Does Not Make a Large City: Polycentric Urban Regions and the Provision of Cultural, </w:t>
      </w:r>
      <w:r w:rsidRPr="002D625F">
        <w:rPr>
          <w:rFonts w:cs="Arial"/>
          <w:i/>
          <w:szCs w:val="22"/>
          <w:lang w:val="en-US"/>
        </w:rPr>
        <w:t>Leisure and Sports Amenities Urban Studies</w:t>
      </w:r>
      <w:r w:rsidRPr="00520273">
        <w:rPr>
          <w:rFonts w:cs="Arial"/>
          <w:szCs w:val="22"/>
          <w:lang w:val="en-US"/>
        </w:rPr>
        <w:t xml:space="preserve"> 45(11), 2323</w:t>
      </w:r>
      <w:r>
        <w:rPr>
          <w:rFonts w:cs="Arial"/>
          <w:szCs w:val="22"/>
        </w:rPr>
        <w:t>–</w:t>
      </w:r>
      <w:r w:rsidRPr="00520273">
        <w:rPr>
          <w:rFonts w:cs="Arial"/>
          <w:szCs w:val="22"/>
          <w:lang w:val="en-US"/>
        </w:rPr>
        <w:t>42</w:t>
      </w:r>
    </w:p>
    <w:p w14:paraId="29F13EC2" w14:textId="77777777" w:rsidR="00630920" w:rsidRPr="00520273" w:rsidRDefault="00630920" w:rsidP="00630920">
      <w:pPr>
        <w:spacing w:line="276" w:lineRule="auto"/>
        <w:rPr>
          <w:rFonts w:cs="Arial"/>
          <w:szCs w:val="22"/>
          <w:lang w:val="en-US"/>
        </w:rPr>
      </w:pPr>
      <w:r w:rsidRPr="00520273">
        <w:rPr>
          <w:rFonts w:cs="Arial"/>
          <w:szCs w:val="22"/>
          <w:lang w:val="en-US"/>
        </w:rPr>
        <w:t xml:space="preserve">Molotoch, H. and Treskon, M. (2009) Changing Art: SoHo, Chelsea and the Dynamic Geography of Galleries in New York City, </w:t>
      </w:r>
      <w:r w:rsidRPr="002D625F">
        <w:rPr>
          <w:rFonts w:cs="Arial"/>
          <w:i/>
          <w:szCs w:val="22"/>
          <w:lang w:val="en-US"/>
        </w:rPr>
        <w:t>International Journal of Urban and Regional Research</w:t>
      </w:r>
      <w:r w:rsidRPr="00520273">
        <w:rPr>
          <w:rFonts w:cs="Arial"/>
          <w:szCs w:val="22"/>
          <w:lang w:val="en-US"/>
        </w:rPr>
        <w:t>, 33(2): 517</w:t>
      </w:r>
      <w:r>
        <w:rPr>
          <w:rFonts w:cs="Arial"/>
          <w:szCs w:val="22"/>
        </w:rPr>
        <w:t>–</w:t>
      </w:r>
      <w:r w:rsidRPr="00520273">
        <w:rPr>
          <w:rFonts w:cs="Arial"/>
          <w:szCs w:val="22"/>
          <w:lang w:val="en-US"/>
        </w:rPr>
        <w:t>541</w:t>
      </w:r>
    </w:p>
    <w:p w14:paraId="27014FA0" w14:textId="77777777" w:rsidR="00630920" w:rsidRDefault="00630920" w:rsidP="00630920">
      <w:pPr>
        <w:spacing w:line="276" w:lineRule="auto"/>
        <w:rPr>
          <w:rFonts w:cs="Arial"/>
          <w:szCs w:val="22"/>
          <w:lang w:val="en-US"/>
        </w:rPr>
      </w:pPr>
      <w:r>
        <w:rPr>
          <w:rFonts w:cs="Arial"/>
          <w:szCs w:val="22"/>
          <w:lang w:val="en-US"/>
        </w:rPr>
        <w:t xml:space="preserve">Morris, Hargreaves, McIntyre (2009) </w:t>
      </w:r>
      <w:r w:rsidRPr="009640D5">
        <w:rPr>
          <w:rFonts w:cs="Arial"/>
          <w:i/>
          <w:szCs w:val="22"/>
          <w:lang w:val="en-US"/>
        </w:rPr>
        <w:t>Cultural impact study</w:t>
      </w:r>
      <w:r>
        <w:rPr>
          <w:rFonts w:cs="Arial"/>
          <w:i/>
          <w:szCs w:val="22"/>
          <w:lang w:val="en-US"/>
        </w:rPr>
        <w:t>- the impact of the arts in Birmingham</w:t>
      </w:r>
    </w:p>
    <w:p w14:paraId="78587AF9" w14:textId="77777777" w:rsidR="00630920" w:rsidRPr="00520273" w:rsidRDefault="00630920" w:rsidP="00630920">
      <w:pPr>
        <w:spacing w:line="276" w:lineRule="auto"/>
        <w:rPr>
          <w:rFonts w:cs="Arial"/>
          <w:szCs w:val="22"/>
          <w:lang w:val="en-US"/>
        </w:rPr>
      </w:pPr>
      <w:r w:rsidRPr="00520273">
        <w:rPr>
          <w:rFonts w:cs="Arial"/>
          <w:szCs w:val="22"/>
          <w:lang w:val="en-US"/>
        </w:rPr>
        <w:t xml:space="preserve">Myerscough, J. (1988) </w:t>
      </w:r>
      <w:r w:rsidRPr="002D625F">
        <w:rPr>
          <w:rFonts w:cs="Arial"/>
          <w:i/>
          <w:szCs w:val="22"/>
          <w:lang w:val="en-US"/>
        </w:rPr>
        <w:t>The Economic Importance of the Arts in GB</w:t>
      </w:r>
      <w:r w:rsidRPr="00520273">
        <w:rPr>
          <w:rFonts w:cs="Arial"/>
          <w:szCs w:val="22"/>
          <w:lang w:val="en-US"/>
        </w:rPr>
        <w:t>, Policy Studies Institute, London</w:t>
      </w:r>
    </w:p>
    <w:p w14:paraId="75729817" w14:textId="77777777" w:rsidR="00630920" w:rsidRPr="00520273" w:rsidRDefault="00630920" w:rsidP="00630920">
      <w:pPr>
        <w:spacing w:line="276" w:lineRule="auto"/>
        <w:rPr>
          <w:rFonts w:cs="Arial"/>
          <w:szCs w:val="22"/>
          <w:lang w:val="en-US"/>
        </w:rPr>
      </w:pPr>
      <w:r w:rsidRPr="00520273">
        <w:rPr>
          <w:rFonts w:cs="Arial"/>
          <w:szCs w:val="22"/>
          <w:lang w:val="en-US"/>
        </w:rPr>
        <w:t xml:space="preserve">NEA (2010) </w:t>
      </w:r>
      <w:r w:rsidRPr="002D625F">
        <w:rPr>
          <w:rFonts w:cs="Arial"/>
          <w:i/>
          <w:szCs w:val="22"/>
          <w:lang w:val="en-US"/>
        </w:rPr>
        <w:t>Economic Analysis of Cultural Services</w:t>
      </w:r>
      <w:r w:rsidRPr="00520273">
        <w:rPr>
          <w:rFonts w:cs="Arial"/>
          <w:szCs w:val="22"/>
          <w:lang w:val="en-US"/>
        </w:rPr>
        <w:t xml:space="preserve">. Executive Summary, December </w:t>
      </w:r>
    </w:p>
    <w:p w14:paraId="4841B173" w14:textId="77777777" w:rsidR="00630920" w:rsidRPr="00520273" w:rsidRDefault="00630920" w:rsidP="00630920">
      <w:pPr>
        <w:spacing w:line="276" w:lineRule="auto"/>
        <w:rPr>
          <w:rFonts w:cs="Arial"/>
          <w:szCs w:val="22"/>
          <w:lang w:val="en-US"/>
        </w:rPr>
      </w:pPr>
      <w:r w:rsidRPr="00520273">
        <w:rPr>
          <w:rFonts w:cs="Arial"/>
          <w:szCs w:val="22"/>
          <w:lang w:val="en-US"/>
        </w:rPr>
        <w:t xml:space="preserve">NEA (2011a) </w:t>
      </w:r>
      <w:r w:rsidRPr="002D625F">
        <w:rPr>
          <w:rFonts w:cs="Arial"/>
          <w:i/>
          <w:szCs w:val="22"/>
          <w:lang w:val="en-US"/>
        </w:rPr>
        <w:t>Economic Analysis of Cultural Services, Executive Summary; Final Report</w:t>
      </w:r>
      <w:r w:rsidRPr="00520273">
        <w:rPr>
          <w:rFonts w:cs="Arial"/>
          <w:szCs w:val="22"/>
          <w:lang w:val="en-US"/>
        </w:rPr>
        <w:t>, Mourato et al.</w:t>
      </w:r>
    </w:p>
    <w:p w14:paraId="1B4175CD" w14:textId="77777777" w:rsidR="00630920" w:rsidRPr="00520273" w:rsidRDefault="00630920" w:rsidP="00630920">
      <w:pPr>
        <w:spacing w:line="276" w:lineRule="auto"/>
        <w:rPr>
          <w:rFonts w:cs="Arial"/>
          <w:szCs w:val="22"/>
          <w:lang w:val="en-US"/>
        </w:rPr>
      </w:pPr>
      <w:r w:rsidRPr="00520273">
        <w:rPr>
          <w:rFonts w:cs="Arial"/>
          <w:szCs w:val="22"/>
          <w:lang w:val="en-US"/>
        </w:rPr>
        <w:t xml:space="preserve">NEA (2011b) </w:t>
      </w:r>
      <w:r w:rsidRPr="002D625F">
        <w:rPr>
          <w:rFonts w:cs="Arial"/>
          <w:i/>
          <w:szCs w:val="22"/>
          <w:lang w:val="en-US"/>
        </w:rPr>
        <w:t>National Ecosystems Assessment</w:t>
      </w:r>
      <w:r w:rsidRPr="00520273">
        <w:rPr>
          <w:rFonts w:cs="Arial"/>
          <w:szCs w:val="22"/>
          <w:lang w:val="en-US"/>
        </w:rPr>
        <w:t>. London, DEFRA</w:t>
      </w:r>
    </w:p>
    <w:p w14:paraId="3950F7F7" w14:textId="77777777" w:rsidR="00630920" w:rsidRPr="00520273" w:rsidRDefault="00630920" w:rsidP="00630920">
      <w:pPr>
        <w:spacing w:line="276" w:lineRule="auto"/>
        <w:rPr>
          <w:rFonts w:cs="Arial"/>
          <w:szCs w:val="22"/>
          <w:lang w:val="en-US"/>
        </w:rPr>
      </w:pPr>
      <w:r w:rsidRPr="00520273">
        <w:rPr>
          <w:rFonts w:cs="Arial"/>
          <w:szCs w:val="22"/>
          <w:lang w:val="en-US"/>
        </w:rPr>
        <w:t xml:space="preserve">Noonan, D. (2003) Contingent Valuation and Cultural Resources: A Meta-Analytic Review of the Literature, </w:t>
      </w:r>
      <w:r w:rsidRPr="002D625F">
        <w:rPr>
          <w:rFonts w:cs="Arial"/>
          <w:i/>
          <w:szCs w:val="22"/>
          <w:lang w:val="en-US"/>
        </w:rPr>
        <w:t>Journal of Cultural Economics</w:t>
      </w:r>
      <w:r w:rsidRPr="00520273">
        <w:rPr>
          <w:rFonts w:cs="Arial"/>
          <w:szCs w:val="22"/>
          <w:lang w:val="en-US"/>
        </w:rPr>
        <w:t xml:space="preserve"> 27: 159</w:t>
      </w:r>
      <w:r>
        <w:rPr>
          <w:rFonts w:cs="Arial"/>
          <w:szCs w:val="22"/>
        </w:rPr>
        <w:t>–</w:t>
      </w:r>
      <w:r w:rsidRPr="00520273">
        <w:rPr>
          <w:rFonts w:cs="Arial"/>
          <w:szCs w:val="22"/>
          <w:lang w:val="en-US"/>
        </w:rPr>
        <w:t>76</w:t>
      </w:r>
    </w:p>
    <w:p w14:paraId="724584EF" w14:textId="77777777" w:rsidR="00630920" w:rsidRPr="00520273" w:rsidRDefault="00630920" w:rsidP="00630920">
      <w:pPr>
        <w:spacing w:line="276" w:lineRule="auto"/>
        <w:rPr>
          <w:rFonts w:cs="Arial"/>
          <w:szCs w:val="22"/>
          <w:lang w:val="en-US"/>
        </w:rPr>
      </w:pPr>
      <w:r w:rsidRPr="00520273">
        <w:rPr>
          <w:rFonts w:cs="Arial"/>
          <w:szCs w:val="22"/>
          <w:lang w:val="en-US"/>
        </w:rPr>
        <w:lastRenderedPageBreak/>
        <w:t xml:space="preserve">Noonan, D. (2013) How US Cultural Districts Shape Neighbourhoods, </w:t>
      </w:r>
      <w:r w:rsidRPr="002D625F">
        <w:rPr>
          <w:rFonts w:cs="Arial"/>
          <w:i/>
          <w:szCs w:val="22"/>
          <w:lang w:val="en-US"/>
        </w:rPr>
        <w:t>Cultural Trends</w:t>
      </w:r>
      <w:r w:rsidRPr="00520273">
        <w:rPr>
          <w:rFonts w:cs="Arial"/>
          <w:szCs w:val="22"/>
          <w:lang w:val="en-US"/>
        </w:rPr>
        <w:t>, 22(3-4): 203</w:t>
      </w:r>
      <w:r>
        <w:rPr>
          <w:rFonts w:cs="Arial"/>
          <w:szCs w:val="22"/>
        </w:rPr>
        <w:t>–</w:t>
      </w:r>
      <w:r w:rsidRPr="00520273">
        <w:rPr>
          <w:rFonts w:cs="Arial"/>
          <w:szCs w:val="22"/>
          <w:lang w:val="en-US"/>
        </w:rPr>
        <w:t>212</w:t>
      </w:r>
    </w:p>
    <w:p w14:paraId="7009CC97" w14:textId="77777777" w:rsidR="00630920" w:rsidRPr="00520273" w:rsidRDefault="00630920" w:rsidP="00630920">
      <w:pPr>
        <w:spacing w:line="276" w:lineRule="auto"/>
        <w:rPr>
          <w:rFonts w:cs="Arial"/>
          <w:szCs w:val="22"/>
          <w:lang w:val="en-US"/>
        </w:rPr>
      </w:pPr>
      <w:r w:rsidRPr="00520273">
        <w:rPr>
          <w:rFonts w:cs="Arial"/>
          <w:szCs w:val="22"/>
          <w:lang w:val="en-US"/>
        </w:rPr>
        <w:t xml:space="preserve">Oxford Economics (2013) </w:t>
      </w:r>
      <w:r w:rsidRPr="002D625F">
        <w:rPr>
          <w:rFonts w:cs="Arial"/>
          <w:i/>
          <w:szCs w:val="22"/>
          <w:lang w:val="en-US"/>
        </w:rPr>
        <w:t>An assessment of the economic impact of heritage buildings</w:t>
      </w:r>
      <w:r w:rsidRPr="00520273">
        <w:rPr>
          <w:rFonts w:cs="Arial"/>
          <w:szCs w:val="22"/>
          <w:lang w:val="en-US"/>
        </w:rPr>
        <w:t>, Heritage Lottery Fund</w:t>
      </w:r>
    </w:p>
    <w:p w14:paraId="42FAC227" w14:textId="3FEA5E8F" w:rsidR="00630920" w:rsidRDefault="005F4DE2" w:rsidP="00630920">
      <w:pPr>
        <w:spacing w:line="276" w:lineRule="auto"/>
        <w:rPr>
          <w:rFonts w:cs="Arial"/>
          <w:szCs w:val="22"/>
          <w:lang w:val="en-US"/>
        </w:rPr>
      </w:pPr>
      <w:r>
        <w:rPr>
          <w:rFonts w:cs="Arial"/>
          <w:szCs w:val="22"/>
          <w:lang w:val="en-US"/>
        </w:rPr>
        <w:t>Pedroni,, P &amp; Sheppard, S</w:t>
      </w:r>
      <w:r w:rsidR="00630920" w:rsidRPr="00520273">
        <w:rPr>
          <w:rFonts w:cs="Arial"/>
          <w:szCs w:val="22"/>
          <w:lang w:val="en-US"/>
        </w:rPr>
        <w:t xml:space="preserve"> (2013)</w:t>
      </w:r>
      <w:r>
        <w:rPr>
          <w:rFonts w:cs="Arial"/>
          <w:szCs w:val="22"/>
          <w:lang w:val="en-US"/>
        </w:rPr>
        <w:t>.</w:t>
      </w:r>
      <w:r w:rsidR="00630920" w:rsidRPr="00520273">
        <w:rPr>
          <w:rFonts w:cs="Arial"/>
          <w:szCs w:val="22"/>
          <w:lang w:val="en-US"/>
        </w:rPr>
        <w:t xml:space="preserve"> The Economic Consequences of Cultural Spending, </w:t>
      </w:r>
      <w:r w:rsidR="00DF5062">
        <w:rPr>
          <w:rFonts w:cs="Arial"/>
          <w:szCs w:val="22"/>
          <w:lang w:val="en-US"/>
        </w:rPr>
        <w:t>i</w:t>
      </w:r>
      <w:r w:rsidR="00DF5062" w:rsidRPr="00520273">
        <w:rPr>
          <w:rFonts w:cs="Arial"/>
          <w:szCs w:val="22"/>
          <w:lang w:val="en-US"/>
        </w:rPr>
        <w:t xml:space="preserve">n </w:t>
      </w:r>
      <w:r w:rsidR="00630920" w:rsidRPr="002D625F">
        <w:rPr>
          <w:rFonts w:cs="Arial"/>
          <w:i/>
          <w:szCs w:val="22"/>
          <w:lang w:val="en-US"/>
        </w:rPr>
        <w:t>Creative Communities: Art Works in Economic Development</w:t>
      </w:r>
      <w:r w:rsidR="00630920" w:rsidRPr="00520273">
        <w:rPr>
          <w:rFonts w:cs="Arial"/>
          <w:szCs w:val="22"/>
          <w:lang w:val="en-US"/>
        </w:rPr>
        <w:t xml:space="preserve"> (M.Rushton, ed). Washington DC: Brookings Institution</w:t>
      </w:r>
    </w:p>
    <w:p w14:paraId="1CDCB05F" w14:textId="72B673D4" w:rsidR="005F4DE2" w:rsidRPr="005F4DE2" w:rsidRDefault="005F4DE2" w:rsidP="00630920">
      <w:pPr>
        <w:spacing w:line="276" w:lineRule="auto"/>
        <w:rPr>
          <w:rFonts w:cs="Arial"/>
          <w:szCs w:val="22"/>
          <w:lang w:val="en-US"/>
        </w:rPr>
      </w:pPr>
      <w:r>
        <w:rPr>
          <w:szCs w:val="22"/>
        </w:rPr>
        <w:t>Pedroni, P et al</w:t>
      </w:r>
      <w:r w:rsidRPr="005F4DE2">
        <w:rPr>
          <w:szCs w:val="22"/>
        </w:rPr>
        <w:t xml:space="preserve"> (2012). </w:t>
      </w:r>
      <w:r w:rsidRPr="005F4DE2">
        <w:rPr>
          <w:i/>
          <w:szCs w:val="22"/>
        </w:rPr>
        <w:t>Culture shocks and consequences: the connection between the arts and urban economic growth</w:t>
      </w:r>
      <w:r w:rsidRPr="005F4DE2">
        <w:rPr>
          <w:szCs w:val="22"/>
        </w:rPr>
        <w:t>, Department of Economics Working Papers 2012-04, Department of Economics, Williams College.</w:t>
      </w:r>
    </w:p>
    <w:p w14:paraId="28F73167" w14:textId="77777777" w:rsidR="00630920" w:rsidRPr="00520273" w:rsidRDefault="00630920" w:rsidP="00630920">
      <w:pPr>
        <w:spacing w:line="276" w:lineRule="auto"/>
        <w:rPr>
          <w:rFonts w:cs="Arial"/>
          <w:szCs w:val="22"/>
          <w:lang w:val="en-US"/>
        </w:rPr>
      </w:pPr>
      <w:r w:rsidRPr="00520273">
        <w:rPr>
          <w:rFonts w:cs="Arial"/>
          <w:szCs w:val="22"/>
          <w:lang w:val="en-US"/>
        </w:rPr>
        <w:t xml:space="preserve">Plieninger, T., Dijks, S., Oteros-Rozas, E., &amp; Bieling, C. (2013) Assessing, mapping, and quantifying cultural ecosystem services at community level, </w:t>
      </w:r>
      <w:r w:rsidRPr="002D625F">
        <w:rPr>
          <w:rFonts w:cs="Arial"/>
          <w:i/>
          <w:szCs w:val="22"/>
          <w:lang w:val="en-US"/>
        </w:rPr>
        <w:t>Land Use Policy</w:t>
      </w:r>
      <w:r w:rsidRPr="00520273">
        <w:rPr>
          <w:rFonts w:cs="Arial"/>
          <w:szCs w:val="22"/>
          <w:lang w:val="en-US"/>
        </w:rPr>
        <w:t>, 33, 118–129</w:t>
      </w:r>
    </w:p>
    <w:p w14:paraId="2E2F1117" w14:textId="1D909906" w:rsidR="00630920" w:rsidRDefault="00630920" w:rsidP="00630920">
      <w:pPr>
        <w:spacing w:line="276" w:lineRule="auto"/>
        <w:rPr>
          <w:rFonts w:cs="Arial"/>
          <w:szCs w:val="22"/>
          <w:lang w:val="en-US"/>
        </w:rPr>
      </w:pPr>
      <w:r w:rsidRPr="00520273">
        <w:rPr>
          <w:rFonts w:cs="Arial"/>
          <w:szCs w:val="22"/>
          <w:lang w:val="en-US"/>
        </w:rPr>
        <w:t xml:space="preserve">Potter, A. &amp; Watts, H. (2012) Revisiting Marshall's Agglomeration Economies: Technological Relatedness and the Evolution of the Sheffield Metals Cluster, </w:t>
      </w:r>
      <w:r w:rsidRPr="002D625F">
        <w:rPr>
          <w:rFonts w:cs="Arial"/>
          <w:i/>
          <w:szCs w:val="22"/>
          <w:lang w:val="en-US"/>
        </w:rPr>
        <w:t>Regional Studies</w:t>
      </w:r>
      <w:r w:rsidR="0031388C">
        <w:rPr>
          <w:rFonts w:cs="Arial"/>
          <w:szCs w:val="22"/>
          <w:lang w:val="en-US"/>
        </w:rPr>
        <w:t>, 1-21</w:t>
      </w:r>
    </w:p>
    <w:p w14:paraId="4F4B37B9" w14:textId="485C0D2E" w:rsidR="0031388C" w:rsidRPr="0031388C" w:rsidRDefault="0031388C" w:rsidP="00630920">
      <w:pPr>
        <w:spacing w:line="276" w:lineRule="auto"/>
        <w:rPr>
          <w:rFonts w:cs="Arial"/>
          <w:szCs w:val="22"/>
          <w:lang w:val="en-US"/>
        </w:rPr>
      </w:pPr>
      <w:r w:rsidRPr="0031388C">
        <w:rPr>
          <w:rStyle w:val="FootnoteReference"/>
          <w:szCs w:val="22"/>
          <w:vertAlign w:val="baseline"/>
        </w:rPr>
        <w:t>Reeves, M (2002)</w:t>
      </w:r>
      <w:r>
        <w:rPr>
          <w:szCs w:val="22"/>
        </w:rPr>
        <w:t>.</w:t>
      </w:r>
      <w:r w:rsidRPr="0031388C">
        <w:rPr>
          <w:rStyle w:val="FootnoteReference"/>
          <w:szCs w:val="22"/>
          <w:vertAlign w:val="baseline"/>
        </w:rPr>
        <w:t xml:space="preserve"> </w:t>
      </w:r>
      <w:r w:rsidRPr="0031388C">
        <w:rPr>
          <w:rStyle w:val="FootnoteReference"/>
          <w:i/>
          <w:szCs w:val="22"/>
          <w:vertAlign w:val="baseline"/>
        </w:rPr>
        <w:t>Measuring the economic and social impact of the arts: a review</w:t>
      </w:r>
      <w:r w:rsidRPr="0031388C">
        <w:rPr>
          <w:rStyle w:val="FootnoteReference"/>
          <w:szCs w:val="22"/>
          <w:vertAlign w:val="baseline"/>
        </w:rPr>
        <w:t>. London, Arts Council England.</w:t>
      </w:r>
    </w:p>
    <w:p w14:paraId="5EAF5C92" w14:textId="512BEE21" w:rsidR="00630920" w:rsidRPr="00520273" w:rsidRDefault="00FD05B3" w:rsidP="00630920">
      <w:pPr>
        <w:spacing w:line="276" w:lineRule="auto"/>
        <w:rPr>
          <w:rFonts w:cs="Arial"/>
          <w:szCs w:val="22"/>
          <w:lang w:val="en-US"/>
        </w:rPr>
      </w:pPr>
      <w:r>
        <w:rPr>
          <w:rFonts w:cs="Arial"/>
          <w:szCs w:val="22"/>
          <w:lang w:val="en-US"/>
        </w:rPr>
        <w:t xml:space="preserve">Roberts, M &amp; Gornostaeva, G </w:t>
      </w:r>
      <w:r w:rsidR="00630920" w:rsidRPr="00520273">
        <w:rPr>
          <w:rFonts w:cs="Arial"/>
          <w:szCs w:val="22"/>
          <w:lang w:val="en-US"/>
        </w:rPr>
        <w:t>(2007)</w:t>
      </w:r>
      <w:r>
        <w:rPr>
          <w:rFonts w:cs="Arial"/>
          <w:szCs w:val="22"/>
          <w:lang w:val="en-US"/>
        </w:rPr>
        <w:t>.</w:t>
      </w:r>
      <w:r w:rsidR="00630920" w:rsidRPr="00520273">
        <w:rPr>
          <w:rFonts w:cs="Arial"/>
          <w:szCs w:val="22"/>
          <w:lang w:val="en-US"/>
        </w:rPr>
        <w:t xml:space="preserve"> </w:t>
      </w:r>
      <w:r w:rsidR="00630920" w:rsidRPr="00FD05B3">
        <w:rPr>
          <w:rFonts w:cs="Arial"/>
          <w:i/>
          <w:szCs w:val="22"/>
          <w:lang w:val="en-US"/>
        </w:rPr>
        <w:t>The night-time economy and sustainable town centres: Dilemmas for local government,</w:t>
      </w:r>
      <w:r>
        <w:rPr>
          <w:rFonts w:cs="Arial"/>
          <w:szCs w:val="22"/>
          <w:lang w:val="en-US"/>
        </w:rPr>
        <w:t xml:space="preserve"> </w:t>
      </w:r>
      <w:r w:rsidR="00630920" w:rsidRPr="00FD05B3">
        <w:rPr>
          <w:rFonts w:cs="Arial"/>
          <w:szCs w:val="22"/>
          <w:lang w:val="en-US"/>
        </w:rPr>
        <w:t xml:space="preserve">Journal of Sustainable Development and Planning, </w:t>
      </w:r>
      <w:r w:rsidR="00630920" w:rsidRPr="00520273">
        <w:rPr>
          <w:rFonts w:cs="Arial"/>
          <w:szCs w:val="22"/>
          <w:lang w:val="en-US"/>
        </w:rPr>
        <w:t>2(2),134</w:t>
      </w:r>
      <w:r w:rsidR="00630920">
        <w:rPr>
          <w:rFonts w:cs="Arial"/>
          <w:szCs w:val="22"/>
        </w:rPr>
        <w:t>–</w:t>
      </w:r>
      <w:r w:rsidR="00630920" w:rsidRPr="00520273">
        <w:rPr>
          <w:rFonts w:cs="Arial"/>
          <w:szCs w:val="22"/>
          <w:lang w:val="en-US"/>
        </w:rPr>
        <w:t xml:space="preserve"> 52.</w:t>
      </w:r>
    </w:p>
    <w:p w14:paraId="087F363E" w14:textId="32A86698" w:rsidR="00630920" w:rsidRDefault="00FD05B3" w:rsidP="00630920">
      <w:pPr>
        <w:spacing w:line="276" w:lineRule="auto"/>
        <w:rPr>
          <w:rFonts w:cs="Arial"/>
          <w:szCs w:val="22"/>
          <w:lang w:val="en-US"/>
        </w:rPr>
      </w:pPr>
      <w:r>
        <w:rPr>
          <w:rFonts w:cs="Arial"/>
          <w:szCs w:val="22"/>
          <w:lang w:val="en-US"/>
        </w:rPr>
        <w:t>Robinson, K</w:t>
      </w:r>
      <w:r w:rsidR="00630920">
        <w:rPr>
          <w:rFonts w:cs="Arial"/>
          <w:szCs w:val="22"/>
          <w:lang w:val="en-US"/>
        </w:rPr>
        <w:t xml:space="preserve"> &amp; NACCCE (1999)</w:t>
      </w:r>
      <w:r>
        <w:rPr>
          <w:rFonts w:cs="Arial"/>
          <w:szCs w:val="22"/>
          <w:lang w:val="en-US"/>
        </w:rPr>
        <w:t>.</w:t>
      </w:r>
      <w:r w:rsidR="00630920">
        <w:rPr>
          <w:rFonts w:cs="Arial"/>
          <w:szCs w:val="22"/>
          <w:lang w:val="en-US"/>
        </w:rPr>
        <w:t xml:space="preserve"> </w:t>
      </w:r>
      <w:r w:rsidR="00630920" w:rsidRPr="009640D5">
        <w:rPr>
          <w:rFonts w:cs="Arial"/>
          <w:i/>
          <w:szCs w:val="22"/>
          <w:lang w:val="en-US"/>
        </w:rPr>
        <w:t>All our futures: creativity, culture and education</w:t>
      </w:r>
    </w:p>
    <w:p w14:paraId="13509CE7" w14:textId="6695AABD" w:rsidR="00630920" w:rsidRPr="00520273" w:rsidRDefault="00FD05B3" w:rsidP="00630920">
      <w:pPr>
        <w:spacing w:line="276" w:lineRule="auto"/>
        <w:rPr>
          <w:rFonts w:cs="Arial"/>
          <w:szCs w:val="22"/>
          <w:lang w:val="en-US"/>
        </w:rPr>
      </w:pPr>
      <w:r>
        <w:rPr>
          <w:rFonts w:cs="Arial"/>
          <w:szCs w:val="22"/>
          <w:lang w:val="en-US"/>
        </w:rPr>
        <w:t>Roodhouse, S</w:t>
      </w:r>
      <w:r w:rsidR="00630920" w:rsidRPr="00520273">
        <w:rPr>
          <w:rFonts w:cs="Arial"/>
          <w:szCs w:val="22"/>
          <w:lang w:val="en-US"/>
        </w:rPr>
        <w:t xml:space="preserve"> (ed) (2010)</w:t>
      </w:r>
      <w:r>
        <w:rPr>
          <w:rFonts w:cs="Arial"/>
          <w:szCs w:val="22"/>
          <w:lang w:val="en-US"/>
        </w:rPr>
        <w:t>.</w:t>
      </w:r>
      <w:r w:rsidR="00630920" w:rsidRPr="00520273">
        <w:rPr>
          <w:rFonts w:cs="Arial"/>
          <w:szCs w:val="22"/>
          <w:lang w:val="en-US"/>
        </w:rPr>
        <w:t xml:space="preserve"> </w:t>
      </w:r>
      <w:r w:rsidR="00630920" w:rsidRPr="002D625F">
        <w:rPr>
          <w:rFonts w:cs="Arial"/>
          <w:i/>
          <w:szCs w:val="22"/>
          <w:lang w:val="en-US"/>
        </w:rPr>
        <w:t>Cultural Quarters, Principles &amp; Practice</w:t>
      </w:r>
      <w:r w:rsidR="00630920" w:rsidRPr="00520273">
        <w:rPr>
          <w:rFonts w:cs="Arial"/>
          <w:szCs w:val="22"/>
          <w:lang w:val="en-US"/>
        </w:rPr>
        <w:t>. Bristol: Intellect</w:t>
      </w:r>
    </w:p>
    <w:p w14:paraId="169FFC1F" w14:textId="18E0EE4C" w:rsidR="00630920" w:rsidRPr="00520273" w:rsidRDefault="00FD05B3" w:rsidP="00630920">
      <w:pPr>
        <w:spacing w:line="276" w:lineRule="auto"/>
        <w:rPr>
          <w:rFonts w:cs="Arial"/>
          <w:szCs w:val="22"/>
          <w:lang w:val="en-US"/>
        </w:rPr>
      </w:pPr>
      <w:r>
        <w:rPr>
          <w:rFonts w:cs="Arial"/>
          <w:szCs w:val="22"/>
          <w:lang w:val="en-US"/>
        </w:rPr>
        <w:t>Root-Bernstein, R</w:t>
      </w:r>
      <w:r w:rsidR="00630920" w:rsidRPr="00520273">
        <w:rPr>
          <w:rFonts w:cs="Arial"/>
          <w:szCs w:val="22"/>
          <w:lang w:val="en-US"/>
        </w:rPr>
        <w:t xml:space="preserve"> (2013)</w:t>
      </w:r>
      <w:r>
        <w:rPr>
          <w:rFonts w:cs="Arial"/>
          <w:szCs w:val="22"/>
          <w:lang w:val="en-US"/>
        </w:rPr>
        <w:t>.</w:t>
      </w:r>
      <w:r w:rsidR="00630920" w:rsidRPr="00520273">
        <w:rPr>
          <w:rFonts w:cs="Arial"/>
          <w:szCs w:val="22"/>
          <w:lang w:val="en-US"/>
        </w:rPr>
        <w:t xml:space="preserve"> A Network Approach to Understanding the Creative Knowledge Economy, In </w:t>
      </w:r>
      <w:r w:rsidR="00630920" w:rsidRPr="002D625F">
        <w:rPr>
          <w:rFonts w:cs="Arial"/>
          <w:i/>
          <w:szCs w:val="22"/>
          <w:lang w:val="en-US"/>
        </w:rPr>
        <w:t>Creative Communities: Art Works in Economic Development</w:t>
      </w:r>
      <w:r w:rsidR="00630920" w:rsidRPr="00520273">
        <w:rPr>
          <w:rFonts w:cs="Arial"/>
          <w:szCs w:val="22"/>
          <w:lang w:val="en-US"/>
        </w:rPr>
        <w:t xml:space="preserve"> (M.Rushton, ed). Washington DC: Brookings Institution</w:t>
      </w:r>
    </w:p>
    <w:p w14:paraId="1297FF91" w14:textId="46FD9575" w:rsidR="00630920" w:rsidRPr="00520273" w:rsidRDefault="00630920" w:rsidP="00630920">
      <w:pPr>
        <w:spacing w:line="276" w:lineRule="auto"/>
        <w:rPr>
          <w:rFonts w:cs="Arial"/>
          <w:szCs w:val="22"/>
          <w:lang w:val="en-US"/>
        </w:rPr>
      </w:pPr>
      <w:r w:rsidRPr="00520273">
        <w:rPr>
          <w:rFonts w:cs="Arial"/>
          <w:szCs w:val="22"/>
          <w:lang w:val="en-US"/>
        </w:rPr>
        <w:t>Scotland Government (2011)</w:t>
      </w:r>
      <w:r w:rsidR="00FD05B3">
        <w:rPr>
          <w:rFonts w:cs="Arial"/>
          <w:szCs w:val="22"/>
          <w:lang w:val="en-US"/>
        </w:rPr>
        <w:t>.</w:t>
      </w:r>
      <w:r w:rsidRPr="00520273">
        <w:rPr>
          <w:rFonts w:cs="Arial"/>
          <w:szCs w:val="22"/>
          <w:lang w:val="en-US"/>
        </w:rPr>
        <w:t xml:space="preserve"> </w:t>
      </w:r>
      <w:r w:rsidRPr="002D625F">
        <w:rPr>
          <w:rFonts w:cs="Arial"/>
          <w:i/>
          <w:szCs w:val="22"/>
          <w:lang w:val="en-US"/>
        </w:rPr>
        <w:t>Scotland’s Cities: Delivering for Scotland</w:t>
      </w:r>
      <w:r w:rsidRPr="00520273">
        <w:rPr>
          <w:rFonts w:cs="Arial"/>
          <w:szCs w:val="22"/>
          <w:lang w:val="en-US"/>
        </w:rPr>
        <w:t>, Edinburgh</w:t>
      </w:r>
    </w:p>
    <w:p w14:paraId="6C340A08" w14:textId="441A7B6B" w:rsidR="00630920" w:rsidRPr="00520273" w:rsidRDefault="00FD05B3" w:rsidP="00630920">
      <w:pPr>
        <w:spacing w:line="276" w:lineRule="auto"/>
        <w:rPr>
          <w:rFonts w:cs="Arial"/>
          <w:szCs w:val="22"/>
          <w:lang w:val="en-US"/>
        </w:rPr>
      </w:pPr>
      <w:r>
        <w:rPr>
          <w:rFonts w:cs="Arial"/>
          <w:szCs w:val="22"/>
          <w:lang w:val="en-US"/>
        </w:rPr>
        <w:t>Scott, A</w:t>
      </w:r>
      <w:r w:rsidR="00630920" w:rsidRPr="00520273">
        <w:rPr>
          <w:rFonts w:cs="Arial"/>
          <w:szCs w:val="22"/>
          <w:lang w:val="en-US"/>
        </w:rPr>
        <w:t xml:space="preserve"> (2000)</w:t>
      </w:r>
      <w:r>
        <w:rPr>
          <w:rFonts w:cs="Arial"/>
          <w:szCs w:val="22"/>
          <w:lang w:val="en-US"/>
        </w:rPr>
        <w:t>.</w:t>
      </w:r>
      <w:r w:rsidR="00630920" w:rsidRPr="00520273">
        <w:rPr>
          <w:rFonts w:cs="Arial"/>
          <w:szCs w:val="22"/>
          <w:lang w:val="en-US"/>
        </w:rPr>
        <w:t xml:space="preserve"> </w:t>
      </w:r>
      <w:r w:rsidR="00630920" w:rsidRPr="002D625F">
        <w:rPr>
          <w:rFonts w:cs="Arial"/>
          <w:i/>
          <w:szCs w:val="22"/>
          <w:lang w:val="en-US"/>
        </w:rPr>
        <w:t>The Cultural Economy of Cities</w:t>
      </w:r>
      <w:r w:rsidR="00630920" w:rsidRPr="00520273">
        <w:rPr>
          <w:rFonts w:cs="Arial"/>
          <w:szCs w:val="22"/>
          <w:lang w:val="en-US"/>
        </w:rPr>
        <w:t>. New York, Sage</w:t>
      </w:r>
    </w:p>
    <w:p w14:paraId="2371C321" w14:textId="0F4BB0D9" w:rsidR="00630920" w:rsidRPr="00520273" w:rsidRDefault="00FD05B3" w:rsidP="00630920">
      <w:pPr>
        <w:spacing w:line="276" w:lineRule="auto"/>
        <w:rPr>
          <w:rFonts w:cs="Arial"/>
          <w:szCs w:val="22"/>
          <w:lang w:val="en-US"/>
        </w:rPr>
      </w:pPr>
      <w:r>
        <w:rPr>
          <w:rFonts w:cs="Arial"/>
          <w:szCs w:val="22"/>
          <w:lang w:val="en-US"/>
        </w:rPr>
        <w:t>Scott, A</w:t>
      </w:r>
      <w:r w:rsidR="00630920" w:rsidRPr="00520273">
        <w:rPr>
          <w:rFonts w:cs="Arial"/>
          <w:szCs w:val="22"/>
          <w:lang w:val="en-US"/>
        </w:rPr>
        <w:t xml:space="preserve"> (2014)</w:t>
      </w:r>
      <w:r>
        <w:rPr>
          <w:rFonts w:cs="Arial"/>
          <w:szCs w:val="22"/>
          <w:lang w:val="en-US"/>
        </w:rPr>
        <w:t>.</w:t>
      </w:r>
      <w:r w:rsidR="00630920" w:rsidRPr="00520273">
        <w:rPr>
          <w:rFonts w:cs="Arial"/>
          <w:szCs w:val="22"/>
          <w:lang w:val="en-US"/>
        </w:rPr>
        <w:t xml:space="preserve"> </w:t>
      </w:r>
      <w:r w:rsidR="00630920" w:rsidRPr="00FD05B3">
        <w:rPr>
          <w:rFonts w:cs="Arial"/>
          <w:i/>
          <w:szCs w:val="22"/>
          <w:lang w:val="en-US"/>
        </w:rPr>
        <w:t>Beyond the Creative City: Cognitive-Cultural Capitalism and the New Urbanism</w:t>
      </w:r>
      <w:r w:rsidR="00630920" w:rsidRPr="00520273">
        <w:rPr>
          <w:rFonts w:cs="Arial"/>
          <w:szCs w:val="22"/>
          <w:lang w:val="en-US"/>
        </w:rPr>
        <w:t>,</w:t>
      </w:r>
      <w:r w:rsidR="00630920" w:rsidRPr="00FD05B3">
        <w:rPr>
          <w:rFonts w:cs="Arial"/>
          <w:szCs w:val="22"/>
          <w:lang w:val="en-US"/>
        </w:rPr>
        <w:t xml:space="preserve"> Regional Studies, </w:t>
      </w:r>
      <w:r w:rsidR="00630920" w:rsidRPr="00520273">
        <w:rPr>
          <w:rFonts w:cs="Arial"/>
          <w:szCs w:val="22"/>
          <w:lang w:val="en-US"/>
        </w:rPr>
        <w:t>48(4): 565</w:t>
      </w:r>
      <w:r w:rsidR="00630920">
        <w:rPr>
          <w:rFonts w:cs="Arial"/>
          <w:szCs w:val="22"/>
        </w:rPr>
        <w:t>–</w:t>
      </w:r>
      <w:r w:rsidR="00630920" w:rsidRPr="00520273">
        <w:rPr>
          <w:rFonts w:cs="Arial"/>
          <w:szCs w:val="22"/>
          <w:lang w:val="en-US"/>
        </w:rPr>
        <w:t>578</w:t>
      </w:r>
    </w:p>
    <w:p w14:paraId="5E5783F5" w14:textId="41E8C52C" w:rsidR="00630920" w:rsidRPr="00520273" w:rsidRDefault="00FD05B3" w:rsidP="00630920">
      <w:pPr>
        <w:spacing w:line="276" w:lineRule="auto"/>
        <w:rPr>
          <w:rFonts w:cs="Arial"/>
          <w:szCs w:val="22"/>
          <w:lang w:val="en-US"/>
        </w:rPr>
      </w:pPr>
      <w:r>
        <w:rPr>
          <w:rFonts w:cs="Arial"/>
          <w:szCs w:val="22"/>
          <w:lang w:val="en-US"/>
        </w:rPr>
        <w:t xml:space="preserve">Sharpe, D et al </w:t>
      </w:r>
      <w:r w:rsidR="00630920" w:rsidRPr="00520273">
        <w:rPr>
          <w:rFonts w:cs="Arial"/>
          <w:szCs w:val="22"/>
          <w:lang w:val="en-US"/>
        </w:rPr>
        <w:t>(2004)</w:t>
      </w:r>
      <w:r>
        <w:rPr>
          <w:rFonts w:cs="Arial"/>
          <w:szCs w:val="22"/>
          <w:lang w:val="en-US"/>
        </w:rPr>
        <w:t>.</w:t>
      </w:r>
      <w:r w:rsidR="00630920" w:rsidRPr="00520273">
        <w:rPr>
          <w:rFonts w:cs="Arial"/>
          <w:szCs w:val="22"/>
          <w:lang w:val="en-US"/>
        </w:rPr>
        <w:t xml:space="preserve"> </w:t>
      </w:r>
      <w:r w:rsidR="00630920" w:rsidRPr="002D625F">
        <w:rPr>
          <w:rFonts w:cs="Arial"/>
          <w:i/>
          <w:szCs w:val="22"/>
          <w:lang w:val="en-US"/>
        </w:rPr>
        <w:t>Critique and Consolidation of Research on the Spillover Effects of Investments in Cultural Facilities</w:t>
      </w:r>
      <w:r w:rsidR="00630920" w:rsidRPr="00520273">
        <w:rPr>
          <w:rFonts w:cs="Arial"/>
          <w:szCs w:val="22"/>
          <w:lang w:val="en-US"/>
        </w:rPr>
        <w:t>, National Research Advisory Committee Meeting, 15 March. Toronto: Ryserson University</w:t>
      </w:r>
    </w:p>
    <w:p w14:paraId="5E6E25F8" w14:textId="12FD66EE" w:rsidR="00630920" w:rsidRPr="00520273" w:rsidRDefault="00FD05B3" w:rsidP="00630920">
      <w:pPr>
        <w:spacing w:line="276" w:lineRule="auto"/>
        <w:rPr>
          <w:rFonts w:cs="Arial"/>
          <w:szCs w:val="22"/>
          <w:lang w:val="en-US"/>
        </w:rPr>
      </w:pPr>
      <w:r>
        <w:rPr>
          <w:rFonts w:cs="Arial"/>
          <w:szCs w:val="22"/>
          <w:lang w:val="en-US"/>
        </w:rPr>
        <w:t>Shaw, P</w:t>
      </w:r>
      <w:r w:rsidR="00630920" w:rsidRPr="00520273">
        <w:rPr>
          <w:rFonts w:cs="Arial"/>
          <w:szCs w:val="22"/>
          <w:lang w:val="en-US"/>
        </w:rPr>
        <w:t xml:space="preserve"> et al (2006)</w:t>
      </w:r>
      <w:r>
        <w:rPr>
          <w:rFonts w:cs="Arial"/>
          <w:szCs w:val="22"/>
          <w:lang w:val="en-US"/>
        </w:rPr>
        <w:t>.</w:t>
      </w:r>
      <w:r w:rsidR="00630920" w:rsidRPr="00520273">
        <w:rPr>
          <w:rFonts w:cs="Arial"/>
          <w:szCs w:val="22"/>
          <w:lang w:val="en-US"/>
        </w:rPr>
        <w:t xml:space="preserve"> </w:t>
      </w:r>
      <w:r w:rsidR="00630920" w:rsidRPr="002D625F">
        <w:rPr>
          <w:rFonts w:cs="Arial"/>
          <w:i/>
          <w:szCs w:val="22"/>
          <w:lang w:val="en-US"/>
        </w:rPr>
        <w:t>Arts Centres Research</w:t>
      </w:r>
      <w:r w:rsidR="00630920" w:rsidRPr="00520273">
        <w:rPr>
          <w:rFonts w:cs="Arial"/>
          <w:szCs w:val="22"/>
          <w:lang w:val="en-US"/>
        </w:rPr>
        <w:t>, Arts Council England</w:t>
      </w:r>
    </w:p>
    <w:p w14:paraId="42B37E60" w14:textId="218E9F5B" w:rsidR="00630920" w:rsidRPr="00520273" w:rsidRDefault="00FD05B3" w:rsidP="00630920">
      <w:pPr>
        <w:spacing w:line="276" w:lineRule="auto"/>
        <w:rPr>
          <w:rFonts w:cs="Arial"/>
          <w:szCs w:val="22"/>
          <w:lang w:val="en-US"/>
        </w:rPr>
      </w:pPr>
      <w:r>
        <w:rPr>
          <w:rFonts w:cs="Arial"/>
          <w:szCs w:val="22"/>
          <w:lang w:val="en-US"/>
        </w:rPr>
        <w:t>Shorthose, J</w:t>
      </w:r>
      <w:r w:rsidR="00630920" w:rsidRPr="00520273">
        <w:rPr>
          <w:rFonts w:cs="Arial"/>
          <w:szCs w:val="22"/>
          <w:lang w:val="en-US"/>
        </w:rPr>
        <w:t xml:space="preserve"> (2004)</w:t>
      </w:r>
      <w:r>
        <w:rPr>
          <w:rFonts w:cs="Arial"/>
          <w:szCs w:val="22"/>
          <w:lang w:val="en-US"/>
        </w:rPr>
        <w:t>.</w:t>
      </w:r>
      <w:r w:rsidR="00630920" w:rsidRPr="00520273">
        <w:rPr>
          <w:rFonts w:cs="Arial"/>
          <w:szCs w:val="22"/>
          <w:lang w:val="en-US"/>
        </w:rPr>
        <w:t xml:space="preserve"> Nottingham’s de facto Cultural Quarter: The Lace Market, Independents and a Convivial Ecology. In D. Bell and M. Jayne (eds.) </w:t>
      </w:r>
      <w:r w:rsidR="00630920" w:rsidRPr="002D625F">
        <w:rPr>
          <w:rFonts w:cs="Arial"/>
          <w:i/>
          <w:szCs w:val="22"/>
          <w:lang w:val="en-US"/>
        </w:rPr>
        <w:t>City of Quarters: Urban Villages and the Contemporary City</w:t>
      </w:r>
      <w:r w:rsidR="00630920" w:rsidRPr="00520273">
        <w:rPr>
          <w:rFonts w:cs="Arial"/>
          <w:szCs w:val="22"/>
          <w:lang w:val="en-US"/>
        </w:rPr>
        <w:t xml:space="preserve">. London: Ashgate </w:t>
      </w:r>
    </w:p>
    <w:p w14:paraId="7B03F633" w14:textId="631A4C81" w:rsidR="00630920" w:rsidRPr="00520273" w:rsidRDefault="00630920" w:rsidP="00630920">
      <w:pPr>
        <w:spacing w:line="276" w:lineRule="auto"/>
        <w:rPr>
          <w:rFonts w:cs="Arial"/>
          <w:szCs w:val="22"/>
          <w:lang w:val="en-US"/>
        </w:rPr>
      </w:pPr>
      <w:r w:rsidRPr="00520273">
        <w:rPr>
          <w:rFonts w:cs="Arial"/>
          <w:szCs w:val="22"/>
          <w:lang w:val="en-US"/>
        </w:rPr>
        <w:lastRenderedPageBreak/>
        <w:t>Silver, D. et al (</w:t>
      </w:r>
      <w:r w:rsidR="00DF5062">
        <w:rPr>
          <w:rFonts w:cs="Arial"/>
          <w:szCs w:val="22"/>
          <w:lang w:val="en-US"/>
        </w:rPr>
        <w:t>no date</w:t>
      </w:r>
      <w:r w:rsidRPr="00520273">
        <w:rPr>
          <w:rFonts w:cs="Arial"/>
          <w:szCs w:val="22"/>
          <w:lang w:val="en-US"/>
        </w:rPr>
        <w:t>)</w:t>
      </w:r>
      <w:r w:rsidR="00FD05B3">
        <w:rPr>
          <w:rFonts w:cs="Arial"/>
          <w:szCs w:val="22"/>
          <w:lang w:val="en-US"/>
        </w:rPr>
        <w:t>.</w:t>
      </w:r>
      <w:r w:rsidRPr="00520273">
        <w:rPr>
          <w:rFonts w:cs="Arial"/>
          <w:szCs w:val="22"/>
          <w:lang w:val="en-US"/>
        </w:rPr>
        <w:t xml:space="preserve"> Scenescapes: </w:t>
      </w:r>
      <w:r w:rsidRPr="002D625F">
        <w:rPr>
          <w:rFonts w:cs="Arial"/>
          <w:i/>
          <w:szCs w:val="22"/>
          <w:lang w:val="en-US"/>
        </w:rPr>
        <w:t>What we can learn from where our scenes are</w:t>
      </w:r>
      <w:r w:rsidRPr="00520273">
        <w:rPr>
          <w:rFonts w:cs="Arial"/>
          <w:szCs w:val="22"/>
          <w:lang w:val="en-US"/>
        </w:rPr>
        <w:t>. University of Chicago</w:t>
      </w:r>
    </w:p>
    <w:p w14:paraId="6208EDBF" w14:textId="3DEB0A7B" w:rsidR="00630920" w:rsidRPr="00520273" w:rsidRDefault="00FD05B3" w:rsidP="00630920">
      <w:pPr>
        <w:spacing w:line="276" w:lineRule="auto"/>
        <w:rPr>
          <w:rFonts w:cs="Arial"/>
          <w:szCs w:val="22"/>
          <w:lang w:val="en-US"/>
        </w:rPr>
      </w:pPr>
      <w:r>
        <w:rPr>
          <w:rFonts w:cs="Arial"/>
          <w:szCs w:val="22"/>
          <w:lang w:val="en-US"/>
        </w:rPr>
        <w:t>Stern, M.J &amp; Seifert, S</w:t>
      </w:r>
      <w:r w:rsidR="00630920">
        <w:rPr>
          <w:rFonts w:cs="Arial"/>
          <w:szCs w:val="22"/>
          <w:lang w:val="en-US"/>
        </w:rPr>
        <w:t xml:space="preserve"> </w:t>
      </w:r>
      <w:r w:rsidR="00630920" w:rsidRPr="00520273">
        <w:rPr>
          <w:rFonts w:cs="Arial"/>
          <w:szCs w:val="22"/>
          <w:lang w:val="en-US"/>
        </w:rPr>
        <w:t>(2007)</w:t>
      </w:r>
      <w:r>
        <w:rPr>
          <w:rFonts w:cs="Arial"/>
          <w:szCs w:val="22"/>
          <w:lang w:val="en-US"/>
        </w:rPr>
        <w:t>.</w:t>
      </w:r>
      <w:r w:rsidR="00630920" w:rsidRPr="00520273">
        <w:rPr>
          <w:rFonts w:cs="Arial"/>
          <w:szCs w:val="22"/>
          <w:lang w:val="en-US"/>
        </w:rPr>
        <w:t xml:space="preserve"> </w:t>
      </w:r>
      <w:r w:rsidR="00630920" w:rsidRPr="002D625F">
        <w:rPr>
          <w:rFonts w:cs="Arial"/>
          <w:i/>
          <w:szCs w:val="22"/>
          <w:lang w:val="en-US"/>
        </w:rPr>
        <w:t>Cultivating “Natural” Cultural Districts</w:t>
      </w:r>
      <w:r w:rsidR="00630920" w:rsidRPr="00520273">
        <w:rPr>
          <w:rFonts w:cs="Arial"/>
          <w:szCs w:val="22"/>
          <w:lang w:val="en-US"/>
        </w:rPr>
        <w:t>. Penn University: The Social Impact of the Arts Programme</w:t>
      </w:r>
    </w:p>
    <w:p w14:paraId="0B95B5E5" w14:textId="3BDAC37B" w:rsidR="00630920" w:rsidRDefault="00FD05B3" w:rsidP="00630920">
      <w:pPr>
        <w:spacing w:line="276" w:lineRule="auto"/>
        <w:rPr>
          <w:rFonts w:cs="Arial"/>
          <w:szCs w:val="22"/>
          <w:lang w:val="en-US"/>
        </w:rPr>
      </w:pPr>
      <w:r>
        <w:rPr>
          <w:rFonts w:cs="Arial"/>
          <w:szCs w:val="22"/>
          <w:lang w:val="en-US"/>
        </w:rPr>
        <w:t>Stern, M.J &amp; Seifert, S</w:t>
      </w:r>
      <w:r w:rsidR="00630920">
        <w:rPr>
          <w:rFonts w:cs="Arial"/>
          <w:szCs w:val="22"/>
          <w:lang w:val="en-US"/>
        </w:rPr>
        <w:t xml:space="preserve"> </w:t>
      </w:r>
      <w:r w:rsidR="00630920" w:rsidRPr="00131F29">
        <w:rPr>
          <w:rFonts w:cs="Arial"/>
          <w:szCs w:val="22"/>
          <w:lang w:val="en-US"/>
        </w:rPr>
        <w:t>(2010)</w:t>
      </w:r>
      <w:r>
        <w:rPr>
          <w:rFonts w:cs="Arial"/>
          <w:szCs w:val="22"/>
          <w:lang w:val="en-US"/>
        </w:rPr>
        <w:t>.</w:t>
      </w:r>
      <w:r w:rsidR="00630920" w:rsidRPr="00131F29">
        <w:rPr>
          <w:rFonts w:cs="Arial"/>
          <w:szCs w:val="22"/>
          <w:lang w:val="en-US"/>
        </w:rPr>
        <w:t xml:space="preserve"> </w:t>
      </w:r>
      <w:r w:rsidR="00630920" w:rsidRPr="00FD05B3">
        <w:rPr>
          <w:rFonts w:cs="Arial"/>
          <w:i/>
          <w:szCs w:val="22"/>
          <w:lang w:val="en-US"/>
        </w:rPr>
        <w:t>Cultural Clusters: The Implications of Cultural Assets Agglomeration for Neighbourhood Revitalization</w:t>
      </w:r>
      <w:r w:rsidR="00630920" w:rsidRPr="00520273">
        <w:rPr>
          <w:rFonts w:cs="Arial"/>
          <w:szCs w:val="22"/>
          <w:lang w:val="en-US"/>
        </w:rPr>
        <w:t xml:space="preserve"> </w:t>
      </w:r>
      <w:r w:rsidR="00630920" w:rsidRPr="00FD05B3">
        <w:rPr>
          <w:rFonts w:cs="Arial"/>
          <w:szCs w:val="22"/>
          <w:lang w:val="en-US"/>
        </w:rPr>
        <w:t>Journal of Planning Education and Research, 29; 262</w:t>
      </w:r>
      <w:r w:rsidR="00630920" w:rsidRPr="00FD05B3">
        <w:rPr>
          <w:rFonts w:cs="Arial"/>
          <w:szCs w:val="22"/>
        </w:rPr>
        <w:t>–</w:t>
      </w:r>
      <w:r w:rsidR="00630920" w:rsidRPr="00FD05B3">
        <w:rPr>
          <w:rFonts w:cs="Arial"/>
          <w:szCs w:val="22"/>
          <w:lang w:val="en-US"/>
        </w:rPr>
        <w:t>279</w:t>
      </w:r>
    </w:p>
    <w:p w14:paraId="292F8A45" w14:textId="3A77443C" w:rsidR="00A90680" w:rsidRPr="00A90680" w:rsidRDefault="00A90680" w:rsidP="00A90680">
      <w:pPr>
        <w:tabs>
          <w:tab w:val="left" w:pos="1244"/>
        </w:tabs>
        <w:rPr>
          <w:rFonts w:cs="Arial"/>
          <w:bCs/>
          <w:szCs w:val="22"/>
        </w:rPr>
      </w:pPr>
      <w:r w:rsidRPr="00A90680">
        <w:rPr>
          <w:rStyle w:val="FootnoteReference"/>
          <w:szCs w:val="22"/>
          <w:vertAlign w:val="baseline"/>
        </w:rPr>
        <w:t>TBR &amp; the Cities Institute (2011)</w:t>
      </w:r>
      <w:r w:rsidR="00FD05B3">
        <w:rPr>
          <w:rStyle w:val="FootnoteReference"/>
          <w:szCs w:val="22"/>
          <w:vertAlign w:val="baseline"/>
        </w:rPr>
        <w:t>.</w:t>
      </w:r>
      <w:r w:rsidRPr="00A90680">
        <w:rPr>
          <w:rStyle w:val="FootnoteReference"/>
          <w:szCs w:val="22"/>
          <w:vertAlign w:val="baseline"/>
        </w:rPr>
        <w:t xml:space="preserve"> </w:t>
      </w:r>
      <w:r w:rsidRPr="00A90680">
        <w:rPr>
          <w:rStyle w:val="FootnoteReference"/>
          <w:i/>
          <w:szCs w:val="22"/>
          <w:vertAlign w:val="baseline"/>
        </w:rPr>
        <w:t>The Art of the Possible: Using secondary data to detect social and economic impacts from investments in culture and sport: a feasibility study</w:t>
      </w:r>
      <w:r w:rsidRPr="00A90680">
        <w:rPr>
          <w:rStyle w:val="FootnoteReference"/>
          <w:szCs w:val="22"/>
          <w:vertAlign w:val="baseline"/>
        </w:rPr>
        <w:t>. London, DCMS.</w:t>
      </w:r>
    </w:p>
    <w:p w14:paraId="096FCF30" w14:textId="115D118F" w:rsidR="00630920" w:rsidRDefault="00FD05B3" w:rsidP="00630920">
      <w:pPr>
        <w:spacing w:line="276" w:lineRule="auto"/>
        <w:rPr>
          <w:rFonts w:cs="Arial"/>
          <w:szCs w:val="22"/>
          <w:lang w:val="en-US"/>
        </w:rPr>
      </w:pPr>
      <w:r>
        <w:rPr>
          <w:rFonts w:cs="Arial"/>
          <w:szCs w:val="22"/>
          <w:lang w:val="en-US"/>
        </w:rPr>
        <w:t>Thomas, C.J, &amp; Bromley, D</w:t>
      </w:r>
      <w:r w:rsidR="00630920" w:rsidRPr="00520273">
        <w:rPr>
          <w:rFonts w:cs="Arial"/>
          <w:szCs w:val="22"/>
          <w:lang w:val="en-US"/>
        </w:rPr>
        <w:t>.</w:t>
      </w:r>
      <w:r>
        <w:rPr>
          <w:rFonts w:cs="Arial"/>
          <w:szCs w:val="22"/>
          <w:lang w:val="en-US"/>
        </w:rPr>
        <w:t>F</w:t>
      </w:r>
      <w:r w:rsidR="00630920" w:rsidRPr="00520273">
        <w:rPr>
          <w:rFonts w:cs="Arial"/>
          <w:szCs w:val="22"/>
          <w:lang w:val="en-US"/>
        </w:rPr>
        <w:t xml:space="preserve"> (2000)</w:t>
      </w:r>
      <w:r>
        <w:rPr>
          <w:rFonts w:cs="Arial"/>
          <w:szCs w:val="22"/>
          <w:lang w:val="en-US"/>
        </w:rPr>
        <w:t>.</w:t>
      </w:r>
      <w:r w:rsidR="00630920" w:rsidRPr="00520273">
        <w:rPr>
          <w:rFonts w:cs="Arial"/>
          <w:szCs w:val="22"/>
          <w:lang w:val="en-US"/>
        </w:rPr>
        <w:t xml:space="preserve"> City centre revitalisation: Problems of fragmentation and fear in the evening and night-time city, </w:t>
      </w:r>
      <w:r w:rsidR="00630920" w:rsidRPr="002D625F">
        <w:rPr>
          <w:rFonts w:cs="Arial"/>
          <w:i/>
          <w:szCs w:val="22"/>
          <w:lang w:val="en-US"/>
        </w:rPr>
        <w:t>Urban Studies</w:t>
      </w:r>
      <w:r w:rsidR="00630920" w:rsidRPr="00520273">
        <w:rPr>
          <w:rFonts w:cs="Arial"/>
          <w:szCs w:val="22"/>
          <w:lang w:val="en-US"/>
        </w:rPr>
        <w:t>, 37(8): 1403</w:t>
      </w:r>
      <w:r w:rsidR="00630920">
        <w:rPr>
          <w:rFonts w:cs="Arial"/>
          <w:szCs w:val="22"/>
        </w:rPr>
        <w:t>–</w:t>
      </w:r>
      <w:r w:rsidR="00630920" w:rsidRPr="00520273">
        <w:rPr>
          <w:rFonts w:cs="Arial"/>
          <w:szCs w:val="22"/>
          <w:lang w:val="en-US"/>
        </w:rPr>
        <w:t>1429</w:t>
      </w:r>
    </w:p>
    <w:p w14:paraId="631C8C7C" w14:textId="7302DD7E" w:rsidR="00FD05B3" w:rsidRPr="00FD05B3" w:rsidRDefault="00FD05B3" w:rsidP="00630920">
      <w:pPr>
        <w:spacing w:line="276" w:lineRule="auto"/>
        <w:rPr>
          <w:rFonts w:cs="Arial"/>
          <w:szCs w:val="22"/>
          <w:lang w:val="en-US"/>
        </w:rPr>
      </w:pPr>
      <w:r w:rsidRPr="00FD05B3">
        <w:rPr>
          <w:szCs w:val="22"/>
        </w:rPr>
        <w:t>Tom Fle</w:t>
      </w:r>
      <w:r>
        <w:rPr>
          <w:szCs w:val="22"/>
        </w:rPr>
        <w:t>ming Creative Consultancy (2015).</w:t>
      </w:r>
      <w:r w:rsidRPr="00FD05B3">
        <w:rPr>
          <w:szCs w:val="22"/>
        </w:rPr>
        <w:t xml:space="preserve"> </w:t>
      </w:r>
      <w:r w:rsidRPr="00FD05B3">
        <w:rPr>
          <w:i/>
          <w:szCs w:val="22"/>
        </w:rPr>
        <w:t>Cultural and creative spillovers in Europe</w:t>
      </w:r>
    </w:p>
    <w:p w14:paraId="216C125F" w14:textId="232924B7" w:rsidR="00630920" w:rsidRPr="00520273" w:rsidRDefault="00FD05B3" w:rsidP="00630920">
      <w:pPr>
        <w:spacing w:line="276" w:lineRule="auto"/>
        <w:rPr>
          <w:rFonts w:cs="Arial"/>
          <w:szCs w:val="22"/>
          <w:lang w:val="en-US"/>
        </w:rPr>
      </w:pPr>
      <w:r>
        <w:rPr>
          <w:rFonts w:cs="Arial"/>
          <w:szCs w:val="22"/>
          <w:lang w:val="en-US"/>
        </w:rPr>
        <w:t xml:space="preserve">Varma, P </w:t>
      </w:r>
      <w:r w:rsidR="00630920" w:rsidRPr="00520273">
        <w:rPr>
          <w:rFonts w:cs="Arial"/>
          <w:szCs w:val="22"/>
          <w:lang w:val="en-US"/>
        </w:rPr>
        <w:t>(2003)</w:t>
      </w:r>
      <w:r>
        <w:rPr>
          <w:rFonts w:cs="Arial"/>
          <w:szCs w:val="22"/>
          <w:lang w:val="en-US"/>
        </w:rPr>
        <w:t>.</w:t>
      </w:r>
      <w:r w:rsidR="00630920" w:rsidRPr="00520273">
        <w:rPr>
          <w:rFonts w:cs="Arial"/>
          <w:szCs w:val="22"/>
          <w:lang w:val="en-US"/>
        </w:rPr>
        <w:t xml:space="preserve"> </w:t>
      </w:r>
      <w:r w:rsidR="00630920" w:rsidRPr="002D625F">
        <w:rPr>
          <w:rFonts w:cs="Arial"/>
          <w:i/>
          <w:szCs w:val="22"/>
          <w:lang w:val="en-US"/>
        </w:rPr>
        <w:t>Working Paper 3: Valuing Greenness: Is there a segmented preference for housing attributes in London?</w:t>
      </w:r>
      <w:r w:rsidR="00630920" w:rsidRPr="00520273">
        <w:rPr>
          <w:rFonts w:cs="Arial"/>
          <w:szCs w:val="22"/>
          <w:lang w:val="en-US"/>
        </w:rPr>
        <w:t xml:space="preserve"> London: Greater London Authority, June</w:t>
      </w:r>
    </w:p>
    <w:p w14:paraId="4A098740" w14:textId="77777777" w:rsidR="00630920" w:rsidRDefault="00630920" w:rsidP="00630920">
      <w:pPr>
        <w:spacing w:line="276" w:lineRule="auto"/>
        <w:rPr>
          <w:rFonts w:cs="Arial"/>
          <w:i/>
          <w:szCs w:val="22"/>
          <w:lang w:val="en-US"/>
        </w:rPr>
      </w:pPr>
      <w:r>
        <w:rPr>
          <w:rFonts w:cs="Arial"/>
          <w:szCs w:val="22"/>
          <w:lang w:val="en-US"/>
        </w:rPr>
        <w:t xml:space="preserve">Warwick Commission (2015) </w:t>
      </w:r>
      <w:r w:rsidRPr="009640D5">
        <w:rPr>
          <w:rFonts w:cs="Arial"/>
          <w:i/>
          <w:szCs w:val="22"/>
          <w:lang w:val="en-US"/>
        </w:rPr>
        <w:t>Enriching Britain: Culture, Creativity and Growth</w:t>
      </w:r>
    </w:p>
    <w:p w14:paraId="6A9679B0" w14:textId="46BC99D6" w:rsidR="00630920" w:rsidRPr="00520273" w:rsidRDefault="0031388C" w:rsidP="00630920">
      <w:pPr>
        <w:spacing w:line="276" w:lineRule="auto"/>
        <w:rPr>
          <w:rFonts w:cs="Arial"/>
          <w:szCs w:val="22"/>
          <w:lang w:val="en-US"/>
        </w:rPr>
      </w:pPr>
      <w:r>
        <w:rPr>
          <w:rFonts w:cs="Arial"/>
          <w:szCs w:val="22"/>
          <w:lang w:val="en-US"/>
        </w:rPr>
        <w:t>What Works Centre for Local Economic Growth</w:t>
      </w:r>
      <w:r w:rsidR="00630920" w:rsidRPr="00520273">
        <w:rPr>
          <w:rFonts w:cs="Arial"/>
          <w:szCs w:val="22"/>
          <w:lang w:val="en-US"/>
        </w:rPr>
        <w:t xml:space="preserve"> (2014)</w:t>
      </w:r>
      <w:r>
        <w:rPr>
          <w:rFonts w:cs="Arial"/>
          <w:szCs w:val="22"/>
          <w:lang w:val="en-US"/>
        </w:rPr>
        <w:t>.</w:t>
      </w:r>
      <w:r w:rsidR="00630920" w:rsidRPr="00520273">
        <w:rPr>
          <w:rFonts w:cs="Arial"/>
          <w:szCs w:val="22"/>
          <w:lang w:val="en-US"/>
        </w:rPr>
        <w:t xml:space="preserve"> </w:t>
      </w:r>
      <w:r w:rsidR="00630920" w:rsidRPr="002D625F">
        <w:rPr>
          <w:rFonts w:cs="Arial"/>
          <w:i/>
          <w:szCs w:val="22"/>
          <w:lang w:val="en-US"/>
        </w:rPr>
        <w:t>Evidence Review: Sport and Culture</w:t>
      </w:r>
      <w:r w:rsidR="00630920" w:rsidRPr="00520273">
        <w:rPr>
          <w:rFonts w:cs="Arial"/>
          <w:szCs w:val="22"/>
          <w:lang w:val="en-US"/>
        </w:rPr>
        <w:t>. London: What Works Centre for</w:t>
      </w:r>
      <w:r w:rsidR="00FD05B3">
        <w:rPr>
          <w:rFonts w:cs="Arial"/>
          <w:szCs w:val="22"/>
          <w:lang w:val="en-US"/>
        </w:rPr>
        <w:t xml:space="preserve"> Local Economic Growth for DCMS:</w:t>
      </w:r>
      <w:r w:rsidR="00630920" w:rsidRPr="00520273">
        <w:rPr>
          <w:rFonts w:cs="Arial"/>
          <w:szCs w:val="22"/>
          <w:lang w:val="en-US"/>
        </w:rPr>
        <w:t xml:space="preserve"> July </w:t>
      </w:r>
    </w:p>
    <w:p w14:paraId="29C7542B" w14:textId="487B5647" w:rsidR="00630920" w:rsidRDefault="00FD05B3" w:rsidP="00630920">
      <w:pPr>
        <w:spacing w:line="276" w:lineRule="auto"/>
        <w:rPr>
          <w:rFonts w:cs="Arial"/>
          <w:szCs w:val="22"/>
          <w:lang w:val="en-US"/>
        </w:rPr>
      </w:pPr>
      <w:r>
        <w:rPr>
          <w:rFonts w:cs="Arial"/>
          <w:szCs w:val="22"/>
          <w:lang w:val="en-US"/>
        </w:rPr>
        <w:t>Zenker, S and Braun, E</w:t>
      </w:r>
      <w:r w:rsidR="00630920" w:rsidRPr="00520273">
        <w:rPr>
          <w:rFonts w:cs="Arial"/>
          <w:szCs w:val="22"/>
          <w:lang w:val="en-US"/>
        </w:rPr>
        <w:t xml:space="preserve"> (2014)</w:t>
      </w:r>
      <w:r>
        <w:rPr>
          <w:rFonts w:cs="Arial"/>
          <w:szCs w:val="22"/>
          <w:lang w:val="en-US"/>
        </w:rPr>
        <w:t>.</w:t>
      </w:r>
      <w:r w:rsidR="00630920" w:rsidRPr="00520273">
        <w:rPr>
          <w:rFonts w:cs="Arial"/>
          <w:szCs w:val="22"/>
          <w:lang w:val="en-US"/>
        </w:rPr>
        <w:t xml:space="preserve"> </w:t>
      </w:r>
      <w:r w:rsidR="00630920" w:rsidRPr="00FD05B3">
        <w:rPr>
          <w:rFonts w:cs="Arial"/>
          <w:i/>
          <w:szCs w:val="22"/>
          <w:lang w:val="en-US"/>
        </w:rPr>
        <w:t>Rethinking t</w:t>
      </w:r>
      <w:r>
        <w:rPr>
          <w:rFonts w:cs="Arial"/>
          <w:i/>
          <w:szCs w:val="22"/>
          <w:lang w:val="en-US"/>
        </w:rPr>
        <w:t xml:space="preserve">he Measurement of Place Brands </w:t>
      </w:r>
      <w:r w:rsidR="00630920" w:rsidRPr="00FD05B3">
        <w:rPr>
          <w:rFonts w:cs="Arial"/>
          <w:i/>
          <w:szCs w:val="22"/>
          <w:lang w:val="en-US"/>
        </w:rPr>
        <w:t>in Rethinking Place Branding (</w:t>
      </w:r>
      <w:r w:rsidR="00630920" w:rsidRPr="00520273">
        <w:rPr>
          <w:rFonts w:cs="Arial"/>
          <w:szCs w:val="22"/>
          <w:lang w:val="en-US"/>
        </w:rPr>
        <w:t>Kavaratzis, Warnaby and Ashworth, eds). Springer</w:t>
      </w:r>
    </w:p>
    <w:p w14:paraId="5EF4B96E" w14:textId="7B5F9B19" w:rsidR="00630920" w:rsidRDefault="00630920" w:rsidP="00630920">
      <w:pPr>
        <w:spacing w:before="0"/>
        <w:ind w:left="0"/>
        <w:rPr>
          <w:rFonts w:cs="Arial"/>
          <w:szCs w:val="22"/>
          <w:lang w:val="en-US"/>
        </w:rPr>
      </w:pPr>
    </w:p>
    <w:p w14:paraId="15EB38B9" w14:textId="77777777" w:rsidR="00630920" w:rsidRDefault="00630920">
      <w:pPr>
        <w:spacing w:before="0"/>
        <w:ind w:left="0"/>
        <w:rPr>
          <w:rFonts w:ascii="Times New Roman" w:hAnsi="Times New Roman"/>
          <w:sz w:val="20"/>
          <w:szCs w:val="20"/>
          <w:lang w:eastAsia="en-GB"/>
        </w:rPr>
      </w:pPr>
    </w:p>
    <w:sectPr w:rsidR="00630920" w:rsidSect="007770D4">
      <w:pgSz w:w="11906" w:h="16838" w:code="9"/>
      <w:pgMar w:top="1560" w:right="1134" w:bottom="1418"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AF157" w14:textId="77777777" w:rsidR="003D0350" w:rsidRDefault="003D0350" w:rsidP="00FD27B8">
      <w:pPr>
        <w:pStyle w:val="Header"/>
      </w:pPr>
      <w:r>
        <w:separator/>
      </w:r>
    </w:p>
    <w:p w14:paraId="57A9758A" w14:textId="77777777" w:rsidR="003D0350" w:rsidRDefault="003D0350"/>
  </w:endnote>
  <w:endnote w:type="continuationSeparator" w:id="0">
    <w:p w14:paraId="2BA420F3" w14:textId="77777777" w:rsidR="003D0350" w:rsidRDefault="003D0350" w:rsidP="00FD27B8">
      <w:pPr>
        <w:pStyle w:val="Header"/>
      </w:pPr>
      <w:r>
        <w:continuationSeparator/>
      </w:r>
    </w:p>
    <w:p w14:paraId="5290CB9D" w14:textId="77777777" w:rsidR="003D0350" w:rsidRDefault="003D0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w:panose1 w:val="020B0602040502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Bliss 2 Light">
    <w:altName w:val="Bliss 2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03762" w14:textId="77777777" w:rsidR="003D0350" w:rsidRDefault="003D0350" w:rsidP="00FD27B8">
      <w:pPr>
        <w:pStyle w:val="Header"/>
      </w:pPr>
    </w:p>
    <w:p w14:paraId="7C098603" w14:textId="77777777" w:rsidR="003D0350" w:rsidRDefault="003D0350"/>
  </w:footnote>
  <w:footnote w:type="continuationSeparator" w:id="0">
    <w:p w14:paraId="549D1EBF" w14:textId="77777777" w:rsidR="003D0350" w:rsidRDefault="003D0350" w:rsidP="00FD27B8">
      <w:pPr>
        <w:pStyle w:val="Header"/>
      </w:pPr>
      <w:r>
        <w:continuationSeparator/>
      </w:r>
    </w:p>
    <w:p w14:paraId="2AB16A3E" w14:textId="77777777" w:rsidR="003D0350" w:rsidRDefault="003D0350"/>
  </w:footnote>
  <w:footnote w:id="1">
    <w:p w14:paraId="3A967736" w14:textId="2A77E8C0" w:rsidR="00C9759D" w:rsidRPr="003A45A9" w:rsidRDefault="00C9759D" w:rsidP="003A45A9">
      <w:pPr>
        <w:pStyle w:val="FootnoteText"/>
        <w:rPr>
          <w:rStyle w:val="FootnoteReference"/>
          <w:sz w:val="16"/>
        </w:rPr>
      </w:pPr>
      <w:r w:rsidRPr="003A45A9">
        <w:rPr>
          <w:rStyle w:val="FootnoteReference"/>
          <w:sz w:val="16"/>
        </w:rPr>
        <w:footnoteRef/>
      </w:r>
      <w:r w:rsidRPr="003A45A9">
        <w:rPr>
          <w:rStyle w:val="FootnoteReference"/>
          <w:sz w:val="16"/>
        </w:rPr>
        <w:t xml:space="preserve"> </w:t>
      </w:r>
      <w:r w:rsidRPr="003A45A9">
        <w:rPr>
          <w:rStyle w:val="FootnoteReference"/>
          <w:sz w:val="16"/>
          <w:vertAlign w:val="baseline"/>
        </w:rPr>
        <w:t>Note that we are aware of other definitions which have been derived for specific purposes, such as the definition of a Heritage Asset in the National Planning Policy Framework.</w:t>
      </w:r>
      <w:r w:rsidRPr="003A45A9">
        <w:rPr>
          <w:rStyle w:val="FootnoteReference"/>
          <w:sz w:val="16"/>
        </w:rPr>
        <w:t xml:space="preserve"> </w:t>
      </w:r>
    </w:p>
  </w:footnote>
  <w:footnote w:id="2">
    <w:p w14:paraId="5069D577" w14:textId="77777777" w:rsidR="00C9759D" w:rsidRPr="008E5DE1" w:rsidRDefault="00C9759D" w:rsidP="00410E03">
      <w:pPr>
        <w:pStyle w:val="FootnoteText"/>
        <w:rPr>
          <w:sz w:val="16"/>
          <w:szCs w:val="16"/>
        </w:rPr>
      </w:pPr>
      <w:r w:rsidRPr="008E5DE1">
        <w:rPr>
          <w:rStyle w:val="FootnoteReference"/>
          <w:sz w:val="16"/>
          <w:szCs w:val="16"/>
        </w:rPr>
        <w:footnoteRef/>
      </w:r>
      <w:r w:rsidRPr="008E5DE1">
        <w:rPr>
          <w:sz w:val="16"/>
          <w:szCs w:val="16"/>
        </w:rPr>
        <w:t xml:space="preserve"> For example, the </w:t>
      </w:r>
      <w:r w:rsidRPr="008E5DE1">
        <w:rPr>
          <w:rFonts w:ascii="Tahoma" w:eastAsiaTheme="minorHAnsi" w:hAnsi="Tahoma" w:cs="Tahoma"/>
          <w:i/>
          <w:sz w:val="16"/>
          <w:szCs w:val="16"/>
        </w:rPr>
        <w:t>Evidence Review: Sport and Culture</w:t>
      </w:r>
      <w:r>
        <w:rPr>
          <w:rFonts w:ascii="Tahoma" w:eastAsiaTheme="minorHAnsi" w:hAnsi="Tahoma" w:cs="Tahoma"/>
          <w:sz w:val="16"/>
          <w:szCs w:val="16"/>
        </w:rPr>
        <w:t xml:space="preserve"> (2013) analysed only 37 publications of which over 90% were Sports based and predominantly from the USA; </w:t>
      </w:r>
      <w:r w:rsidRPr="00AB7A39">
        <w:rPr>
          <w:rFonts w:ascii="Tahoma" w:eastAsiaTheme="minorHAnsi" w:hAnsi="Tahoma" w:cs="Tahoma"/>
          <w:i/>
          <w:sz w:val="16"/>
          <w:szCs w:val="16"/>
        </w:rPr>
        <w:t>Loc</w:t>
      </w:r>
      <w:r>
        <w:rPr>
          <w:rFonts w:ascii="Tahoma" w:eastAsiaTheme="minorHAnsi" w:hAnsi="Tahoma" w:cs="Tahoma"/>
          <w:i/>
          <w:sz w:val="16"/>
          <w:szCs w:val="16"/>
        </w:rPr>
        <w:t>al economic impacts from cultural investments</w:t>
      </w:r>
      <w:r>
        <w:rPr>
          <w:rFonts w:ascii="Tahoma" w:eastAsiaTheme="minorHAnsi" w:hAnsi="Tahoma" w:cs="Tahoma"/>
          <w:sz w:val="16"/>
          <w:szCs w:val="16"/>
        </w:rPr>
        <w:t xml:space="preserve"> (ECORYS, 2014) analysed 40 studies only four of which were non-UK/Ireland based.</w:t>
      </w:r>
    </w:p>
  </w:footnote>
  <w:footnote w:id="3">
    <w:p w14:paraId="48B0A824" w14:textId="77777777" w:rsidR="00C9759D" w:rsidRDefault="00C9759D" w:rsidP="00410E03">
      <w:pPr>
        <w:pStyle w:val="FootnoteText"/>
      </w:pPr>
      <w:r>
        <w:rPr>
          <w:rStyle w:val="FootnoteReference"/>
        </w:rPr>
        <w:footnoteRef/>
      </w:r>
      <w:r>
        <w:t xml:space="preserve"> </w:t>
      </w:r>
      <w:r w:rsidRPr="00F63AD8">
        <w:t>www.artscouncil.org.uk/what-we-do/research-and-data/arts-audiences/active-people-survey/</w:t>
      </w:r>
    </w:p>
  </w:footnote>
  <w:footnote w:id="4">
    <w:p w14:paraId="2FEF8E4B" w14:textId="77777777" w:rsidR="00C9759D" w:rsidRPr="00E3489C" w:rsidRDefault="00C9759D" w:rsidP="00E3489C">
      <w:pPr>
        <w:pStyle w:val="FootnoteText"/>
        <w:rPr>
          <w:sz w:val="16"/>
          <w:szCs w:val="16"/>
        </w:rPr>
      </w:pPr>
      <w:r w:rsidRPr="00E3489C">
        <w:rPr>
          <w:rStyle w:val="FootnoteReference"/>
          <w:sz w:val="16"/>
          <w:szCs w:val="16"/>
        </w:rPr>
        <w:footnoteRef/>
      </w:r>
      <w:r w:rsidRPr="00E3489C">
        <w:rPr>
          <w:sz w:val="16"/>
          <w:szCs w:val="16"/>
        </w:rPr>
        <w:t xml:space="preserve"> </w:t>
      </w:r>
      <w:hyperlink r:id="rId1" w:history="1">
        <w:r w:rsidRPr="00E3489C">
          <w:rPr>
            <w:rStyle w:val="Hyperlink"/>
            <w:sz w:val="16"/>
            <w:szCs w:val="16"/>
          </w:rPr>
          <w:t>https://www.gov.uk/government/statistics/creative-industries-economic-estimates-january-2015</w:t>
        </w:r>
      </w:hyperlink>
      <w:r w:rsidRPr="00E3489C">
        <w:rPr>
          <w:sz w:val="16"/>
          <w:szCs w:val="16"/>
        </w:rPr>
        <w:t xml:space="preserve"> </w:t>
      </w:r>
    </w:p>
  </w:footnote>
  <w:footnote w:id="5">
    <w:p w14:paraId="14329945" w14:textId="77777777" w:rsidR="00C9759D" w:rsidRPr="00E3489C" w:rsidRDefault="00C9759D" w:rsidP="00E3489C">
      <w:pPr>
        <w:pStyle w:val="FootnoteText"/>
        <w:rPr>
          <w:sz w:val="16"/>
          <w:szCs w:val="16"/>
        </w:rPr>
      </w:pPr>
      <w:r w:rsidRPr="00E3489C">
        <w:rPr>
          <w:rStyle w:val="FootnoteReference"/>
          <w:sz w:val="16"/>
          <w:szCs w:val="16"/>
        </w:rPr>
        <w:footnoteRef/>
      </w:r>
      <w:r w:rsidRPr="00E3489C">
        <w:rPr>
          <w:sz w:val="16"/>
          <w:szCs w:val="16"/>
        </w:rPr>
        <w:t xml:space="preserve"> </w:t>
      </w:r>
      <w:hyperlink r:id="rId2" w:history="1">
        <w:r w:rsidRPr="00E3489C">
          <w:rPr>
            <w:rStyle w:val="Hyperlink"/>
            <w:sz w:val="16"/>
            <w:szCs w:val="16"/>
          </w:rPr>
          <w:t>http://www.oecd.org/science/sci-tech/2087188.pdf</w:t>
        </w:r>
      </w:hyperlink>
      <w:r w:rsidRPr="00E3489C">
        <w:rPr>
          <w:sz w:val="16"/>
          <w:szCs w:val="16"/>
        </w:rPr>
        <w:t xml:space="preserve"> </w:t>
      </w:r>
    </w:p>
  </w:footnote>
  <w:footnote w:id="6">
    <w:p w14:paraId="742EA8DE" w14:textId="77777777" w:rsidR="00C9759D" w:rsidRPr="00E3489C" w:rsidRDefault="00C9759D" w:rsidP="00E3489C">
      <w:pPr>
        <w:pStyle w:val="FootnoteText"/>
        <w:rPr>
          <w:sz w:val="16"/>
          <w:szCs w:val="16"/>
        </w:rPr>
      </w:pPr>
      <w:r w:rsidRPr="00E3489C">
        <w:rPr>
          <w:rStyle w:val="FootnoteReference"/>
          <w:sz w:val="16"/>
          <w:szCs w:val="16"/>
        </w:rPr>
        <w:footnoteRef/>
      </w:r>
      <w:r w:rsidRPr="00E3489C">
        <w:rPr>
          <w:sz w:val="16"/>
          <w:szCs w:val="16"/>
        </w:rPr>
        <w:t xml:space="preserve"> </w:t>
      </w:r>
      <w:hyperlink r:id="rId3" w:history="1">
        <w:r w:rsidRPr="00E3489C">
          <w:rPr>
            <w:rStyle w:val="Hyperlink"/>
            <w:sz w:val="16"/>
            <w:szCs w:val="16"/>
          </w:rPr>
          <w:t>http://www.futureoflondon.org.uk/futureoflondon/wp-content/uploads/downloads/2011/10/Future-of-London-Knowledge-Economy.pdf</w:t>
        </w:r>
      </w:hyperlink>
      <w:r w:rsidRPr="00E3489C">
        <w:rPr>
          <w:sz w:val="16"/>
          <w:szCs w:val="16"/>
        </w:rPr>
        <w:t xml:space="preserve"> </w:t>
      </w:r>
    </w:p>
  </w:footnote>
  <w:footnote w:id="7">
    <w:p w14:paraId="3D114911" w14:textId="77777777" w:rsidR="00C9759D" w:rsidRDefault="00C9759D" w:rsidP="00E3489C">
      <w:pPr>
        <w:pStyle w:val="FootnoteText"/>
      </w:pPr>
      <w:r w:rsidRPr="00E3489C">
        <w:rPr>
          <w:rStyle w:val="FootnoteReference"/>
          <w:sz w:val="16"/>
          <w:szCs w:val="16"/>
        </w:rPr>
        <w:footnoteRef/>
      </w:r>
      <w:r w:rsidRPr="00E3489C">
        <w:rPr>
          <w:sz w:val="16"/>
          <w:szCs w:val="16"/>
        </w:rPr>
        <w:t xml:space="preserve"> </w:t>
      </w:r>
      <w:hyperlink r:id="rId4" w:history="1">
        <w:r w:rsidRPr="00E3489C">
          <w:rPr>
            <w:rStyle w:val="Hyperlink"/>
            <w:sz w:val="16"/>
            <w:szCs w:val="16"/>
          </w:rPr>
          <w:t>https://www.ons.gov.uk/methodology/classificationsandstandards/ukstandardindustrialclassificationofeconomicactivities/uksic2007</w:t>
        </w:r>
      </w:hyperlink>
      <w:r>
        <w:t xml:space="preserve"> </w:t>
      </w:r>
    </w:p>
  </w:footnote>
  <w:footnote w:id="8">
    <w:p w14:paraId="5B2CEF82" w14:textId="77777777" w:rsidR="00C9759D" w:rsidRPr="00501098" w:rsidRDefault="00C9759D" w:rsidP="00E3489C">
      <w:pPr>
        <w:pStyle w:val="FootnoteText"/>
        <w:rPr>
          <w:sz w:val="16"/>
          <w:szCs w:val="16"/>
        </w:rPr>
      </w:pPr>
      <w:r w:rsidRPr="00501098">
        <w:rPr>
          <w:rStyle w:val="FootnoteReference"/>
          <w:sz w:val="16"/>
          <w:szCs w:val="16"/>
        </w:rPr>
        <w:footnoteRef/>
      </w:r>
      <w:r w:rsidRPr="00501098">
        <w:rPr>
          <w:sz w:val="16"/>
          <w:szCs w:val="16"/>
        </w:rPr>
        <w:t xml:space="preserve"> </w:t>
      </w:r>
      <w:hyperlink r:id="rId5" w:history="1">
        <w:r w:rsidRPr="00501098">
          <w:rPr>
            <w:rStyle w:val="Hyperlink"/>
            <w:sz w:val="16"/>
            <w:szCs w:val="16"/>
          </w:rPr>
          <w:t>http://www.ons.gov.uk/ons/guide-method/method-quality/specific/economy/economic-value-of-tourism/measuring-tourism-locally/2012/note-1/measuring-tourism-locally-v2-2012-guidance-note-1--definitions-of-tourism-.pdf</w:t>
        </w:r>
      </w:hyperlink>
      <w:r w:rsidRPr="00501098">
        <w:rPr>
          <w:sz w:val="16"/>
          <w:szCs w:val="16"/>
        </w:rPr>
        <w:t xml:space="preserve"> </w:t>
      </w:r>
    </w:p>
  </w:footnote>
  <w:footnote w:id="9">
    <w:p w14:paraId="65ED425D" w14:textId="77777777" w:rsidR="00C9759D" w:rsidRDefault="00C9759D" w:rsidP="00E3489C">
      <w:pPr>
        <w:pStyle w:val="FootnoteText"/>
      </w:pPr>
      <w:r w:rsidRPr="00E3489C">
        <w:rPr>
          <w:rStyle w:val="FootnoteReference"/>
          <w:sz w:val="16"/>
        </w:rPr>
        <w:footnoteRef/>
      </w:r>
      <w:r w:rsidRPr="00E3489C">
        <w:rPr>
          <w:sz w:val="16"/>
        </w:rPr>
        <w:t xml:space="preserve"> </w:t>
      </w:r>
      <w:hyperlink r:id="rId6" w:history="1">
        <w:r w:rsidRPr="00E3489C">
          <w:rPr>
            <w:rStyle w:val="Hyperlink"/>
            <w:sz w:val="18"/>
          </w:rPr>
          <w:t>https://www.gov.uk/government/publications/growth-is-our-business-professional-and-business-services-strategy</w:t>
        </w:r>
      </w:hyperlink>
      <w:r w:rsidRPr="00E3489C">
        <w:rPr>
          <w:sz w:val="16"/>
        </w:rPr>
        <w:t xml:space="preserve"> </w:t>
      </w:r>
    </w:p>
  </w:footnote>
  <w:footnote w:id="10">
    <w:p w14:paraId="3A74214B" w14:textId="77777777" w:rsidR="00C9759D" w:rsidRDefault="00C9759D" w:rsidP="00511EC8">
      <w:pPr>
        <w:pStyle w:val="FootnoteText"/>
      </w:pPr>
      <w:r>
        <w:rPr>
          <w:rStyle w:val="FootnoteReference"/>
        </w:rPr>
        <w:footnoteRef/>
      </w:r>
      <w:r>
        <w:t xml:space="preserve"> </w:t>
      </w:r>
      <w:r w:rsidRPr="00546C1D">
        <w:t>http://www.cforic.org/pages/ukci2016.php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0080"/>
    </w:tblGrid>
    <w:tr w:rsidR="00C9759D" w14:paraId="74928E46" w14:textId="77777777" w:rsidTr="00AF1584">
      <w:tc>
        <w:tcPr>
          <w:tcW w:w="10080" w:type="dxa"/>
        </w:tcPr>
        <w:p w14:paraId="74928E45" w14:textId="77777777" w:rsidR="00C9759D" w:rsidRDefault="00C9759D">
          <w:pPr>
            <w:pStyle w:val="Header"/>
          </w:pPr>
          <w:r>
            <w:t>Department for Culture, Media and Sport</w:t>
          </w:r>
        </w:p>
      </w:tc>
    </w:tr>
    <w:tr w:rsidR="00C9759D" w14:paraId="74928E48" w14:textId="77777777" w:rsidTr="00AF1584">
      <w:tc>
        <w:tcPr>
          <w:tcW w:w="10080" w:type="dxa"/>
        </w:tcPr>
        <w:p w14:paraId="74928E47" w14:textId="77777777" w:rsidR="00C9759D" w:rsidRDefault="00C9759D" w:rsidP="00F51926">
          <w:pPr>
            <w:pStyle w:val="HeaderBold"/>
          </w:pPr>
          <w:r>
            <w:t>DocumentTitle</w:t>
          </w:r>
        </w:p>
      </w:tc>
    </w:tr>
  </w:tbl>
  <w:p w14:paraId="74928E49" w14:textId="77777777" w:rsidR="00C9759D" w:rsidRDefault="00C9759D" w:rsidP="00A35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0080"/>
    </w:tblGrid>
    <w:tr w:rsidR="00C9759D" w14:paraId="74928E4B" w14:textId="77777777" w:rsidTr="00AF1584">
      <w:tc>
        <w:tcPr>
          <w:tcW w:w="10080" w:type="dxa"/>
        </w:tcPr>
        <w:p w14:paraId="74928E4A" w14:textId="77777777" w:rsidR="00C9759D" w:rsidRDefault="00C9759D">
          <w:pPr>
            <w:pStyle w:val="Header"/>
          </w:pPr>
        </w:p>
      </w:tc>
    </w:tr>
    <w:tr w:rsidR="00C9759D" w14:paraId="74928E4D" w14:textId="77777777" w:rsidTr="00AF1584">
      <w:tc>
        <w:tcPr>
          <w:tcW w:w="10080" w:type="dxa"/>
        </w:tcPr>
        <w:p w14:paraId="74928E4C" w14:textId="5BA0ED76" w:rsidR="00C9759D" w:rsidRPr="00652145" w:rsidRDefault="00C9759D" w:rsidP="00CB52D8">
          <w:pPr>
            <w:pStyle w:val="HeaderBold"/>
            <w:rPr>
              <w:szCs w:val="18"/>
            </w:rPr>
          </w:pPr>
          <w:bookmarkStart w:id="0" w:name="DocumentTitleSec2Even"/>
          <w:r>
            <w:rPr>
              <w:rFonts w:cs="Arial"/>
              <w:b w:val="0"/>
              <w:color w:val="673561"/>
              <w:szCs w:val="18"/>
            </w:rPr>
            <w:t>The role of culture, heritage and sport in place shaping</w:t>
          </w:r>
          <w:r w:rsidRPr="00652145">
            <w:rPr>
              <w:szCs w:val="18"/>
            </w:rPr>
            <w:t xml:space="preserve"> </w:t>
          </w:r>
          <w:bookmarkEnd w:id="0"/>
        </w:p>
      </w:tc>
    </w:tr>
  </w:tbl>
  <w:p w14:paraId="74928E4E" w14:textId="77777777" w:rsidR="00C9759D" w:rsidRDefault="00C9759D" w:rsidP="006521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0080"/>
    </w:tblGrid>
    <w:tr w:rsidR="00C9759D" w14:paraId="79152D89" w14:textId="77777777" w:rsidTr="00E223F8">
      <w:tc>
        <w:tcPr>
          <w:tcW w:w="10080" w:type="dxa"/>
        </w:tcPr>
        <w:p w14:paraId="5CE28500" w14:textId="248F289F" w:rsidR="00C9759D" w:rsidRDefault="00C9759D" w:rsidP="00E223F8">
          <w:pPr>
            <w:pStyle w:val="Header"/>
          </w:pPr>
        </w:p>
      </w:tc>
    </w:tr>
    <w:tr w:rsidR="00C9759D" w14:paraId="3363CEE6" w14:textId="77777777" w:rsidTr="00E223F8">
      <w:tc>
        <w:tcPr>
          <w:tcW w:w="10080" w:type="dxa"/>
        </w:tcPr>
        <w:p w14:paraId="3C80C71F" w14:textId="2AB503E9" w:rsidR="00C9759D" w:rsidRPr="00652145" w:rsidRDefault="00C9759D" w:rsidP="00E223F8">
          <w:pPr>
            <w:pStyle w:val="HeaderBold"/>
            <w:rPr>
              <w:szCs w:val="18"/>
            </w:rPr>
          </w:pPr>
          <w:r>
            <w:rPr>
              <w:rFonts w:cs="Arial"/>
              <w:b w:val="0"/>
              <w:color w:val="673561"/>
              <w:szCs w:val="18"/>
            </w:rPr>
            <w:t xml:space="preserve">The role of </w:t>
          </w:r>
          <w:r w:rsidRPr="00D44C4D">
            <w:rPr>
              <w:rFonts w:cs="Arial"/>
              <w:b w:val="0"/>
              <w:color w:val="673561"/>
              <w:szCs w:val="18"/>
            </w:rPr>
            <w:t xml:space="preserve">culture, sport and heritage </w:t>
          </w:r>
          <w:r>
            <w:rPr>
              <w:rFonts w:cs="Arial"/>
              <w:b w:val="0"/>
              <w:color w:val="673561"/>
              <w:szCs w:val="18"/>
            </w:rPr>
            <w:t>in place shaping</w:t>
          </w:r>
          <w:r w:rsidRPr="00652145">
            <w:rPr>
              <w:szCs w:val="18"/>
            </w:rPr>
            <w:t xml:space="preserve"> </w:t>
          </w:r>
        </w:p>
      </w:tc>
    </w:tr>
  </w:tbl>
  <w:p w14:paraId="170510D8" w14:textId="77777777" w:rsidR="00C9759D" w:rsidRDefault="00C975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9570"/>
    </w:tblGrid>
    <w:tr w:rsidR="00C9759D" w14:paraId="48566B4E" w14:textId="77777777" w:rsidTr="00E223F8">
      <w:tc>
        <w:tcPr>
          <w:tcW w:w="10080" w:type="dxa"/>
        </w:tcPr>
        <w:p w14:paraId="1481884B" w14:textId="3540CC5E" w:rsidR="00C9759D" w:rsidRDefault="00C9759D" w:rsidP="00E223F8">
          <w:pPr>
            <w:pStyle w:val="Header"/>
          </w:pPr>
        </w:p>
      </w:tc>
    </w:tr>
    <w:tr w:rsidR="00C9759D" w14:paraId="045E6004" w14:textId="77777777" w:rsidTr="00E223F8">
      <w:tc>
        <w:tcPr>
          <w:tcW w:w="10080" w:type="dxa"/>
        </w:tcPr>
        <w:p w14:paraId="365F62CF" w14:textId="2CF802DD" w:rsidR="00C9759D" w:rsidRPr="00652145" w:rsidRDefault="00C9759D" w:rsidP="00E223F8">
          <w:pPr>
            <w:pStyle w:val="HeaderBold"/>
            <w:rPr>
              <w:szCs w:val="18"/>
            </w:rPr>
          </w:pPr>
          <w:r>
            <w:rPr>
              <w:rFonts w:cs="Arial"/>
              <w:b w:val="0"/>
              <w:color w:val="673561"/>
              <w:szCs w:val="18"/>
            </w:rPr>
            <w:t xml:space="preserve">The role of </w:t>
          </w:r>
          <w:r w:rsidRPr="00D44C4D">
            <w:rPr>
              <w:rFonts w:cs="Arial"/>
              <w:b w:val="0"/>
              <w:color w:val="673561"/>
              <w:szCs w:val="18"/>
            </w:rPr>
            <w:t xml:space="preserve">culture, sport and heritage </w:t>
          </w:r>
          <w:r>
            <w:rPr>
              <w:rFonts w:cs="Arial"/>
              <w:b w:val="0"/>
              <w:color w:val="673561"/>
              <w:szCs w:val="18"/>
            </w:rPr>
            <w:t>in place shaping</w:t>
          </w:r>
          <w:r w:rsidRPr="00652145">
            <w:rPr>
              <w:szCs w:val="18"/>
            </w:rPr>
            <w:t xml:space="preserve"> </w:t>
          </w:r>
        </w:p>
      </w:tc>
    </w:tr>
  </w:tbl>
  <w:p w14:paraId="33963180" w14:textId="77777777" w:rsidR="00C9759D" w:rsidRDefault="00C975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9570"/>
    </w:tblGrid>
    <w:tr w:rsidR="00C9759D" w14:paraId="23010042" w14:textId="77777777" w:rsidTr="00E223F8">
      <w:tc>
        <w:tcPr>
          <w:tcW w:w="10080" w:type="dxa"/>
        </w:tcPr>
        <w:p w14:paraId="7FBA23EC" w14:textId="77777777" w:rsidR="00C9759D" w:rsidRDefault="00C9759D" w:rsidP="00E223F8">
          <w:pPr>
            <w:pStyle w:val="Header"/>
          </w:pPr>
          <w:r>
            <w:rPr>
              <w:noProof/>
              <w:lang w:eastAsia="en-GB"/>
            </w:rPr>
            <mc:AlternateContent>
              <mc:Choice Requires="wps">
                <w:drawing>
                  <wp:anchor distT="0" distB="0" distL="114300" distR="114300" simplePos="0" relativeHeight="251666432" behindDoc="0" locked="0" layoutInCell="1" allowOverlap="1" wp14:anchorId="178CD4BD" wp14:editId="10CA202B">
                    <wp:simplePos x="0" y="0"/>
                    <wp:positionH relativeFrom="column">
                      <wp:posOffset>5994400</wp:posOffset>
                    </wp:positionH>
                    <wp:positionV relativeFrom="paragraph">
                      <wp:posOffset>-22225</wp:posOffset>
                    </wp:positionV>
                    <wp:extent cx="288290" cy="288290"/>
                    <wp:effectExtent l="0" t="0" r="16510" b="165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14:paraId="2F416956" w14:textId="37FFA41E" w:rsidR="00C9759D" w:rsidRPr="00796D8C" w:rsidRDefault="00C9759D" w:rsidP="00796D8C">
                                <w:pPr>
                                  <w:pStyle w:val="HeaderBold"/>
                                  <w:spacing w:before="40"/>
                                  <w:jc w:val="center"/>
                                  <w:rPr>
                                    <w:b w:val="0"/>
                                  </w:rPr>
                                </w:pPr>
                                <w:r w:rsidRPr="00796D8C">
                                  <w:rPr>
                                    <w:b w:val="0"/>
                                  </w:rPr>
                                  <w:fldChar w:fldCharType="begin"/>
                                </w:r>
                                <w:r w:rsidRPr="00796D8C">
                                  <w:rPr>
                                    <w:b w:val="0"/>
                                  </w:rPr>
                                  <w:instrText xml:space="preserve"> PAGE  \* Arabic  \* MERGEFORMAT </w:instrText>
                                </w:r>
                                <w:r w:rsidRPr="00796D8C">
                                  <w:rPr>
                                    <w:b w:val="0"/>
                                  </w:rPr>
                                  <w:fldChar w:fldCharType="separate"/>
                                </w:r>
                                <w:r w:rsidR="001441E7">
                                  <w:rPr>
                                    <w:b w:val="0"/>
                                    <w:noProof/>
                                  </w:rPr>
                                  <w:t>4</w:t>
                                </w:r>
                                <w:r w:rsidRPr="00796D8C">
                                  <w:rPr>
                                    <w:b w:val="0"/>
                                  </w:rP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CD4BD" id="_x0000_t202" coordsize="21600,21600" o:spt="202" path="m,l,21600r21600,l21600,xe">
                    <v:stroke joinstyle="miter"/>
                    <v:path gradientshapeok="t" o:connecttype="rect"/>
                  </v:shapetype>
                  <v:shape id="Text Box 8" o:spid="_x0000_s1027" type="#_x0000_t202" style="position:absolute;margin-left:472pt;margin-top:-1.75pt;width:22.7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" strokeweight=".5pt">
                    <v:textbox inset="1mm,.5mm,1mm">
                      <w:txbxContent>
                        <w:p w14:paraId="2F416956" w14:textId="37FFA41E" w:rsidR="00C9759D" w:rsidRPr="00796D8C" w:rsidRDefault="00C9759D" w:rsidP="00796D8C">
                          <w:pPr>
                            <w:pStyle w:val="HeaderBold"/>
                            <w:spacing w:before="40"/>
                            <w:jc w:val="center"/>
                            <w:rPr>
                              <w:b w:val="0"/>
                            </w:rPr>
                          </w:pPr>
                          <w:r w:rsidRPr="00796D8C">
                            <w:rPr>
                              <w:b w:val="0"/>
                            </w:rPr>
                            <w:fldChar w:fldCharType="begin"/>
                          </w:r>
                          <w:r w:rsidRPr="00796D8C">
                            <w:rPr>
                              <w:b w:val="0"/>
                            </w:rPr>
                            <w:instrText xml:space="preserve"> PAGE  \* Arabic  \* MERGEFORMAT </w:instrText>
                          </w:r>
                          <w:r w:rsidRPr="00796D8C">
                            <w:rPr>
                              <w:b w:val="0"/>
                            </w:rPr>
                            <w:fldChar w:fldCharType="separate"/>
                          </w:r>
                          <w:r w:rsidR="001441E7">
                            <w:rPr>
                              <w:b w:val="0"/>
                              <w:noProof/>
                            </w:rPr>
                            <w:t>4</w:t>
                          </w:r>
                          <w:r w:rsidRPr="00796D8C">
                            <w:rPr>
                              <w:b w:val="0"/>
                            </w:rPr>
                            <w:fldChar w:fldCharType="end"/>
                          </w:r>
                        </w:p>
                      </w:txbxContent>
                    </v:textbox>
                  </v:shape>
                </w:pict>
              </mc:Fallback>
            </mc:AlternateContent>
          </w:r>
        </w:p>
      </w:tc>
    </w:tr>
    <w:tr w:rsidR="00C9759D" w14:paraId="094BE35D" w14:textId="77777777" w:rsidTr="00E223F8">
      <w:tc>
        <w:tcPr>
          <w:tcW w:w="10080" w:type="dxa"/>
        </w:tcPr>
        <w:p w14:paraId="7873B0A0" w14:textId="21917CA3" w:rsidR="00C9759D" w:rsidRPr="00652145" w:rsidRDefault="00C9759D" w:rsidP="00E223F8">
          <w:pPr>
            <w:pStyle w:val="HeaderBold"/>
            <w:rPr>
              <w:szCs w:val="18"/>
            </w:rPr>
          </w:pPr>
          <w:r>
            <w:rPr>
              <w:rFonts w:cs="Arial"/>
              <w:b w:val="0"/>
              <w:color w:val="673561"/>
              <w:szCs w:val="18"/>
            </w:rPr>
            <w:t xml:space="preserve">The role of </w:t>
          </w:r>
          <w:r w:rsidRPr="00D44C4D">
            <w:rPr>
              <w:rFonts w:cs="Arial"/>
              <w:b w:val="0"/>
              <w:color w:val="673561"/>
              <w:szCs w:val="18"/>
            </w:rPr>
            <w:t xml:space="preserve">culture, sport and heritage </w:t>
          </w:r>
          <w:r>
            <w:rPr>
              <w:rFonts w:cs="Arial"/>
              <w:b w:val="0"/>
              <w:color w:val="673561"/>
              <w:szCs w:val="18"/>
            </w:rPr>
            <w:t>in place shaping</w:t>
          </w:r>
          <w:r w:rsidRPr="00652145">
            <w:rPr>
              <w:szCs w:val="18"/>
            </w:rPr>
            <w:t xml:space="preserve"> </w:t>
          </w:r>
        </w:p>
      </w:tc>
    </w:tr>
  </w:tbl>
  <w:p w14:paraId="3F5E165D" w14:textId="77777777" w:rsidR="00C9759D" w:rsidRDefault="00C975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9570"/>
    </w:tblGrid>
    <w:tr w:rsidR="00C9759D" w14:paraId="1AF3BAB4" w14:textId="77777777" w:rsidTr="00E223F8">
      <w:tc>
        <w:tcPr>
          <w:tcW w:w="10080" w:type="dxa"/>
        </w:tcPr>
        <w:p w14:paraId="795DB4F3" w14:textId="77777777" w:rsidR="00C9759D" w:rsidRDefault="00C9759D" w:rsidP="00E223F8">
          <w:pPr>
            <w:pStyle w:val="Header"/>
          </w:pPr>
          <w:r>
            <w:rPr>
              <w:noProof/>
              <w:lang w:eastAsia="en-GB"/>
            </w:rPr>
            <mc:AlternateContent>
              <mc:Choice Requires="wps">
                <w:drawing>
                  <wp:anchor distT="0" distB="0" distL="114300" distR="114300" simplePos="0" relativeHeight="251672576" behindDoc="0" locked="0" layoutInCell="1" allowOverlap="1" wp14:anchorId="4C7A48F2" wp14:editId="0A4D3C77">
                    <wp:simplePos x="0" y="0"/>
                    <wp:positionH relativeFrom="column">
                      <wp:posOffset>5994400</wp:posOffset>
                    </wp:positionH>
                    <wp:positionV relativeFrom="paragraph">
                      <wp:posOffset>-22225</wp:posOffset>
                    </wp:positionV>
                    <wp:extent cx="288290" cy="288290"/>
                    <wp:effectExtent l="0" t="0" r="16510" b="165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14:paraId="47A40B30" w14:textId="4BB8FFC9" w:rsidR="00C9759D" w:rsidRPr="00796D8C" w:rsidRDefault="00C9759D" w:rsidP="00796D8C">
                                <w:pPr>
                                  <w:pStyle w:val="HeaderBold"/>
                                  <w:spacing w:before="40"/>
                                  <w:jc w:val="center"/>
                                  <w:rPr>
                                    <w:b w:val="0"/>
                                  </w:rPr>
                                </w:pPr>
                                <w:r w:rsidRPr="00796D8C">
                                  <w:rPr>
                                    <w:b w:val="0"/>
                                  </w:rPr>
                                  <w:fldChar w:fldCharType="begin"/>
                                </w:r>
                                <w:r w:rsidRPr="00796D8C">
                                  <w:rPr>
                                    <w:b w:val="0"/>
                                  </w:rPr>
                                  <w:instrText xml:space="preserve"> PAGE  \* Arabic  \* MERGEFORMAT </w:instrText>
                                </w:r>
                                <w:r w:rsidRPr="00796D8C">
                                  <w:rPr>
                                    <w:b w:val="0"/>
                                  </w:rPr>
                                  <w:fldChar w:fldCharType="separate"/>
                                </w:r>
                                <w:r w:rsidR="001441E7">
                                  <w:rPr>
                                    <w:b w:val="0"/>
                                    <w:noProof/>
                                  </w:rPr>
                                  <w:t>82</w:t>
                                </w:r>
                                <w:r w:rsidRPr="00796D8C">
                                  <w:rPr>
                                    <w:b w:val="0"/>
                                  </w:rP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A48F2" id="_x0000_t202" coordsize="21600,21600" o:spt="202" path="m,l,21600r21600,l21600,xe">
                    <v:stroke joinstyle="miter"/>
                    <v:path gradientshapeok="t" o:connecttype="rect"/>
                  </v:shapetype>
                  <v:shape id="Text Box 12" o:spid="_x0000_s1028" type="#_x0000_t202" style="position:absolute;margin-left:472pt;margin-top:-1.75pt;width:22.7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" strokeweight=".5pt">
                    <v:textbox inset="1mm,.5mm,1mm">
                      <w:txbxContent>
                        <w:p w14:paraId="47A40B30" w14:textId="4BB8FFC9" w:rsidR="00C9759D" w:rsidRPr="00796D8C" w:rsidRDefault="00C9759D" w:rsidP="00796D8C">
                          <w:pPr>
                            <w:pStyle w:val="HeaderBold"/>
                            <w:spacing w:before="40"/>
                            <w:jc w:val="center"/>
                            <w:rPr>
                              <w:b w:val="0"/>
                            </w:rPr>
                          </w:pPr>
                          <w:r w:rsidRPr="00796D8C">
                            <w:rPr>
                              <w:b w:val="0"/>
                            </w:rPr>
                            <w:fldChar w:fldCharType="begin"/>
                          </w:r>
                          <w:r w:rsidRPr="00796D8C">
                            <w:rPr>
                              <w:b w:val="0"/>
                            </w:rPr>
                            <w:instrText xml:space="preserve"> PAGE  \* Arabic  \* MERGEFORMAT </w:instrText>
                          </w:r>
                          <w:r w:rsidRPr="00796D8C">
                            <w:rPr>
                              <w:b w:val="0"/>
                            </w:rPr>
                            <w:fldChar w:fldCharType="separate"/>
                          </w:r>
                          <w:r w:rsidR="001441E7">
                            <w:rPr>
                              <w:b w:val="0"/>
                              <w:noProof/>
                            </w:rPr>
                            <w:t>82</w:t>
                          </w:r>
                          <w:r w:rsidRPr="00796D8C">
                            <w:rPr>
                              <w:b w:val="0"/>
                            </w:rPr>
                            <w:fldChar w:fldCharType="end"/>
                          </w:r>
                        </w:p>
                      </w:txbxContent>
                    </v:textbox>
                  </v:shape>
                </w:pict>
              </mc:Fallback>
            </mc:AlternateContent>
          </w:r>
        </w:p>
      </w:tc>
    </w:tr>
    <w:tr w:rsidR="00C9759D" w14:paraId="3ADD272F" w14:textId="77777777" w:rsidTr="00E223F8">
      <w:tc>
        <w:tcPr>
          <w:tcW w:w="10080" w:type="dxa"/>
        </w:tcPr>
        <w:p w14:paraId="134E3893" w14:textId="77777777" w:rsidR="00C9759D" w:rsidRPr="00652145" w:rsidRDefault="00C9759D" w:rsidP="00E223F8">
          <w:pPr>
            <w:pStyle w:val="HeaderBold"/>
            <w:rPr>
              <w:szCs w:val="18"/>
            </w:rPr>
          </w:pPr>
          <w:r>
            <w:rPr>
              <w:rFonts w:cs="Arial"/>
              <w:b w:val="0"/>
              <w:color w:val="673561"/>
              <w:szCs w:val="18"/>
            </w:rPr>
            <w:t xml:space="preserve">The role of </w:t>
          </w:r>
          <w:r w:rsidRPr="00D44C4D">
            <w:rPr>
              <w:rFonts w:cs="Arial"/>
              <w:b w:val="0"/>
              <w:color w:val="673561"/>
              <w:szCs w:val="18"/>
            </w:rPr>
            <w:t xml:space="preserve">culture, sport and heritage </w:t>
          </w:r>
          <w:r>
            <w:rPr>
              <w:rFonts w:cs="Arial"/>
              <w:b w:val="0"/>
              <w:color w:val="673561"/>
              <w:szCs w:val="18"/>
            </w:rPr>
            <w:t>in place shaping</w:t>
          </w:r>
          <w:r w:rsidRPr="00652145">
            <w:rPr>
              <w:szCs w:val="18"/>
            </w:rPr>
            <w:t xml:space="preserve"> </w:t>
          </w:r>
        </w:p>
      </w:tc>
    </w:tr>
  </w:tbl>
  <w:p w14:paraId="5135105D" w14:textId="77777777" w:rsidR="00C9759D" w:rsidRDefault="00C97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DB877AE"/>
    <w:lvl w:ilvl="0">
      <w:start w:val="1"/>
      <w:numFmt w:val="bullet"/>
      <w:pStyle w:val="ListBullet"/>
      <w:lvlText w:val=""/>
      <w:lvlJc w:val="left"/>
      <w:pPr>
        <w:tabs>
          <w:tab w:val="num" w:pos="2381"/>
        </w:tabs>
        <w:ind w:left="2381" w:hanging="453"/>
      </w:pPr>
      <w:rPr>
        <w:rFonts w:ascii="Symbol" w:hAnsi="Symbol" w:hint="default"/>
      </w:rPr>
    </w:lvl>
  </w:abstractNum>
  <w:abstractNum w:abstractNumId="1" w15:restartNumberingAfterBreak="0">
    <w:nsid w:val="00741EC9"/>
    <w:multiLevelType w:val="hybridMultilevel"/>
    <w:tmpl w:val="9BDCE5B8"/>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 w15:restartNumberingAfterBreak="0">
    <w:nsid w:val="015B2E88"/>
    <w:multiLevelType w:val="hybridMultilevel"/>
    <w:tmpl w:val="ECC0001E"/>
    <w:lvl w:ilvl="0" w:tplc="C7360B8A">
      <w:start w:val="1"/>
      <w:numFmt w:val="decimal"/>
      <w:lvlText w:val="(%1)"/>
      <w:lvlJc w:val="left"/>
      <w:pPr>
        <w:ind w:left="720" w:hanging="360"/>
      </w:pPr>
      <w:rPr>
        <w:rFonts w:ascii="Tahoma" w:eastAsia="Times New Roman"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06073C"/>
    <w:multiLevelType w:val="hybridMultilevel"/>
    <w:tmpl w:val="69D0E53E"/>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4" w15:restartNumberingAfterBreak="0">
    <w:nsid w:val="05466EE7"/>
    <w:multiLevelType w:val="multilevel"/>
    <w:tmpl w:val="A2A2AE18"/>
    <w:styleLink w:val="List0"/>
    <w:lvl w:ilvl="0">
      <w:numFmt w:val="bullet"/>
      <w:lvlText w:val="•"/>
      <w:lvlJc w:val="left"/>
      <w:rPr>
        <w:i/>
        <w:iCs/>
        <w:position w:val="-2"/>
      </w:rPr>
    </w:lvl>
    <w:lvl w:ilvl="1">
      <w:start w:val="1"/>
      <w:numFmt w:val="bullet"/>
      <w:lvlText w:val="•"/>
      <w:lvlJc w:val="left"/>
      <w:rPr>
        <w:i/>
        <w:iCs/>
        <w:position w:val="-2"/>
      </w:rPr>
    </w:lvl>
    <w:lvl w:ilvl="2">
      <w:start w:val="1"/>
      <w:numFmt w:val="bullet"/>
      <w:lvlText w:val="•"/>
      <w:lvlJc w:val="left"/>
      <w:rPr>
        <w:i/>
        <w:iCs/>
        <w:position w:val="-2"/>
      </w:rPr>
    </w:lvl>
    <w:lvl w:ilvl="3">
      <w:start w:val="1"/>
      <w:numFmt w:val="bullet"/>
      <w:lvlText w:val="•"/>
      <w:lvlJc w:val="left"/>
      <w:rPr>
        <w:i/>
        <w:iCs/>
        <w:position w:val="-2"/>
      </w:rPr>
    </w:lvl>
    <w:lvl w:ilvl="4">
      <w:start w:val="1"/>
      <w:numFmt w:val="bullet"/>
      <w:lvlText w:val="•"/>
      <w:lvlJc w:val="left"/>
      <w:rPr>
        <w:i/>
        <w:iCs/>
        <w:position w:val="-2"/>
      </w:rPr>
    </w:lvl>
    <w:lvl w:ilvl="5">
      <w:start w:val="1"/>
      <w:numFmt w:val="bullet"/>
      <w:lvlText w:val="•"/>
      <w:lvlJc w:val="left"/>
      <w:rPr>
        <w:i/>
        <w:iCs/>
        <w:position w:val="-2"/>
      </w:rPr>
    </w:lvl>
    <w:lvl w:ilvl="6">
      <w:start w:val="1"/>
      <w:numFmt w:val="bullet"/>
      <w:lvlText w:val="•"/>
      <w:lvlJc w:val="left"/>
      <w:rPr>
        <w:i/>
        <w:iCs/>
        <w:position w:val="-2"/>
      </w:rPr>
    </w:lvl>
    <w:lvl w:ilvl="7">
      <w:start w:val="1"/>
      <w:numFmt w:val="bullet"/>
      <w:lvlText w:val="•"/>
      <w:lvlJc w:val="left"/>
      <w:rPr>
        <w:i/>
        <w:iCs/>
        <w:position w:val="-2"/>
      </w:rPr>
    </w:lvl>
    <w:lvl w:ilvl="8">
      <w:start w:val="1"/>
      <w:numFmt w:val="bullet"/>
      <w:lvlText w:val="•"/>
      <w:lvlJc w:val="left"/>
      <w:rPr>
        <w:i/>
        <w:iCs/>
        <w:position w:val="-2"/>
      </w:rPr>
    </w:lvl>
  </w:abstractNum>
  <w:abstractNum w:abstractNumId="5" w15:restartNumberingAfterBreak="0">
    <w:nsid w:val="08A41A53"/>
    <w:multiLevelType w:val="hybridMultilevel"/>
    <w:tmpl w:val="15FE304E"/>
    <w:lvl w:ilvl="0" w:tplc="80D633E6">
      <w:start w:val="1"/>
      <w:numFmt w:val="decimal"/>
      <w:lvlText w:val="%1."/>
      <w:lvlJc w:val="left"/>
      <w:pPr>
        <w:ind w:left="2081" w:hanging="360"/>
      </w:pPr>
      <w:rPr>
        <w:rFonts w:hint="default"/>
        <w:color w:val="095AA6"/>
      </w:rPr>
    </w:lvl>
    <w:lvl w:ilvl="1" w:tplc="08090019" w:tentative="1">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6" w15:restartNumberingAfterBreak="0">
    <w:nsid w:val="0AE92DF6"/>
    <w:multiLevelType w:val="hybridMultilevel"/>
    <w:tmpl w:val="04B83FF8"/>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7" w15:restartNumberingAfterBreak="0">
    <w:nsid w:val="0E144EBE"/>
    <w:multiLevelType w:val="hybridMultilevel"/>
    <w:tmpl w:val="05283DDA"/>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8" w15:restartNumberingAfterBreak="0">
    <w:nsid w:val="12615832"/>
    <w:multiLevelType w:val="hybridMultilevel"/>
    <w:tmpl w:val="6BC6E63E"/>
    <w:lvl w:ilvl="0" w:tplc="80D633E6">
      <w:start w:val="1"/>
      <w:numFmt w:val="decimal"/>
      <w:lvlText w:val="%1."/>
      <w:lvlJc w:val="left"/>
      <w:pPr>
        <w:tabs>
          <w:tab w:val="num" w:pos="2441"/>
        </w:tabs>
        <w:ind w:left="2441" w:hanging="360"/>
      </w:pPr>
      <w:rPr>
        <w:rFonts w:hint="default"/>
        <w:color w:val="095AA6"/>
      </w:rPr>
    </w:lvl>
    <w:lvl w:ilvl="1" w:tplc="08090003" w:tentative="1">
      <w:start w:val="1"/>
      <w:numFmt w:val="bullet"/>
      <w:lvlText w:val="o"/>
      <w:lvlJc w:val="left"/>
      <w:pPr>
        <w:ind w:left="3161" w:hanging="360"/>
      </w:pPr>
      <w:rPr>
        <w:rFonts w:ascii="Courier New" w:hAnsi="Courier New" w:cs="Courier New" w:hint="default"/>
      </w:rPr>
    </w:lvl>
    <w:lvl w:ilvl="2" w:tplc="08090005" w:tentative="1">
      <w:start w:val="1"/>
      <w:numFmt w:val="bullet"/>
      <w:lvlText w:val=""/>
      <w:lvlJc w:val="left"/>
      <w:pPr>
        <w:ind w:left="3881" w:hanging="360"/>
      </w:pPr>
      <w:rPr>
        <w:rFonts w:ascii="Wingdings" w:hAnsi="Wingdings" w:hint="default"/>
      </w:rPr>
    </w:lvl>
    <w:lvl w:ilvl="3" w:tplc="08090001" w:tentative="1">
      <w:start w:val="1"/>
      <w:numFmt w:val="bullet"/>
      <w:lvlText w:val=""/>
      <w:lvlJc w:val="left"/>
      <w:pPr>
        <w:ind w:left="4601" w:hanging="360"/>
      </w:pPr>
      <w:rPr>
        <w:rFonts w:ascii="Symbol" w:hAnsi="Symbol" w:hint="default"/>
      </w:rPr>
    </w:lvl>
    <w:lvl w:ilvl="4" w:tplc="08090003" w:tentative="1">
      <w:start w:val="1"/>
      <w:numFmt w:val="bullet"/>
      <w:lvlText w:val="o"/>
      <w:lvlJc w:val="left"/>
      <w:pPr>
        <w:ind w:left="5321" w:hanging="360"/>
      </w:pPr>
      <w:rPr>
        <w:rFonts w:ascii="Courier New" w:hAnsi="Courier New" w:cs="Courier New" w:hint="default"/>
      </w:rPr>
    </w:lvl>
    <w:lvl w:ilvl="5" w:tplc="08090005" w:tentative="1">
      <w:start w:val="1"/>
      <w:numFmt w:val="bullet"/>
      <w:lvlText w:val=""/>
      <w:lvlJc w:val="left"/>
      <w:pPr>
        <w:ind w:left="6041" w:hanging="360"/>
      </w:pPr>
      <w:rPr>
        <w:rFonts w:ascii="Wingdings" w:hAnsi="Wingdings" w:hint="default"/>
      </w:rPr>
    </w:lvl>
    <w:lvl w:ilvl="6" w:tplc="08090001" w:tentative="1">
      <w:start w:val="1"/>
      <w:numFmt w:val="bullet"/>
      <w:lvlText w:val=""/>
      <w:lvlJc w:val="left"/>
      <w:pPr>
        <w:ind w:left="6761" w:hanging="360"/>
      </w:pPr>
      <w:rPr>
        <w:rFonts w:ascii="Symbol" w:hAnsi="Symbol" w:hint="default"/>
      </w:rPr>
    </w:lvl>
    <w:lvl w:ilvl="7" w:tplc="08090003" w:tentative="1">
      <w:start w:val="1"/>
      <w:numFmt w:val="bullet"/>
      <w:lvlText w:val="o"/>
      <w:lvlJc w:val="left"/>
      <w:pPr>
        <w:ind w:left="7481" w:hanging="360"/>
      </w:pPr>
      <w:rPr>
        <w:rFonts w:ascii="Courier New" w:hAnsi="Courier New" w:cs="Courier New" w:hint="default"/>
      </w:rPr>
    </w:lvl>
    <w:lvl w:ilvl="8" w:tplc="08090005" w:tentative="1">
      <w:start w:val="1"/>
      <w:numFmt w:val="bullet"/>
      <w:lvlText w:val=""/>
      <w:lvlJc w:val="left"/>
      <w:pPr>
        <w:ind w:left="8201" w:hanging="360"/>
      </w:pPr>
      <w:rPr>
        <w:rFonts w:ascii="Wingdings" w:hAnsi="Wingdings" w:hint="default"/>
      </w:rPr>
    </w:lvl>
  </w:abstractNum>
  <w:abstractNum w:abstractNumId="9" w15:restartNumberingAfterBreak="0">
    <w:nsid w:val="1529739F"/>
    <w:multiLevelType w:val="hybridMultilevel"/>
    <w:tmpl w:val="5394C8F4"/>
    <w:lvl w:ilvl="0" w:tplc="E52432F2">
      <w:start w:val="1"/>
      <w:numFmt w:val="bullet"/>
      <w:pStyle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0" w15:restartNumberingAfterBreak="0">
    <w:nsid w:val="15A464DF"/>
    <w:multiLevelType w:val="hybridMultilevel"/>
    <w:tmpl w:val="63DE9052"/>
    <w:lvl w:ilvl="0" w:tplc="6718A346">
      <w:start w:val="1"/>
      <w:numFmt w:val="decimal"/>
      <w:pStyle w:val="Tablecaption"/>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DF0E9E"/>
    <w:multiLevelType w:val="hybridMultilevel"/>
    <w:tmpl w:val="8BDE652A"/>
    <w:lvl w:ilvl="0" w:tplc="A9F6DDE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7931B51"/>
    <w:multiLevelType w:val="hybridMultilevel"/>
    <w:tmpl w:val="AEA6A246"/>
    <w:lvl w:ilvl="0" w:tplc="5B5A203A">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A4E5D32"/>
    <w:multiLevelType w:val="hybridMultilevel"/>
    <w:tmpl w:val="3500BE1C"/>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4" w15:restartNumberingAfterBreak="0">
    <w:nsid w:val="1C29749F"/>
    <w:multiLevelType w:val="hybridMultilevel"/>
    <w:tmpl w:val="7DB4C448"/>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5" w15:restartNumberingAfterBreak="0">
    <w:nsid w:val="1E8E6B4E"/>
    <w:multiLevelType w:val="hybridMultilevel"/>
    <w:tmpl w:val="A7DE885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6" w15:restartNumberingAfterBreak="0">
    <w:nsid w:val="21003202"/>
    <w:multiLevelType w:val="hybridMultilevel"/>
    <w:tmpl w:val="897619B4"/>
    <w:lvl w:ilvl="0" w:tplc="1EE48F92">
      <w:start w:val="1"/>
      <w:numFmt w:val="decimal"/>
      <w:lvlText w:val="%1."/>
      <w:lvlJc w:val="left"/>
      <w:pPr>
        <w:tabs>
          <w:tab w:val="num" w:pos="2441"/>
        </w:tabs>
        <w:ind w:left="2441" w:hanging="360"/>
      </w:pPr>
      <w:rPr>
        <w:rFonts w:hint="default"/>
        <w:color w:val="095AA6"/>
      </w:rPr>
    </w:lvl>
    <w:lvl w:ilvl="1" w:tplc="08090003">
      <w:start w:val="1"/>
      <w:numFmt w:val="bullet"/>
      <w:lvlText w:val="o"/>
      <w:lvlJc w:val="left"/>
      <w:pPr>
        <w:ind w:left="3161" w:hanging="360"/>
      </w:pPr>
      <w:rPr>
        <w:rFonts w:ascii="Courier New" w:hAnsi="Courier New" w:cs="Courier New" w:hint="default"/>
      </w:rPr>
    </w:lvl>
    <w:lvl w:ilvl="2" w:tplc="08090005" w:tentative="1">
      <w:start w:val="1"/>
      <w:numFmt w:val="bullet"/>
      <w:lvlText w:val=""/>
      <w:lvlJc w:val="left"/>
      <w:pPr>
        <w:ind w:left="3881" w:hanging="360"/>
      </w:pPr>
      <w:rPr>
        <w:rFonts w:ascii="Wingdings" w:hAnsi="Wingdings" w:hint="default"/>
      </w:rPr>
    </w:lvl>
    <w:lvl w:ilvl="3" w:tplc="08090001" w:tentative="1">
      <w:start w:val="1"/>
      <w:numFmt w:val="bullet"/>
      <w:lvlText w:val=""/>
      <w:lvlJc w:val="left"/>
      <w:pPr>
        <w:ind w:left="4601" w:hanging="360"/>
      </w:pPr>
      <w:rPr>
        <w:rFonts w:ascii="Symbol" w:hAnsi="Symbol" w:hint="default"/>
      </w:rPr>
    </w:lvl>
    <w:lvl w:ilvl="4" w:tplc="08090003" w:tentative="1">
      <w:start w:val="1"/>
      <w:numFmt w:val="bullet"/>
      <w:lvlText w:val="o"/>
      <w:lvlJc w:val="left"/>
      <w:pPr>
        <w:ind w:left="5321" w:hanging="360"/>
      </w:pPr>
      <w:rPr>
        <w:rFonts w:ascii="Courier New" w:hAnsi="Courier New" w:cs="Courier New" w:hint="default"/>
      </w:rPr>
    </w:lvl>
    <w:lvl w:ilvl="5" w:tplc="08090005" w:tentative="1">
      <w:start w:val="1"/>
      <w:numFmt w:val="bullet"/>
      <w:lvlText w:val=""/>
      <w:lvlJc w:val="left"/>
      <w:pPr>
        <w:ind w:left="6041" w:hanging="360"/>
      </w:pPr>
      <w:rPr>
        <w:rFonts w:ascii="Wingdings" w:hAnsi="Wingdings" w:hint="default"/>
      </w:rPr>
    </w:lvl>
    <w:lvl w:ilvl="6" w:tplc="08090001" w:tentative="1">
      <w:start w:val="1"/>
      <w:numFmt w:val="bullet"/>
      <w:lvlText w:val=""/>
      <w:lvlJc w:val="left"/>
      <w:pPr>
        <w:ind w:left="6761" w:hanging="360"/>
      </w:pPr>
      <w:rPr>
        <w:rFonts w:ascii="Symbol" w:hAnsi="Symbol" w:hint="default"/>
      </w:rPr>
    </w:lvl>
    <w:lvl w:ilvl="7" w:tplc="08090003" w:tentative="1">
      <w:start w:val="1"/>
      <w:numFmt w:val="bullet"/>
      <w:lvlText w:val="o"/>
      <w:lvlJc w:val="left"/>
      <w:pPr>
        <w:ind w:left="7481" w:hanging="360"/>
      </w:pPr>
      <w:rPr>
        <w:rFonts w:ascii="Courier New" w:hAnsi="Courier New" w:cs="Courier New" w:hint="default"/>
      </w:rPr>
    </w:lvl>
    <w:lvl w:ilvl="8" w:tplc="08090005" w:tentative="1">
      <w:start w:val="1"/>
      <w:numFmt w:val="bullet"/>
      <w:lvlText w:val=""/>
      <w:lvlJc w:val="left"/>
      <w:pPr>
        <w:ind w:left="8201" w:hanging="360"/>
      </w:pPr>
      <w:rPr>
        <w:rFonts w:ascii="Wingdings" w:hAnsi="Wingdings" w:hint="default"/>
      </w:rPr>
    </w:lvl>
  </w:abstractNum>
  <w:abstractNum w:abstractNumId="17" w15:restartNumberingAfterBreak="0">
    <w:nsid w:val="21D76FF0"/>
    <w:multiLevelType w:val="hybridMultilevel"/>
    <w:tmpl w:val="27567A1E"/>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8" w15:restartNumberingAfterBreak="0">
    <w:nsid w:val="268F644F"/>
    <w:multiLevelType w:val="hybridMultilevel"/>
    <w:tmpl w:val="E536E87A"/>
    <w:lvl w:ilvl="0" w:tplc="80D633E6">
      <w:start w:val="1"/>
      <w:numFmt w:val="decimal"/>
      <w:lvlText w:val="%1."/>
      <w:lvlJc w:val="left"/>
      <w:pPr>
        <w:ind w:left="2081" w:hanging="360"/>
      </w:pPr>
      <w:rPr>
        <w:rFonts w:hint="default"/>
        <w:color w:val="095AA6"/>
      </w:rPr>
    </w:lvl>
    <w:lvl w:ilvl="1" w:tplc="08090019" w:tentative="1">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19" w15:restartNumberingAfterBreak="0">
    <w:nsid w:val="28494130"/>
    <w:multiLevelType w:val="hybridMultilevel"/>
    <w:tmpl w:val="25F2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70867"/>
    <w:multiLevelType w:val="hybridMultilevel"/>
    <w:tmpl w:val="9F805AA6"/>
    <w:lvl w:ilvl="0" w:tplc="0576EC82">
      <w:start w:val="1"/>
      <w:numFmt w:val="decimal"/>
      <w:pStyle w:val="NumberedList"/>
      <w:lvlText w:val="%1."/>
      <w:lvlJc w:val="left"/>
      <w:pPr>
        <w:ind w:left="2081" w:hanging="360"/>
      </w:pPr>
      <w:rPr>
        <w:rFonts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1" w15:restartNumberingAfterBreak="0">
    <w:nsid w:val="2F7253FD"/>
    <w:multiLevelType w:val="hybridMultilevel"/>
    <w:tmpl w:val="D2B6274C"/>
    <w:lvl w:ilvl="0" w:tplc="08090001">
      <w:start w:val="1"/>
      <w:numFmt w:val="bullet"/>
      <w:lvlText w:val=""/>
      <w:lvlJc w:val="left"/>
      <w:pPr>
        <w:tabs>
          <w:tab w:val="num" w:pos="2081"/>
        </w:tabs>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2" w15:restartNumberingAfterBreak="0">
    <w:nsid w:val="2FF80626"/>
    <w:multiLevelType w:val="hybridMultilevel"/>
    <w:tmpl w:val="3FEA488C"/>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3" w15:restartNumberingAfterBreak="0">
    <w:nsid w:val="30376681"/>
    <w:multiLevelType w:val="hybridMultilevel"/>
    <w:tmpl w:val="64442494"/>
    <w:lvl w:ilvl="0" w:tplc="2C9A6C84">
      <w:start w:val="1"/>
      <w:numFmt w:val="bullet"/>
      <w:lvlText w:val=""/>
      <w:lvlJc w:val="left"/>
      <w:pPr>
        <w:ind w:left="720" w:hanging="360"/>
      </w:pPr>
      <w:rPr>
        <w:rFonts w:ascii="Symbol" w:hAnsi="Symbol" w:hint="default"/>
        <w:color w:val="095A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3C1A17"/>
    <w:multiLevelType w:val="multilevel"/>
    <w:tmpl w:val="FC3E9A82"/>
    <w:lvl w:ilvl="0">
      <w:start w:val="1"/>
      <w:numFmt w:val="decimal"/>
      <w:pStyle w:val="Heading1Numbered"/>
      <w:suff w:val="space"/>
      <w:lvlText w:val="%1:"/>
      <w:lvlJc w:val="left"/>
      <w:pPr>
        <w:ind w:left="426" w:firstLine="0"/>
      </w:pPr>
      <w:rPr>
        <w:rFonts w:hint="default"/>
        <w:color w:val="673561"/>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1080"/>
        </w:tabs>
        <w:ind w:left="851" w:hanging="851"/>
      </w:pPr>
      <w:rPr>
        <w:rFonts w:hint="default"/>
      </w:rPr>
    </w:lvl>
    <w:lvl w:ilvl="3">
      <w:start w:val="1"/>
      <w:numFmt w:val="decimal"/>
      <w:pStyle w:val="Heading4Numbered"/>
      <w:lvlText w:val="%1.%2.%3.%4"/>
      <w:lvlJc w:val="left"/>
      <w:pPr>
        <w:tabs>
          <w:tab w:val="num" w:pos="1440"/>
        </w:tabs>
        <w:ind w:left="1440" w:hanging="1440"/>
      </w:pPr>
      <w:rPr>
        <w:rFonts w:hint="default"/>
      </w:rPr>
    </w:lvl>
    <w:lvl w:ilvl="4">
      <w:start w:val="1"/>
      <w:numFmt w:val="decimal"/>
      <w:pStyle w:val="Heading5Numbered"/>
      <w:lvlText w:val="%1.%2.%3.%4.%5"/>
      <w:lvlJc w:val="left"/>
      <w:pPr>
        <w:tabs>
          <w:tab w:val="num" w:pos="1800"/>
        </w:tabs>
        <w:ind w:left="1800" w:hanging="1800"/>
      </w:pPr>
      <w:rPr>
        <w:rFonts w:hint="default"/>
      </w:rPr>
    </w:lvl>
    <w:lvl w:ilvl="5">
      <w:start w:val="1"/>
      <w:numFmt w:val="decimal"/>
      <w:pStyle w:val="Heading6Numbered"/>
      <w:lvlText w:val="%1.%2.%3.%4.%5.%6"/>
      <w:lvlJc w:val="left"/>
      <w:pPr>
        <w:tabs>
          <w:tab w:val="num" w:pos="2160"/>
        </w:tabs>
        <w:ind w:left="2160" w:hanging="2160"/>
      </w:pPr>
      <w:rPr>
        <w:rFonts w:hint="default"/>
      </w:rPr>
    </w:lvl>
    <w:lvl w:ilvl="6">
      <w:start w:val="1"/>
      <w:numFmt w:val="decimal"/>
      <w:pStyle w:val="Heading7Numbered"/>
      <w:lvlText w:val="%1.%2.%3.%4.%5.%6.%7"/>
      <w:lvlJc w:val="left"/>
      <w:pPr>
        <w:tabs>
          <w:tab w:val="num" w:pos="2520"/>
        </w:tabs>
        <w:ind w:left="2520" w:hanging="2520"/>
      </w:pPr>
      <w:rPr>
        <w:rFonts w:hint="default"/>
      </w:rPr>
    </w:lvl>
    <w:lvl w:ilvl="7">
      <w:start w:val="1"/>
      <w:numFmt w:val="decimal"/>
      <w:pStyle w:val="Heading8Numbered"/>
      <w:lvlText w:val="%1.%2.%3.%4.%5.%6.%7.%8"/>
      <w:lvlJc w:val="left"/>
      <w:pPr>
        <w:tabs>
          <w:tab w:val="num" w:pos="2880"/>
        </w:tabs>
        <w:ind w:left="2880" w:hanging="2880"/>
      </w:pPr>
      <w:rPr>
        <w:rFonts w:hint="default"/>
      </w:rPr>
    </w:lvl>
    <w:lvl w:ilvl="8">
      <w:start w:val="1"/>
      <w:numFmt w:val="decimal"/>
      <w:pStyle w:val="Heading9Numbered"/>
      <w:lvlText w:val="%1.%2.%3.%4.%5.%6.%7.%8.%9"/>
      <w:lvlJc w:val="left"/>
      <w:pPr>
        <w:tabs>
          <w:tab w:val="num" w:pos="3240"/>
        </w:tabs>
        <w:ind w:left="3240" w:hanging="3240"/>
      </w:pPr>
      <w:rPr>
        <w:rFonts w:hint="default"/>
      </w:rPr>
    </w:lvl>
  </w:abstractNum>
  <w:abstractNum w:abstractNumId="25" w15:restartNumberingAfterBreak="0">
    <w:nsid w:val="30BE1D6C"/>
    <w:multiLevelType w:val="hybridMultilevel"/>
    <w:tmpl w:val="EE72225C"/>
    <w:lvl w:ilvl="0" w:tplc="80D633E6">
      <w:start w:val="1"/>
      <w:numFmt w:val="decimal"/>
      <w:lvlText w:val="%1."/>
      <w:lvlJc w:val="left"/>
      <w:pPr>
        <w:ind w:left="2081" w:hanging="360"/>
      </w:pPr>
      <w:rPr>
        <w:rFonts w:hint="default"/>
        <w:color w:val="095AA6"/>
      </w:rPr>
    </w:lvl>
    <w:lvl w:ilvl="1" w:tplc="08090019" w:tentative="1">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26" w15:restartNumberingAfterBreak="0">
    <w:nsid w:val="326A4D02"/>
    <w:multiLevelType w:val="hybridMultilevel"/>
    <w:tmpl w:val="02B4FEFA"/>
    <w:lvl w:ilvl="0" w:tplc="80D633E6">
      <w:start w:val="1"/>
      <w:numFmt w:val="decimal"/>
      <w:lvlText w:val="%1."/>
      <w:lvlJc w:val="left"/>
      <w:pPr>
        <w:ind w:left="2081" w:hanging="360"/>
      </w:pPr>
      <w:rPr>
        <w:rFonts w:hint="default"/>
        <w:color w:val="095AA6"/>
      </w:rPr>
    </w:lvl>
    <w:lvl w:ilvl="1" w:tplc="08090019" w:tentative="1">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27" w15:restartNumberingAfterBreak="0">
    <w:nsid w:val="33A92A36"/>
    <w:multiLevelType w:val="hybridMultilevel"/>
    <w:tmpl w:val="2AFA2022"/>
    <w:lvl w:ilvl="0" w:tplc="1A0A54D4">
      <w:start w:val="1"/>
      <w:numFmt w:val="bullet"/>
      <w:lvlText w:val="•"/>
      <w:lvlJc w:val="left"/>
      <w:pPr>
        <w:tabs>
          <w:tab w:val="num" w:pos="720"/>
        </w:tabs>
        <w:ind w:left="720" w:hanging="360"/>
      </w:pPr>
      <w:rPr>
        <w:rFonts w:ascii="Arial" w:hAnsi="Arial" w:hint="default"/>
      </w:rPr>
    </w:lvl>
    <w:lvl w:ilvl="1" w:tplc="C3D0A1F4">
      <w:numFmt w:val="bullet"/>
      <w:lvlText w:val="–"/>
      <w:lvlJc w:val="left"/>
      <w:pPr>
        <w:tabs>
          <w:tab w:val="num" w:pos="1440"/>
        </w:tabs>
        <w:ind w:left="1440" w:hanging="360"/>
      </w:pPr>
      <w:rPr>
        <w:rFonts w:ascii="Arial" w:hAnsi="Arial" w:hint="default"/>
      </w:rPr>
    </w:lvl>
    <w:lvl w:ilvl="2" w:tplc="8C0AF170" w:tentative="1">
      <w:start w:val="1"/>
      <w:numFmt w:val="bullet"/>
      <w:lvlText w:val="•"/>
      <w:lvlJc w:val="left"/>
      <w:pPr>
        <w:tabs>
          <w:tab w:val="num" w:pos="2160"/>
        </w:tabs>
        <w:ind w:left="2160" w:hanging="360"/>
      </w:pPr>
      <w:rPr>
        <w:rFonts w:ascii="Arial" w:hAnsi="Arial" w:hint="default"/>
      </w:rPr>
    </w:lvl>
    <w:lvl w:ilvl="3" w:tplc="E9B438CC" w:tentative="1">
      <w:start w:val="1"/>
      <w:numFmt w:val="bullet"/>
      <w:lvlText w:val="•"/>
      <w:lvlJc w:val="left"/>
      <w:pPr>
        <w:tabs>
          <w:tab w:val="num" w:pos="2880"/>
        </w:tabs>
        <w:ind w:left="2880" w:hanging="360"/>
      </w:pPr>
      <w:rPr>
        <w:rFonts w:ascii="Arial" w:hAnsi="Arial" w:hint="default"/>
      </w:rPr>
    </w:lvl>
    <w:lvl w:ilvl="4" w:tplc="7020EC24" w:tentative="1">
      <w:start w:val="1"/>
      <w:numFmt w:val="bullet"/>
      <w:lvlText w:val="•"/>
      <w:lvlJc w:val="left"/>
      <w:pPr>
        <w:tabs>
          <w:tab w:val="num" w:pos="3600"/>
        </w:tabs>
        <w:ind w:left="3600" w:hanging="360"/>
      </w:pPr>
      <w:rPr>
        <w:rFonts w:ascii="Arial" w:hAnsi="Arial" w:hint="default"/>
      </w:rPr>
    </w:lvl>
    <w:lvl w:ilvl="5" w:tplc="D15A23F0" w:tentative="1">
      <w:start w:val="1"/>
      <w:numFmt w:val="bullet"/>
      <w:lvlText w:val="•"/>
      <w:lvlJc w:val="left"/>
      <w:pPr>
        <w:tabs>
          <w:tab w:val="num" w:pos="4320"/>
        </w:tabs>
        <w:ind w:left="4320" w:hanging="360"/>
      </w:pPr>
      <w:rPr>
        <w:rFonts w:ascii="Arial" w:hAnsi="Arial" w:hint="default"/>
      </w:rPr>
    </w:lvl>
    <w:lvl w:ilvl="6" w:tplc="1FCE814C" w:tentative="1">
      <w:start w:val="1"/>
      <w:numFmt w:val="bullet"/>
      <w:lvlText w:val="•"/>
      <w:lvlJc w:val="left"/>
      <w:pPr>
        <w:tabs>
          <w:tab w:val="num" w:pos="5040"/>
        </w:tabs>
        <w:ind w:left="5040" w:hanging="360"/>
      </w:pPr>
      <w:rPr>
        <w:rFonts w:ascii="Arial" w:hAnsi="Arial" w:hint="default"/>
      </w:rPr>
    </w:lvl>
    <w:lvl w:ilvl="7" w:tplc="E4089BB4" w:tentative="1">
      <w:start w:val="1"/>
      <w:numFmt w:val="bullet"/>
      <w:lvlText w:val="•"/>
      <w:lvlJc w:val="left"/>
      <w:pPr>
        <w:tabs>
          <w:tab w:val="num" w:pos="5760"/>
        </w:tabs>
        <w:ind w:left="5760" w:hanging="360"/>
      </w:pPr>
      <w:rPr>
        <w:rFonts w:ascii="Arial" w:hAnsi="Arial" w:hint="default"/>
      </w:rPr>
    </w:lvl>
    <w:lvl w:ilvl="8" w:tplc="B86C787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B04515C"/>
    <w:multiLevelType w:val="hybridMultilevel"/>
    <w:tmpl w:val="1180C4C0"/>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9" w15:restartNumberingAfterBreak="0">
    <w:nsid w:val="406A56BE"/>
    <w:multiLevelType w:val="hybridMultilevel"/>
    <w:tmpl w:val="F302578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0" w15:restartNumberingAfterBreak="0">
    <w:nsid w:val="412D2185"/>
    <w:multiLevelType w:val="multilevel"/>
    <w:tmpl w:val="7D9C340A"/>
    <w:lvl w:ilvl="0">
      <w:start w:val="1"/>
      <w:numFmt w:val="decimal"/>
      <w:lvlText w:val="%1."/>
      <w:lvlJc w:val="left"/>
      <w:pPr>
        <w:ind w:left="2081" w:hanging="360"/>
      </w:pPr>
      <w:rPr>
        <w:rFonts w:hint="default"/>
        <w:color w:val="095AA6"/>
      </w:rPr>
    </w:lvl>
    <w:lvl w:ilvl="1">
      <w:start w:val="1"/>
      <w:numFmt w:val="decimal"/>
      <w:isLgl/>
      <w:lvlText w:val="%1.%2"/>
      <w:lvlJc w:val="left"/>
      <w:pPr>
        <w:ind w:left="2081" w:hanging="360"/>
      </w:pPr>
      <w:rPr>
        <w:rFonts w:hint="default"/>
        <w:b/>
      </w:rPr>
    </w:lvl>
    <w:lvl w:ilvl="2">
      <w:start w:val="1"/>
      <w:numFmt w:val="decimal"/>
      <w:isLgl/>
      <w:lvlText w:val="%1.%2.%3"/>
      <w:lvlJc w:val="left"/>
      <w:pPr>
        <w:ind w:left="2441" w:hanging="720"/>
      </w:pPr>
      <w:rPr>
        <w:rFonts w:hint="default"/>
        <w:b/>
      </w:rPr>
    </w:lvl>
    <w:lvl w:ilvl="3">
      <w:start w:val="1"/>
      <w:numFmt w:val="decimal"/>
      <w:isLgl/>
      <w:lvlText w:val="%1.%2.%3.%4"/>
      <w:lvlJc w:val="left"/>
      <w:pPr>
        <w:ind w:left="2441" w:hanging="720"/>
      </w:pPr>
      <w:rPr>
        <w:rFonts w:hint="default"/>
        <w:b/>
      </w:rPr>
    </w:lvl>
    <w:lvl w:ilvl="4">
      <w:start w:val="1"/>
      <w:numFmt w:val="decimal"/>
      <w:isLgl/>
      <w:lvlText w:val="%1.%2.%3.%4.%5"/>
      <w:lvlJc w:val="left"/>
      <w:pPr>
        <w:ind w:left="2801" w:hanging="1080"/>
      </w:pPr>
      <w:rPr>
        <w:rFonts w:hint="default"/>
        <w:b/>
      </w:rPr>
    </w:lvl>
    <w:lvl w:ilvl="5">
      <w:start w:val="1"/>
      <w:numFmt w:val="decimal"/>
      <w:isLgl/>
      <w:lvlText w:val="%1.%2.%3.%4.%5.%6"/>
      <w:lvlJc w:val="left"/>
      <w:pPr>
        <w:ind w:left="2801" w:hanging="1080"/>
      </w:pPr>
      <w:rPr>
        <w:rFonts w:hint="default"/>
        <w:b/>
      </w:rPr>
    </w:lvl>
    <w:lvl w:ilvl="6">
      <w:start w:val="1"/>
      <w:numFmt w:val="decimal"/>
      <w:isLgl/>
      <w:lvlText w:val="%1.%2.%3.%4.%5.%6.%7"/>
      <w:lvlJc w:val="left"/>
      <w:pPr>
        <w:ind w:left="3161" w:hanging="1440"/>
      </w:pPr>
      <w:rPr>
        <w:rFonts w:hint="default"/>
        <w:b/>
      </w:rPr>
    </w:lvl>
    <w:lvl w:ilvl="7">
      <w:start w:val="1"/>
      <w:numFmt w:val="decimal"/>
      <w:isLgl/>
      <w:lvlText w:val="%1.%2.%3.%4.%5.%6.%7.%8"/>
      <w:lvlJc w:val="left"/>
      <w:pPr>
        <w:ind w:left="3161" w:hanging="1440"/>
      </w:pPr>
      <w:rPr>
        <w:rFonts w:hint="default"/>
        <w:b/>
      </w:rPr>
    </w:lvl>
    <w:lvl w:ilvl="8">
      <w:start w:val="1"/>
      <w:numFmt w:val="decimal"/>
      <w:isLgl/>
      <w:lvlText w:val="%1.%2.%3.%4.%5.%6.%7.%8.%9"/>
      <w:lvlJc w:val="left"/>
      <w:pPr>
        <w:ind w:left="3521" w:hanging="1800"/>
      </w:pPr>
      <w:rPr>
        <w:rFonts w:hint="default"/>
        <w:b/>
      </w:rPr>
    </w:lvl>
  </w:abstractNum>
  <w:abstractNum w:abstractNumId="31" w15:restartNumberingAfterBreak="0">
    <w:nsid w:val="41ED6A39"/>
    <w:multiLevelType w:val="hybridMultilevel"/>
    <w:tmpl w:val="B614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6E58BC"/>
    <w:multiLevelType w:val="hybridMultilevel"/>
    <w:tmpl w:val="E148349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3" w15:restartNumberingAfterBreak="0">
    <w:nsid w:val="487E42DA"/>
    <w:multiLevelType w:val="hybridMultilevel"/>
    <w:tmpl w:val="C7B629C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4" w15:restartNumberingAfterBreak="0">
    <w:nsid w:val="49004D91"/>
    <w:multiLevelType w:val="multilevel"/>
    <w:tmpl w:val="97648698"/>
    <w:lvl w:ilvl="0">
      <w:start w:val="1"/>
      <w:numFmt w:val="decimal"/>
      <w:pStyle w:val="Siheading"/>
      <w:lvlText w:val="%1."/>
      <w:lvlJc w:val="left"/>
      <w:pPr>
        <w:tabs>
          <w:tab w:val="num" w:pos="0"/>
        </w:tabs>
        <w:ind w:left="0" w:hanging="902"/>
      </w:pPr>
      <w:rPr>
        <w:rFonts w:hint="default"/>
        <w:color w:val="026288"/>
      </w:rPr>
    </w:lvl>
    <w:lvl w:ilvl="1">
      <w:start w:val="1"/>
      <w:numFmt w:val="none"/>
      <w:pStyle w:val="Sisubheading"/>
      <w:lvlText w:val=""/>
      <w:lvlJc w:val="left"/>
      <w:pPr>
        <w:tabs>
          <w:tab w:val="num" w:pos="0"/>
        </w:tabs>
        <w:ind w:left="0" w:hanging="902"/>
      </w:pPr>
      <w:rPr>
        <w:rFonts w:hint="default"/>
      </w:rPr>
    </w:lvl>
    <w:lvl w:ilvl="2">
      <w:start w:val="1"/>
      <w:numFmt w:val="none"/>
      <w:pStyle w:val="Sisubheading2"/>
      <w:lvlText w:val=""/>
      <w:lvlJc w:val="left"/>
      <w:pPr>
        <w:tabs>
          <w:tab w:val="num" w:pos="0"/>
        </w:tabs>
        <w:ind w:left="0" w:hanging="902"/>
      </w:pPr>
      <w:rPr>
        <w:rFonts w:ascii="Verdana" w:hAnsi="Verdana" w:hint="default"/>
        <w:sz w:val="22"/>
        <w:szCs w:val="22"/>
      </w:rPr>
    </w:lvl>
    <w:lvl w:ilvl="3">
      <w:start w:val="1"/>
      <w:numFmt w:val="decimal"/>
      <w:lvlRestart w:val="1"/>
      <w:pStyle w:val="Sibody"/>
      <w:lvlText w:val="%1.%4."/>
      <w:lvlJc w:val="left"/>
      <w:pPr>
        <w:tabs>
          <w:tab w:val="num" w:pos="902"/>
        </w:tabs>
        <w:ind w:left="902" w:hanging="902"/>
      </w:pPr>
      <w:rPr>
        <w:rFonts w:hint="default"/>
        <w:color w:val="80808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4AB958D3"/>
    <w:multiLevelType w:val="hybridMultilevel"/>
    <w:tmpl w:val="C9788BCA"/>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6" w15:restartNumberingAfterBreak="0">
    <w:nsid w:val="4C923B69"/>
    <w:multiLevelType w:val="hybridMultilevel"/>
    <w:tmpl w:val="DCB8003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7" w15:restartNumberingAfterBreak="0">
    <w:nsid w:val="4FED0356"/>
    <w:multiLevelType w:val="hybridMultilevel"/>
    <w:tmpl w:val="33522822"/>
    <w:lvl w:ilvl="0" w:tplc="08090001">
      <w:start w:val="1"/>
      <w:numFmt w:val="bullet"/>
      <w:lvlText w:val=""/>
      <w:lvlJc w:val="left"/>
      <w:pPr>
        <w:ind w:left="2081" w:hanging="360"/>
      </w:pPr>
      <w:rPr>
        <w:rFonts w:ascii="Symbol" w:hAnsi="Symbol" w:hint="default"/>
      </w:rPr>
    </w:lvl>
    <w:lvl w:ilvl="1" w:tplc="08090003">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8" w15:restartNumberingAfterBreak="0">
    <w:nsid w:val="52834561"/>
    <w:multiLevelType w:val="hybridMultilevel"/>
    <w:tmpl w:val="9F502D12"/>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9" w15:restartNumberingAfterBreak="0">
    <w:nsid w:val="5463319F"/>
    <w:multiLevelType w:val="hybridMultilevel"/>
    <w:tmpl w:val="DB62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9E4000"/>
    <w:multiLevelType w:val="hybridMultilevel"/>
    <w:tmpl w:val="1EFC2F64"/>
    <w:lvl w:ilvl="0" w:tplc="08090001">
      <w:start w:val="1"/>
      <w:numFmt w:val="bullet"/>
      <w:lvlText w:val=""/>
      <w:lvlJc w:val="left"/>
      <w:pPr>
        <w:tabs>
          <w:tab w:val="num" w:pos="2081"/>
        </w:tabs>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41" w15:restartNumberingAfterBreak="0">
    <w:nsid w:val="56F82E84"/>
    <w:multiLevelType w:val="hybridMultilevel"/>
    <w:tmpl w:val="6106B5A8"/>
    <w:lvl w:ilvl="0" w:tplc="80D633E6">
      <w:start w:val="1"/>
      <w:numFmt w:val="decimal"/>
      <w:lvlText w:val="%1."/>
      <w:lvlJc w:val="left"/>
      <w:pPr>
        <w:ind w:left="2081" w:hanging="360"/>
      </w:pPr>
      <w:rPr>
        <w:rFonts w:hint="default"/>
        <w:color w:val="095AA6"/>
      </w:rPr>
    </w:lvl>
    <w:lvl w:ilvl="1" w:tplc="08090019" w:tentative="1">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42" w15:restartNumberingAfterBreak="0">
    <w:nsid w:val="585C1A14"/>
    <w:multiLevelType w:val="hybridMultilevel"/>
    <w:tmpl w:val="61B2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422B03"/>
    <w:multiLevelType w:val="hybridMultilevel"/>
    <w:tmpl w:val="8542B89E"/>
    <w:lvl w:ilvl="0" w:tplc="08090001">
      <w:start w:val="1"/>
      <w:numFmt w:val="bullet"/>
      <w:lvlText w:val=""/>
      <w:lvlJc w:val="left"/>
      <w:pPr>
        <w:ind w:left="1721" w:hanging="360"/>
      </w:pPr>
      <w:rPr>
        <w:rFonts w:ascii="Symbol" w:hAnsi="Symbol" w:hint="default"/>
      </w:rPr>
    </w:lvl>
    <w:lvl w:ilvl="1" w:tplc="08090003" w:tentative="1">
      <w:start w:val="1"/>
      <w:numFmt w:val="bullet"/>
      <w:lvlText w:val="o"/>
      <w:lvlJc w:val="left"/>
      <w:pPr>
        <w:ind w:left="2441" w:hanging="360"/>
      </w:pPr>
      <w:rPr>
        <w:rFonts w:ascii="Courier New" w:hAnsi="Courier New" w:cs="Courier New" w:hint="default"/>
      </w:rPr>
    </w:lvl>
    <w:lvl w:ilvl="2" w:tplc="08090005" w:tentative="1">
      <w:start w:val="1"/>
      <w:numFmt w:val="bullet"/>
      <w:lvlText w:val=""/>
      <w:lvlJc w:val="left"/>
      <w:pPr>
        <w:ind w:left="3161" w:hanging="360"/>
      </w:pPr>
      <w:rPr>
        <w:rFonts w:ascii="Wingdings" w:hAnsi="Wingdings" w:hint="default"/>
      </w:rPr>
    </w:lvl>
    <w:lvl w:ilvl="3" w:tplc="08090001" w:tentative="1">
      <w:start w:val="1"/>
      <w:numFmt w:val="bullet"/>
      <w:lvlText w:val=""/>
      <w:lvlJc w:val="left"/>
      <w:pPr>
        <w:ind w:left="3881" w:hanging="360"/>
      </w:pPr>
      <w:rPr>
        <w:rFonts w:ascii="Symbol" w:hAnsi="Symbol" w:hint="default"/>
      </w:rPr>
    </w:lvl>
    <w:lvl w:ilvl="4" w:tplc="08090003" w:tentative="1">
      <w:start w:val="1"/>
      <w:numFmt w:val="bullet"/>
      <w:lvlText w:val="o"/>
      <w:lvlJc w:val="left"/>
      <w:pPr>
        <w:ind w:left="4601" w:hanging="360"/>
      </w:pPr>
      <w:rPr>
        <w:rFonts w:ascii="Courier New" w:hAnsi="Courier New" w:cs="Courier New" w:hint="default"/>
      </w:rPr>
    </w:lvl>
    <w:lvl w:ilvl="5" w:tplc="08090005" w:tentative="1">
      <w:start w:val="1"/>
      <w:numFmt w:val="bullet"/>
      <w:lvlText w:val=""/>
      <w:lvlJc w:val="left"/>
      <w:pPr>
        <w:ind w:left="5321" w:hanging="360"/>
      </w:pPr>
      <w:rPr>
        <w:rFonts w:ascii="Wingdings" w:hAnsi="Wingdings" w:hint="default"/>
      </w:rPr>
    </w:lvl>
    <w:lvl w:ilvl="6" w:tplc="08090001" w:tentative="1">
      <w:start w:val="1"/>
      <w:numFmt w:val="bullet"/>
      <w:lvlText w:val=""/>
      <w:lvlJc w:val="left"/>
      <w:pPr>
        <w:ind w:left="6041" w:hanging="360"/>
      </w:pPr>
      <w:rPr>
        <w:rFonts w:ascii="Symbol" w:hAnsi="Symbol" w:hint="default"/>
      </w:rPr>
    </w:lvl>
    <w:lvl w:ilvl="7" w:tplc="08090003" w:tentative="1">
      <w:start w:val="1"/>
      <w:numFmt w:val="bullet"/>
      <w:lvlText w:val="o"/>
      <w:lvlJc w:val="left"/>
      <w:pPr>
        <w:ind w:left="6761" w:hanging="360"/>
      </w:pPr>
      <w:rPr>
        <w:rFonts w:ascii="Courier New" w:hAnsi="Courier New" w:cs="Courier New" w:hint="default"/>
      </w:rPr>
    </w:lvl>
    <w:lvl w:ilvl="8" w:tplc="08090005" w:tentative="1">
      <w:start w:val="1"/>
      <w:numFmt w:val="bullet"/>
      <w:lvlText w:val=""/>
      <w:lvlJc w:val="left"/>
      <w:pPr>
        <w:ind w:left="7481" w:hanging="360"/>
      </w:pPr>
      <w:rPr>
        <w:rFonts w:ascii="Wingdings" w:hAnsi="Wingdings" w:hint="default"/>
      </w:rPr>
    </w:lvl>
  </w:abstractNum>
  <w:abstractNum w:abstractNumId="44" w15:restartNumberingAfterBreak="0">
    <w:nsid w:val="5B905C9F"/>
    <w:multiLevelType w:val="hybridMultilevel"/>
    <w:tmpl w:val="3642110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45" w15:restartNumberingAfterBreak="0">
    <w:nsid w:val="5F807110"/>
    <w:multiLevelType w:val="multilevel"/>
    <w:tmpl w:val="82D6F4B0"/>
    <w:styleLink w:val="Style1"/>
    <w:lvl w:ilvl="0">
      <w:start w:val="1"/>
      <w:numFmt w:val="decimal"/>
      <w:suff w:val="space"/>
      <w:lvlText w:val="%1:"/>
      <w:lvlJc w:val="left"/>
      <w:pPr>
        <w:ind w:left="0" w:firstLine="0"/>
      </w:pPr>
      <w:rPr>
        <w:rFonts w:hint="default"/>
        <w:color w:val="auto"/>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080"/>
        </w:tabs>
        <w:ind w:left="851" w:hanging="851"/>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46" w15:restartNumberingAfterBreak="0">
    <w:nsid w:val="625D53E4"/>
    <w:multiLevelType w:val="hybridMultilevel"/>
    <w:tmpl w:val="DDBE7332"/>
    <w:lvl w:ilvl="0" w:tplc="08090001">
      <w:start w:val="1"/>
      <w:numFmt w:val="bullet"/>
      <w:lvlText w:val=""/>
      <w:lvlJc w:val="left"/>
      <w:pPr>
        <w:ind w:left="2081" w:hanging="360"/>
      </w:pPr>
      <w:rPr>
        <w:rFonts w:ascii="Symbol" w:hAnsi="Symbol" w:hint="default"/>
      </w:rPr>
    </w:lvl>
    <w:lvl w:ilvl="1" w:tplc="08090003">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47" w15:restartNumberingAfterBreak="0">
    <w:nsid w:val="645F6890"/>
    <w:multiLevelType w:val="hybridMultilevel"/>
    <w:tmpl w:val="6770CA0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48" w15:restartNumberingAfterBreak="0">
    <w:nsid w:val="64B836B8"/>
    <w:multiLevelType w:val="multilevel"/>
    <w:tmpl w:val="C672BA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655C521E"/>
    <w:multiLevelType w:val="hybridMultilevel"/>
    <w:tmpl w:val="248EDAA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50" w15:restartNumberingAfterBreak="0">
    <w:nsid w:val="6A4D698E"/>
    <w:multiLevelType w:val="multilevel"/>
    <w:tmpl w:val="B01A4A42"/>
    <w:name w:val="Numbered Headings"/>
    <w:lvl w:ilvl="0">
      <w:start w:val="1"/>
      <w:numFmt w:val="upperLetter"/>
      <w:pStyle w:val="Heading1Appendix"/>
      <w:suff w:val="space"/>
      <w:lvlText w:val="Appendix %1:"/>
      <w:lvlJc w:val="left"/>
      <w:pPr>
        <w:ind w:left="0" w:firstLine="0"/>
      </w:pPr>
      <w:rPr>
        <w:rFonts w:hint="default"/>
      </w:rPr>
    </w:lvl>
    <w:lvl w:ilvl="1">
      <w:start w:val="1"/>
      <w:numFmt w:val="decimal"/>
      <w:pStyle w:val="Heading2Appendix"/>
      <w:lvlText w:val="%1.%2"/>
      <w:lvlJc w:val="left"/>
      <w:pPr>
        <w:tabs>
          <w:tab w:val="num" w:pos="851"/>
        </w:tabs>
        <w:ind w:left="851" w:hanging="851"/>
      </w:pPr>
      <w:rPr>
        <w:rFonts w:hint="default"/>
      </w:rPr>
    </w:lvl>
    <w:lvl w:ilvl="2">
      <w:start w:val="1"/>
      <w:numFmt w:val="decimal"/>
      <w:pStyle w:val="Heading3Appendix"/>
      <w:lvlText w:val="%1.%2.%3"/>
      <w:lvlJc w:val="left"/>
      <w:pPr>
        <w:tabs>
          <w:tab w:val="num" w:pos="1080"/>
        </w:tabs>
        <w:ind w:left="851" w:hanging="851"/>
      </w:pPr>
      <w:rPr>
        <w:rFonts w:hint="default"/>
      </w:rPr>
    </w:lvl>
    <w:lvl w:ilvl="3">
      <w:start w:val="1"/>
      <w:numFmt w:val="decimal"/>
      <w:pStyle w:val="Heading4Appendix"/>
      <w:lvlText w:val="%1.%2.%3.%4"/>
      <w:lvlJc w:val="left"/>
      <w:pPr>
        <w:tabs>
          <w:tab w:val="num" w:pos="2291"/>
        </w:tabs>
        <w:ind w:left="1440" w:hanging="1440"/>
      </w:pPr>
      <w:rPr>
        <w:rFonts w:hint="default"/>
      </w:rPr>
    </w:lvl>
    <w:lvl w:ilvl="4">
      <w:start w:val="1"/>
      <w:numFmt w:val="decimal"/>
      <w:pStyle w:val="Heading5Appendix"/>
      <w:lvlText w:val="%1.%2.%3.%4.%5"/>
      <w:lvlJc w:val="left"/>
      <w:pPr>
        <w:tabs>
          <w:tab w:val="num" w:pos="2651"/>
        </w:tabs>
        <w:ind w:left="1800" w:hanging="1800"/>
      </w:pPr>
      <w:rPr>
        <w:rFonts w:hint="default"/>
      </w:rPr>
    </w:lvl>
    <w:lvl w:ilvl="5">
      <w:start w:val="1"/>
      <w:numFmt w:val="decimal"/>
      <w:pStyle w:val="Heading6Appendix"/>
      <w:lvlText w:val="%1.%2.%3.%4.%5.%6"/>
      <w:lvlJc w:val="left"/>
      <w:pPr>
        <w:tabs>
          <w:tab w:val="num" w:pos="3011"/>
        </w:tabs>
        <w:ind w:left="2160" w:hanging="2160"/>
      </w:pPr>
      <w:rPr>
        <w:rFonts w:hint="default"/>
      </w:rPr>
    </w:lvl>
    <w:lvl w:ilvl="6">
      <w:start w:val="1"/>
      <w:numFmt w:val="decimal"/>
      <w:pStyle w:val="Heading7Appendix"/>
      <w:lvlText w:val="%1.%2.%3.%4.%5.%6.%7"/>
      <w:lvlJc w:val="left"/>
      <w:pPr>
        <w:tabs>
          <w:tab w:val="num" w:pos="3371"/>
        </w:tabs>
        <w:ind w:left="2520" w:hanging="2520"/>
      </w:pPr>
      <w:rPr>
        <w:rFonts w:hint="default"/>
      </w:rPr>
    </w:lvl>
    <w:lvl w:ilvl="7">
      <w:start w:val="1"/>
      <w:numFmt w:val="decimal"/>
      <w:pStyle w:val="Heading8Appendix"/>
      <w:lvlText w:val="%1.%2.%3.%4.%5.%6.%7.%8"/>
      <w:lvlJc w:val="left"/>
      <w:pPr>
        <w:tabs>
          <w:tab w:val="num" w:pos="3731"/>
        </w:tabs>
        <w:ind w:left="2880" w:hanging="2880"/>
      </w:pPr>
      <w:rPr>
        <w:rFonts w:hint="default"/>
      </w:rPr>
    </w:lvl>
    <w:lvl w:ilvl="8">
      <w:start w:val="1"/>
      <w:numFmt w:val="decimal"/>
      <w:pStyle w:val="Heading9Appendix"/>
      <w:lvlText w:val="%1.%2.%3.%4.%5.%6.%7.%8.%9"/>
      <w:lvlJc w:val="left"/>
      <w:pPr>
        <w:tabs>
          <w:tab w:val="num" w:pos="4091"/>
        </w:tabs>
        <w:ind w:left="3240" w:hanging="3240"/>
      </w:pPr>
      <w:rPr>
        <w:rFonts w:hint="default"/>
      </w:rPr>
    </w:lvl>
  </w:abstractNum>
  <w:abstractNum w:abstractNumId="51" w15:restartNumberingAfterBreak="0">
    <w:nsid w:val="6C64197F"/>
    <w:multiLevelType w:val="hybridMultilevel"/>
    <w:tmpl w:val="BA20E732"/>
    <w:lvl w:ilvl="0" w:tplc="2C9A6C84">
      <w:start w:val="1"/>
      <w:numFmt w:val="bullet"/>
      <w:lvlText w:val=""/>
      <w:lvlJc w:val="left"/>
      <w:pPr>
        <w:ind w:left="720" w:hanging="360"/>
      </w:pPr>
      <w:rPr>
        <w:rFonts w:ascii="Symbol" w:hAnsi="Symbol" w:hint="default"/>
        <w:color w:val="095A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491530"/>
    <w:multiLevelType w:val="hybridMultilevel"/>
    <w:tmpl w:val="8362E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429237F"/>
    <w:multiLevelType w:val="hybridMultilevel"/>
    <w:tmpl w:val="089A3BB4"/>
    <w:lvl w:ilvl="0" w:tplc="0809000F">
      <w:start w:val="1"/>
      <w:numFmt w:val="decimal"/>
      <w:lvlText w:val="%1."/>
      <w:lvlJc w:val="left"/>
      <w:pPr>
        <w:ind w:left="2081" w:hanging="360"/>
      </w:pPr>
    </w:lvl>
    <w:lvl w:ilvl="1" w:tplc="08090019">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54" w15:restartNumberingAfterBreak="0">
    <w:nsid w:val="767A073E"/>
    <w:multiLevelType w:val="hybridMultilevel"/>
    <w:tmpl w:val="19ECCBF2"/>
    <w:lvl w:ilvl="0" w:tplc="08090001">
      <w:start w:val="1"/>
      <w:numFmt w:val="bullet"/>
      <w:lvlText w:val=""/>
      <w:lvlJc w:val="left"/>
      <w:pPr>
        <w:tabs>
          <w:tab w:val="num" w:pos="2081"/>
        </w:tabs>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num w:numId="1">
    <w:abstractNumId w:val="24"/>
  </w:num>
  <w:num w:numId="2">
    <w:abstractNumId w:val="50"/>
  </w:num>
  <w:num w:numId="3">
    <w:abstractNumId w:val="0"/>
  </w:num>
  <w:num w:numId="4">
    <w:abstractNumId w:val="45"/>
  </w:num>
  <w:num w:numId="5">
    <w:abstractNumId w:val="4"/>
  </w:num>
  <w:num w:numId="6">
    <w:abstractNumId w:val="7"/>
  </w:num>
  <w:num w:numId="7">
    <w:abstractNumId w:val="37"/>
  </w:num>
  <w:num w:numId="8">
    <w:abstractNumId w:val="30"/>
  </w:num>
  <w:num w:numId="9">
    <w:abstractNumId w:val="44"/>
  </w:num>
  <w:num w:numId="10">
    <w:abstractNumId w:val="29"/>
  </w:num>
  <w:num w:numId="11">
    <w:abstractNumId w:val="1"/>
  </w:num>
  <w:num w:numId="12">
    <w:abstractNumId w:val="28"/>
  </w:num>
  <w:num w:numId="13">
    <w:abstractNumId w:val="38"/>
  </w:num>
  <w:num w:numId="14">
    <w:abstractNumId w:val="33"/>
  </w:num>
  <w:num w:numId="15">
    <w:abstractNumId w:val="3"/>
  </w:num>
  <w:num w:numId="16">
    <w:abstractNumId w:val="35"/>
  </w:num>
  <w:num w:numId="17">
    <w:abstractNumId w:val="41"/>
  </w:num>
  <w:num w:numId="18">
    <w:abstractNumId w:val="34"/>
  </w:num>
  <w:num w:numId="19">
    <w:abstractNumId w:val="15"/>
  </w:num>
  <w:num w:numId="20">
    <w:abstractNumId w:val="10"/>
  </w:num>
  <w:num w:numId="21">
    <w:abstractNumId w:val="6"/>
  </w:num>
  <w:num w:numId="22">
    <w:abstractNumId w:val="8"/>
  </w:num>
  <w:num w:numId="23">
    <w:abstractNumId w:val="16"/>
  </w:num>
  <w:num w:numId="24">
    <w:abstractNumId w:val="23"/>
  </w:num>
  <w:num w:numId="25">
    <w:abstractNumId w:val="51"/>
  </w:num>
  <w:num w:numId="26">
    <w:abstractNumId w:val="22"/>
  </w:num>
  <w:num w:numId="27">
    <w:abstractNumId w:val="54"/>
  </w:num>
  <w:num w:numId="28">
    <w:abstractNumId w:val="40"/>
  </w:num>
  <w:num w:numId="29">
    <w:abstractNumId w:val="21"/>
  </w:num>
  <w:num w:numId="30">
    <w:abstractNumId w:val="46"/>
  </w:num>
  <w:num w:numId="31">
    <w:abstractNumId w:val="9"/>
  </w:num>
  <w:num w:numId="32">
    <w:abstractNumId w:val="5"/>
  </w:num>
  <w:num w:numId="33">
    <w:abstractNumId w:val="17"/>
  </w:num>
  <w:num w:numId="34">
    <w:abstractNumId w:val="26"/>
  </w:num>
  <w:num w:numId="35">
    <w:abstractNumId w:val="2"/>
  </w:num>
  <w:num w:numId="36">
    <w:abstractNumId w:val="52"/>
  </w:num>
  <w:num w:numId="37">
    <w:abstractNumId w:val="53"/>
  </w:num>
  <w:num w:numId="38">
    <w:abstractNumId w:val="27"/>
  </w:num>
  <w:num w:numId="39">
    <w:abstractNumId w:val="36"/>
  </w:num>
  <w:num w:numId="40">
    <w:abstractNumId w:val="25"/>
  </w:num>
  <w:num w:numId="41">
    <w:abstractNumId w:val="18"/>
  </w:num>
  <w:num w:numId="42">
    <w:abstractNumId w:val="14"/>
  </w:num>
  <w:num w:numId="43">
    <w:abstractNumId w:val="13"/>
  </w:num>
  <w:num w:numId="44">
    <w:abstractNumId w:val="47"/>
  </w:num>
  <w:num w:numId="45">
    <w:abstractNumId w:val="43"/>
  </w:num>
  <w:num w:numId="46">
    <w:abstractNumId w:val="48"/>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32"/>
  </w:num>
  <w:num w:numId="59">
    <w:abstractNumId w:val="49"/>
  </w:num>
  <w:num w:numId="60">
    <w:abstractNumId w:val="12"/>
  </w:num>
  <w:num w:numId="61">
    <w:abstractNumId w:val="11"/>
  </w:num>
  <w:num w:numId="62">
    <w:abstractNumId w:val="39"/>
  </w:num>
  <w:num w:numId="63">
    <w:abstractNumId w:val="31"/>
  </w:num>
  <w:num w:numId="64">
    <w:abstractNumId w:val="42"/>
  </w:num>
  <w:num w:numId="65">
    <w:abstractNumId w:val="24"/>
  </w:num>
  <w:num w:numId="66">
    <w:abstractNumId w:val="24"/>
  </w:num>
  <w:num w:numId="67">
    <w:abstractNumId w:val="2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activeWritingStyle w:appName="MSWord" w:lang="en-GB" w:vendorID="64" w:dllVersion="0" w:nlCheck="1" w:checkStyle="1"/>
  <w:activeWritingStyle w:appName="MSWord" w:lang="fr-FR" w:vendorID="64" w:dllVersion="0" w:nlCheck="1" w:checkStyle="1"/>
  <w:activeWritingStyle w:appName="MSWord" w:lang="de-DE" w:vendorID="64" w:dllVersion="0" w:nlCheck="1" w:checkStyle="1"/>
  <w:activeWritingStyle w:appName="MSWord" w:lang="es-ES_tradnl" w:vendorID="64" w:dllVersion="0" w:nlCheck="1" w:checkStyle="1"/>
  <w:activeWritingStyle w:appName="MSWord" w:lang="en-US" w:vendorID="64" w:dllVersion="0"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9E3"/>
    <w:rsid w:val="0000397C"/>
    <w:rsid w:val="00004AAE"/>
    <w:rsid w:val="00004B39"/>
    <w:rsid w:val="00005D2A"/>
    <w:rsid w:val="00006771"/>
    <w:rsid w:val="00007ECB"/>
    <w:rsid w:val="000149BC"/>
    <w:rsid w:val="00015B61"/>
    <w:rsid w:val="00015ED5"/>
    <w:rsid w:val="00016BB7"/>
    <w:rsid w:val="00020F89"/>
    <w:rsid w:val="000251CB"/>
    <w:rsid w:val="000272A7"/>
    <w:rsid w:val="00030948"/>
    <w:rsid w:val="00031246"/>
    <w:rsid w:val="00031ADD"/>
    <w:rsid w:val="00033544"/>
    <w:rsid w:val="00034DCF"/>
    <w:rsid w:val="00034F01"/>
    <w:rsid w:val="000353DE"/>
    <w:rsid w:val="0003582C"/>
    <w:rsid w:val="00037349"/>
    <w:rsid w:val="00037F7B"/>
    <w:rsid w:val="00041739"/>
    <w:rsid w:val="000427E3"/>
    <w:rsid w:val="00042868"/>
    <w:rsid w:val="0004306B"/>
    <w:rsid w:val="000451BF"/>
    <w:rsid w:val="0004585C"/>
    <w:rsid w:val="00045F6B"/>
    <w:rsid w:val="00047841"/>
    <w:rsid w:val="00047919"/>
    <w:rsid w:val="000511A0"/>
    <w:rsid w:val="00051219"/>
    <w:rsid w:val="000526D8"/>
    <w:rsid w:val="00052A3E"/>
    <w:rsid w:val="00052F76"/>
    <w:rsid w:val="00053139"/>
    <w:rsid w:val="000542AD"/>
    <w:rsid w:val="00054710"/>
    <w:rsid w:val="0005654A"/>
    <w:rsid w:val="0005686B"/>
    <w:rsid w:val="0005774D"/>
    <w:rsid w:val="00060D5C"/>
    <w:rsid w:val="00061257"/>
    <w:rsid w:val="000612F5"/>
    <w:rsid w:val="00061436"/>
    <w:rsid w:val="0006321D"/>
    <w:rsid w:val="00063238"/>
    <w:rsid w:val="00063591"/>
    <w:rsid w:val="00064316"/>
    <w:rsid w:val="00065F13"/>
    <w:rsid w:val="00070A1E"/>
    <w:rsid w:val="00070FC7"/>
    <w:rsid w:val="0007147C"/>
    <w:rsid w:val="000718D4"/>
    <w:rsid w:val="0007598B"/>
    <w:rsid w:val="00076A41"/>
    <w:rsid w:val="00076E90"/>
    <w:rsid w:val="00080CAB"/>
    <w:rsid w:val="00081D09"/>
    <w:rsid w:val="00082A8E"/>
    <w:rsid w:val="000850A7"/>
    <w:rsid w:val="00086188"/>
    <w:rsid w:val="000865E0"/>
    <w:rsid w:val="000873E4"/>
    <w:rsid w:val="00090727"/>
    <w:rsid w:val="00090A2A"/>
    <w:rsid w:val="00090CA0"/>
    <w:rsid w:val="000912E0"/>
    <w:rsid w:val="000942B9"/>
    <w:rsid w:val="00095F02"/>
    <w:rsid w:val="000961EA"/>
    <w:rsid w:val="00096D3E"/>
    <w:rsid w:val="000A0E5D"/>
    <w:rsid w:val="000A21A3"/>
    <w:rsid w:val="000A2867"/>
    <w:rsid w:val="000A2868"/>
    <w:rsid w:val="000A3024"/>
    <w:rsid w:val="000A46E0"/>
    <w:rsid w:val="000A5773"/>
    <w:rsid w:val="000A799D"/>
    <w:rsid w:val="000A7BCF"/>
    <w:rsid w:val="000B0FFA"/>
    <w:rsid w:val="000B13F1"/>
    <w:rsid w:val="000B1804"/>
    <w:rsid w:val="000B24F7"/>
    <w:rsid w:val="000B26CE"/>
    <w:rsid w:val="000B53BE"/>
    <w:rsid w:val="000B6D23"/>
    <w:rsid w:val="000B6FE2"/>
    <w:rsid w:val="000C2631"/>
    <w:rsid w:val="000C2922"/>
    <w:rsid w:val="000C7ABF"/>
    <w:rsid w:val="000D2242"/>
    <w:rsid w:val="000D3D20"/>
    <w:rsid w:val="000D4209"/>
    <w:rsid w:val="000D463B"/>
    <w:rsid w:val="000D4E3A"/>
    <w:rsid w:val="000D590D"/>
    <w:rsid w:val="000D7444"/>
    <w:rsid w:val="000D7853"/>
    <w:rsid w:val="000E1BB8"/>
    <w:rsid w:val="000E5470"/>
    <w:rsid w:val="000E54CC"/>
    <w:rsid w:val="000F0E38"/>
    <w:rsid w:val="000F1138"/>
    <w:rsid w:val="000F1CDA"/>
    <w:rsid w:val="000F203F"/>
    <w:rsid w:val="000F4969"/>
    <w:rsid w:val="000F5013"/>
    <w:rsid w:val="000F66E4"/>
    <w:rsid w:val="000F6B69"/>
    <w:rsid w:val="000F72BE"/>
    <w:rsid w:val="001005D8"/>
    <w:rsid w:val="00100930"/>
    <w:rsid w:val="00101F25"/>
    <w:rsid w:val="001062B9"/>
    <w:rsid w:val="00107B1F"/>
    <w:rsid w:val="001115E6"/>
    <w:rsid w:val="00111B1F"/>
    <w:rsid w:val="00113ACE"/>
    <w:rsid w:val="00113CCE"/>
    <w:rsid w:val="001145D3"/>
    <w:rsid w:val="00115214"/>
    <w:rsid w:val="0011763A"/>
    <w:rsid w:val="00117F49"/>
    <w:rsid w:val="001206A5"/>
    <w:rsid w:val="0012149D"/>
    <w:rsid w:val="00121553"/>
    <w:rsid w:val="0012418B"/>
    <w:rsid w:val="00125909"/>
    <w:rsid w:val="00131F29"/>
    <w:rsid w:val="00132025"/>
    <w:rsid w:val="00135142"/>
    <w:rsid w:val="00135AE3"/>
    <w:rsid w:val="001369EA"/>
    <w:rsid w:val="00141634"/>
    <w:rsid w:val="001441E7"/>
    <w:rsid w:val="00144C25"/>
    <w:rsid w:val="00145D38"/>
    <w:rsid w:val="00150389"/>
    <w:rsid w:val="00152447"/>
    <w:rsid w:val="0015465C"/>
    <w:rsid w:val="00154A2D"/>
    <w:rsid w:val="00155080"/>
    <w:rsid w:val="001556CE"/>
    <w:rsid w:val="0015653B"/>
    <w:rsid w:val="00157A69"/>
    <w:rsid w:val="00157C15"/>
    <w:rsid w:val="00161200"/>
    <w:rsid w:val="001644A5"/>
    <w:rsid w:val="00165F43"/>
    <w:rsid w:val="001663B0"/>
    <w:rsid w:val="00166AF4"/>
    <w:rsid w:val="0016776E"/>
    <w:rsid w:val="00167C5C"/>
    <w:rsid w:val="00170D6D"/>
    <w:rsid w:val="00170ED0"/>
    <w:rsid w:val="001712A7"/>
    <w:rsid w:val="00171BDF"/>
    <w:rsid w:val="00171CF3"/>
    <w:rsid w:val="0017329E"/>
    <w:rsid w:val="00173FB1"/>
    <w:rsid w:val="0017499A"/>
    <w:rsid w:val="00174C49"/>
    <w:rsid w:val="0017534C"/>
    <w:rsid w:val="00175A58"/>
    <w:rsid w:val="00175F77"/>
    <w:rsid w:val="0017656A"/>
    <w:rsid w:val="00176CC9"/>
    <w:rsid w:val="0017785B"/>
    <w:rsid w:val="00181985"/>
    <w:rsid w:val="00181986"/>
    <w:rsid w:val="00181C38"/>
    <w:rsid w:val="00182C4E"/>
    <w:rsid w:val="001835FC"/>
    <w:rsid w:val="00184665"/>
    <w:rsid w:val="00185997"/>
    <w:rsid w:val="00187A1F"/>
    <w:rsid w:val="00187DF4"/>
    <w:rsid w:val="00190631"/>
    <w:rsid w:val="0019173C"/>
    <w:rsid w:val="001918D1"/>
    <w:rsid w:val="00192387"/>
    <w:rsid w:val="001937AE"/>
    <w:rsid w:val="00194A2A"/>
    <w:rsid w:val="00194E7F"/>
    <w:rsid w:val="00195CF4"/>
    <w:rsid w:val="00195FA3"/>
    <w:rsid w:val="00197DFA"/>
    <w:rsid w:val="001A0260"/>
    <w:rsid w:val="001A0BD1"/>
    <w:rsid w:val="001A215D"/>
    <w:rsid w:val="001A2CFC"/>
    <w:rsid w:val="001A60F8"/>
    <w:rsid w:val="001A6170"/>
    <w:rsid w:val="001A6213"/>
    <w:rsid w:val="001B0A17"/>
    <w:rsid w:val="001B39A3"/>
    <w:rsid w:val="001B3E85"/>
    <w:rsid w:val="001B67DB"/>
    <w:rsid w:val="001C03A1"/>
    <w:rsid w:val="001C277B"/>
    <w:rsid w:val="001C5729"/>
    <w:rsid w:val="001C69D0"/>
    <w:rsid w:val="001C6D9A"/>
    <w:rsid w:val="001C7777"/>
    <w:rsid w:val="001C7D42"/>
    <w:rsid w:val="001D035E"/>
    <w:rsid w:val="001D187C"/>
    <w:rsid w:val="001D20A2"/>
    <w:rsid w:val="001D35D6"/>
    <w:rsid w:val="001D58D6"/>
    <w:rsid w:val="001E0E34"/>
    <w:rsid w:val="001E1826"/>
    <w:rsid w:val="001E1B5B"/>
    <w:rsid w:val="001E2003"/>
    <w:rsid w:val="001E2C26"/>
    <w:rsid w:val="001E3382"/>
    <w:rsid w:val="001E3DF9"/>
    <w:rsid w:val="001E4EE9"/>
    <w:rsid w:val="001E4F75"/>
    <w:rsid w:val="001E6A94"/>
    <w:rsid w:val="001E75BB"/>
    <w:rsid w:val="001F025B"/>
    <w:rsid w:val="001F0947"/>
    <w:rsid w:val="001F0A37"/>
    <w:rsid w:val="001F43E0"/>
    <w:rsid w:val="001F43E6"/>
    <w:rsid w:val="001F4ACA"/>
    <w:rsid w:val="001F5405"/>
    <w:rsid w:val="001F578A"/>
    <w:rsid w:val="001F6BC2"/>
    <w:rsid w:val="00201474"/>
    <w:rsid w:val="0020322F"/>
    <w:rsid w:val="00203FEC"/>
    <w:rsid w:val="0020613C"/>
    <w:rsid w:val="002062BD"/>
    <w:rsid w:val="00207EC0"/>
    <w:rsid w:val="0021034E"/>
    <w:rsid w:val="00213E34"/>
    <w:rsid w:val="002174F9"/>
    <w:rsid w:val="00217EAB"/>
    <w:rsid w:val="00220892"/>
    <w:rsid w:val="00220C26"/>
    <w:rsid w:val="00223D29"/>
    <w:rsid w:val="00223DCF"/>
    <w:rsid w:val="00223F10"/>
    <w:rsid w:val="00224A2D"/>
    <w:rsid w:val="00225605"/>
    <w:rsid w:val="0022790C"/>
    <w:rsid w:val="0023155C"/>
    <w:rsid w:val="00231FBC"/>
    <w:rsid w:val="0023294B"/>
    <w:rsid w:val="00234E92"/>
    <w:rsid w:val="00236B46"/>
    <w:rsid w:val="00236F8E"/>
    <w:rsid w:val="00237117"/>
    <w:rsid w:val="002374BE"/>
    <w:rsid w:val="0024027B"/>
    <w:rsid w:val="002402ED"/>
    <w:rsid w:val="0024041C"/>
    <w:rsid w:val="002405C0"/>
    <w:rsid w:val="002405C4"/>
    <w:rsid w:val="0024104E"/>
    <w:rsid w:val="00241BE2"/>
    <w:rsid w:val="00241E91"/>
    <w:rsid w:val="00241EDF"/>
    <w:rsid w:val="002423CC"/>
    <w:rsid w:val="002436C4"/>
    <w:rsid w:val="00244A7A"/>
    <w:rsid w:val="00244D2C"/>
    <w:rsid w:val="00245631"/>
    <w:rsid w:val="00245AA5"/>
    <w:rsid w:val="00246FC5"/>
    <w:rsid w:val="00247145"/>
    <w:rsid w:val="0025067D"/>
    <w:rsid w:val="0025138B"/>
    <w:rsid w:val="002526E1"/>
    <w:rsid w:val="00253104"/>
    <w:rsid w:val="00254E89"/>
    <w:rsid w:val="00255C4F"/>
    <w:rsid w:val="002607C1"/>
    <w:rsid w:val="0026184D"/>
    <w:rsid w:val="00262A76"/>
    <w:rsid w:val="00262B2C"/>
    <w:rsid w:val="002642E9"/>
    <w:rsid w:val="00265698"/>
    <w:rsid w:val="0026715A"/>
    <w:rsid w:val="0026757B"/>
    <w:rsid w:val="00267D9A"/>
    <w:rsid w:val="00270B26"/>
    <w:rsid w:val="00270DB7"/>
    <w:rsid w:val="00271BE0"/>
    <w:rsid w:val="00275064"/>
    <w:rsid w:val="002759AD"/>
    <w:rsid w:val="0027639A"/>
    <w:rsid w:val="00276551"/>
    <w:rsid w:val="002803C8"/>
    <w:rsid w:val="002807E8"/>
    <w:rsid w:val="00280F84"/>
    <w:rsid w:val="00282FC3"/>
    <w:rsid w:val="00283206"/>
    <w:rsid w:val="0028691B"/>
    <w:rsid w:val="00290C1B"/>
    <w:rsid w:val="00290D5A"/>
    <w:rsid w:val="0029154E"/>
    <w:rsid w:val="002929BB"/>
    <w:rsid w:val="002941A0"/>
    <w:rsid w:val="00294DE6"/>
    <w:rsid w:val="00295A22"/>
    <w:rsid w:val="00295A8B"/>
    <w:rsid w:val="00295F61"/>
    <w:rsid w:val="00296998"/>
    <w:rsid w:val="002976B4"/>
    <w:rsid w:val="00297E8D"/>
    <w:rsid w:val="002A2D0A"/>
    <w:rsid w:val="002A2E86"/>
    <w:rsid w:val="002A3F20"/>
    <w:rsid w:val="002A5A29"/>
    <w:rsid w:val="002A635D"/>
    <w:rsid w:val="002B09A9"/>
    <w:rsid w:val="002B09F0"/>
    <w:rsid w:val="002B0A03"/>
    <w:rsid w:val="002B19A2"/>
    <w:rsid w:val="002B1B33"/>
    <w:rsid w:val="002B2029"/>
    <w:rsid w:val="002B222A"/>
    <w:rsid w:val="002B2253"/>
    <w:rsid w:val="002B2284"/>
    <w:rsid w:val="002B2A76"/>
    <w:rsid w:val="002B2D81"/>
    <w:rsid w:val="002B5ABB"/>
    <w:rsid w:val="002B5C17"/>
    <w:rsid w:val="002B60CD"/>
    <w:rsid w:val="002B6876"/>
    <w:rsid w:val="002B69E3"/>
    <w:rsid w:val="002C1B99"/>
    <w:rsid w:val="002C2D51"/>
    <w:rsid w:val="002C4317"/>
    <w:rsid w:val="002C5DF6"/>
    <w:rsid w:val="002C6CBA"/>
    <w:rsid w:val="002D2364"/>
    <w:rsid w:val="002D2621"/>
    <w:rsid w:val="002D2A86"/>
    <w:rsid w:val="002D3798"/>
    <w:rsid w:val="002D3E77"/>
    <w:rsid w:val="002D625F"/>
    <w:rsid w:val="002D772A"/>
    <w:rsid w:val="002D78F4"/>
    <w:rsid w:val="002E2021"/>
    <w:rsid w:val="002E2379"/>
    <w:rsid w:val="002E37BF"/>
    <w:rsid w:val="002E384B"/>
    <w:rsid w:val="002E391C"/>
    <w:rsid w:val="002E512C"/>
    <w:rsid w:val="002E53EB"/>
    <w:rsid w:val="002E5787"/>
    <w:rsid w:val="002E646F"/>
    <w:rsid w:val="002E649F"/>
    <w:rsid w:val="002F11F1"/>
    <w:rsid w:val="002F2EBC"/>
    <w:rsid w:val="002F6382"/>
    <w:rsid w:val="002F69CC"/>
    <w:rsid w:val="002F7021"/>
    <w:rsid w:val="003001BA"/>
    <w:rsid w:val="00301464"/>
    <w:rsid w:val="0030150C"/>
    <w:rsid w:val="003026EA"/>
    <w:rsid w:val="00303AEF"/>
    <w:rsid w:val="003048F6"/>
    <w:rsid w:val="00305DBD"/>
    <w:rsid w:val="0030601E"/>
    <w:rsid w:val="0030622E"/>
    <w:rsid w:val="00307677"/>
    <w:rsid w:val="00307A3C"/>
    <w:rsid w:val="00310FEF"/>
    <w:rsid w:val="00312441"/>
    <w:rsid w:val="003124BC"/>
    <w:rsid w:val="00312A2A"/>
    <w:rsid w:val="0031388C"/>
    <w:rsid w:val="0031408E"/>
    <w:rsid w:val="003155D4"/>
    <w:rsid w:val="00316A84"/>
    <w:rsid w:val="003170CE"/>
    <w:rsid w:val="00320F1B"/>
    <w:rsid w:val="003211C9"/>
    <w:rsid w:val="00321778"/>
    <w:rsid w:val="00321A3C"/>
    <w:rsid w:val="003245E1"/>
    <w:rsid w:val="003251F5"/>
    <w:rsid w:val="00325A17"/>
    <w:rsid w:val="003311DF"/>
    <w:rsid w:val="003318C7"/>
    <w:rsid w:val="00332310"/>
    <w:rsid w:val="00334093"/>
    <w:rsid w:val="0033451E"/>
    <w:rsid w:val="00334A4E"/>
    <w:rsid w:val="00336532"/>
    <w:rsid w:val="003365E1"/>
    <w:rsid w:val="00336C29"/>
    <w:rsid w:val="00337166"/>
    <w:rsid w:val="00340BC1"/>
    <w:rsid w:val="00341D66"/>
    <w:rsid w:val="00342903"/>
    <w:rsid w:val="00342A35"/>
    <w:rsid w:val="00345A53"/>
    <w:rsid w:val="003467E0"/>
    <w:rsid w:val="00350218"/>
    <w:rsid w:val="00350A2B"/>
    <w:rsid w:val="00350CA9"/>
    <w:rsid w:val="00351721"/>
    <w:rsid w:val="00356F59"/>
    <w:rsid w:val="00356F81"/>
    <w:rsid w:val="00363EFE"/>
    <w:rsid w:val="00364550"/>
    <w:rsid w:val="003649F9"/>
    <w:rsid w:val="00364A7A"/>
    <w:rsid w:val="0037149A"/>
    <w:rsid w:val="00372102"/>
    <w:rsid w:val="003746E4"/>
    <w:rsid w:val="00375465"/>
    <w:rsid w:val="003774A1"/>
    <w:rsid w:val="003774BA"/>
    <w:rsid w:val="00380437"/>
    <w:rsid w:val="0038056E"/>
    <w:rsid w:val="00380D3A"/>
    <w:rsid w:val="00381F4E"/>
    <w:rsid w:val="00384247"/>
    <w:rsid w:val="0038426C"/>
    <w:rsid w:val="00384D08"/>
    <w:rsid w:val="00385548"/>
    <w:rsid w:val="00385D8B"/>
    <w:rsid w:val="003868A5"/>
    <w:rsid w:val="003901BE"/>
    <w:rsid w:val="003914F9"/>
    <w:rsid w:val="0039184C"/>
    <w:rsid w:val="0039246B"/>
    <w:rsid w:val="0039308E"/>
    <w:rsid w:val="00397533"/>
    <w:rsid w:val="003A014D"/>
    <w:rsid w:val="003A078E"/>
    <w:rsid w:val="003A0BBD"/>
    <w:rsid w:val="003A11CC"/>
    <w:rsid w:val="003A14F1"/>
    <w:rsid w:val="003A22D1"/>
    <w:rsid w:val="003A2B2C"/>
    <w:rsid w:val="003A4472"/>
    <w:rsid w:val="003A45A9"/>
    <w:rsid w:val="003A45F6"/>
    <w:rsid w:val="003A494C"/>
    <w:rsid w:val="003A79A6"/>
    <w:rsid w:val="003B1778"/>
    <w:rsid w:val="003B3E52"/>
    <w:rsid w:val="003B406A"/>
    <w:rsid w:val="003B57A8"/>
    <w:rsid w:val="003B662A"/>
    <w:rsid w:val="003B7B9B"/>
    <w:rsid w:val="003B7E0C"/>
    <w:rsid w:val="003B7F39"/>
    <w:rsid w:val="003C0D4B"/>
    <w:rsid w:val="003C19F7"/>
    <w:rsid w:val="003C1A5B"/>
    <w:rsid w:val="003C24CC"/>
    <w:rsid w:val="003C27FD"/>
    <w:rsid w:val="003C3D73"/>
    <w:rsid w:val="003C4082"/>
    <w:rsid w:val="003C41AD"/>
    <w:rsid w:val="003C5304"/>
    <w:rsid w:val="003C5965"/>
    <w:rsid w:val="003C5C92"/>
    <w:rsid w:val="003C63DF"/>
    <w:rsid w:val="003C6545"/>
    <w:rsid w:val="003C6A3F"/>
    <w:rsid w:val="003C72B4"/>
    <w:rsid w:val="003C7338"/>
    <w:rsid w:val="003C780B"/>
    <w:rsid w:val="003D0350"/>
    <w:rsid w:val="003D1205"/>
    <w:rsid w:val="003D2853"/>
    <w:rsid w:val="003D29BB"/>
    <w:rsid w:val="003D2B38"/>
    <w:rsid w:val="003D35E0"/>
    <w:rsid w:val="003D6860"/>
    <w:rsid w:val="003D7B62"/>
    <w:rsid w:val="003E10A1"/>
    <w:rsid w:val="003E137C"/>
    <w:rsid w:val="003E164E"/>
    <w:rsid w:val="003E2C43"/>
    <w:rsid w:val="003E3532"/>
    <w:rsid w:val="003E52BF"/>
    <w:rsid w:val="003E5929"/>
    <w:rsid w:val="003E6608"/>
    <w:rsid w:val="003E7996"/>
    <w:rsid w:val="003F0099"/>
    <w:rsid w:val="003F088A"/>
    <w:rsid w:val="003F0EF7"/>
    <w:rsid w:val="003F2156"/>
    <w:rsid w:val="003F373C"/>
    <w:rsid w:val="003F3881"/>
    <w:rsid w:val="003F5C2D"/>
    <w:rsid w:val="003F720D"/>
    <w:rsid w:val="0040029A"/>
    <w:rsid w:val="00401173"/>
    <w:rsid w:val="00401C56"/>
    <w:rsid w:val="00403A29"/>
    <w:rsid w:val="00403E7F"/>
    <w:rsid w:val="00404588"/>
    <w:rsid w:val="00404E0B"/>
    <w:rsid w:val="00404FEF"/>
    <w:rsid w:val="00405082"/>
    <w:rsid w:val="004075A3"/>
    <w:rsid w:val="00407ADA"/>
    <w:rsid w:val="0041032B"/>
    <w:rsid w:val="004109D8"/>
    <w:rsid w:val="00410E03"/>
    <w:rsid w:val="00411186"/>
    <w:rsid w:val="00411360"/>
    <w:rsid w:val="00411AD7"/>
    <w:rsid w:val="004120F9"/>
    <w:rsid w:val="0042145E"/>
    <w:rsid w:val="0042238C"/>
    <w:rsid w:val="00422BD0"/>
    <w:rsid w:val="004247E4"/>
    <w:rsid w:val="00427EE1"/>
    <w:rsid w:val="00432135"/>
    <w:rsid w:val="00435158"/>
    <w:rsid w:val="004358A7"/>
    <w:rsid w:val="00436D02"/>
    <w:rsid w:val="0043732F"/>
    <w:rsid w:val="00440113"/>
    <w:rsid w:val="0044105E"/>
    <w:rsid w:val="00441899"/>
    <w:rsid w:val="00442A13"/>
    <w:rsid w:val="00444592"/>
    <w:rsid w:val="00445175"/>
    <w:rsid w:val="0044662F"/>
    <w:rsid w:val="00447143"/>
    <w:rsid w:val="00447452"/>
    <w:rsid w:val="004476AC"/>
    <w:rsid w:val="004532CD"/>
    <w:rsid w:val="0045345B"/>
    <w:rsid w:val="0045389B"/>
    <w:rsid w:val="00455211"/>
    <w:rsid w:val="004563B9"/>
    <w:rsid w:val="004568E1"/>
    <w:rsid w:val="004572B9"/>
    <w:rsid w:val="004626CC"/>
    <w:rsid w:val="00462A16"/>
    <w:rsid w:val="00463ABA"/>
    <w:rsid w:val="00463FD3"/>
    <w:rsid w:val="00465E1C"/>
    <w:rsid w:val="00466F2E"/>
    <w:rsid w:val="00470173"/>
    <w:rsid w:val="00472222"/>
    <w:rsid w:val="004723A7"/>
    <w:rsid w:val="00473F57"/>
    <w:rsid w:val="0047498A"/>
    <w:rsid w:val="00475686"/>
    <w:rsid w:val="00475F04"/>
    <w:rsid w:val="0047730C"/>
    <w:rsid w:val="00477478"/>
    <w:rsid w:val="00481335"/>
    <w:rsid w:val="0048395D"/>
    <w:rsid w:val="00484553"/>
    <w:rsid w:val="00484D12"/>
    <w:rsid w:val="00487BA9"/>
    <w:rsid w:val="00492820"/>
    <w:rsid w:val="00493B5C"/>
    <w:rsid w:val="004940F1"/>
    <w:rsid w:val="00494FE2"/>
    <w:rsid w:val="00495FC2"/>
    <w:rsid w:val="00496254"/>
    <w:rsid w:val="0049684A"/>
    <w:rsid w:val="00497E55"/>
    <w:rsid w:val="004A286E"/>
    <w:rsid w:val="004A4136"/>
    <w:rsid w:val="004A4EFC"/>
    <w:rsid w:val="004A56F9"/>
    <w:rsid w:val="004A627C"/>
    <w:rsid w:val="004B24D1"/>
    <w:rsid w:val="004B36E0"/>
    <w:rsid w:val="004B498D"/>
    <w:rsid w:val="004B4A03"/>
    <w:rsid w:val="004B7C16"/>
    <w:rsid w:val="004B7EBD"/>
    <w:rsid w:val="004C051E"/>
    <w:rsid w:val="004C20FB"/>
    <w:rsid w:val="004C2265"/>
    <w:rsid w:val="004C45F9"/>
    <w:rsid w:val="004C6EEA"/>
    <w:rsid w:val="004C7D71"/>
    <w:rsid w:val="004D0A0B"/>
    <w:rsid w:val="004D0B7E"/>
    <w:rsid w:val="004D2D91"/>
    <w:rsid w:val="004D38A7"/>
    <w:rsid w:val="004D6E11"/>
    <w:rsid w:val="004D7001"/>
    <w:rsid w:val="004E0B02"/>
    <w:rsid w:val="004E0FEF"/>
    <w:rsid w:val="004E2A85"/>
    <w:rsid w:val="004E34F8"/>
    <w:rsid w:val="004E40C5"/>
    <w:rsid w:val="004E4628"/>
    <w:rsid w:val="004E56AD"/>
    <w:rsid w:val="004E584F"/>
    <w:rsid w:val="004E5986"/>
    <w:rsid w:val="004E5EF9"/>
    <w:rsid w:val="004E7C04"/>
    <w:rsid w:val="004F12CF"/>
    <w:rsid w:val="004F1615"/>
    <w:rsid w:val="004F3CA7"/>
    <w:rsid w:val="004F5021"/>
    <w:rsid w:val="004F518D"/>
    <w:rsid w:val="004F56FD"/>
    <w:rsid w:val="004F5865"/>
    <w:rsid w:val="004F660C"/>
    <w:rsid w:val="004F66EB"/>
    <w:rsid w:val="004F70EA"/>
    <w:rsid w:val="004F72CD"/>
    <w:rsid w:val="004F7F56"/>
    <w:rsid w:val="00500A2B"/>
    <w:rsid w:val="00501098"/>
    <w:rsid w:val="005011A4"/>
    <w:rsid w:val="0050160D"/>
    <w:rsid w:val="005034DE"/>
    <w:rsid w:val="00510217"/>
    <w:rsid w:val="0051143B"/>
    <w:rsid w:val="00511794"/>
    <w:rsid w:val="00511EC8"/>
    <w:rsid w:val="00514EFA"/>
    <w:rsid w:val="005154B8"/>
    <w:rsid w:val="00515A64"/>
    <w:rsid w:val="00515AE6"/>
    <w:rsid w:val="00516868"/>
    <w:rsid w:val="00520273"/>
    <w:rsid w:val="00520633"/>
    <w:rsid w:val="005211F2"/>
    <w:rsid w:val="00521901"/>
    <w:rsid w:val="00522071"/>
    <w:rsid w:val="005230C9"/>
    <w:rsid w:val="005233F9"/>
    <w:rsid w:val="00525AEA"/>
    <w:rsid w:val="00525BB3"/>
    <w:rsid w:val="00525E47"/>
    <w:rsid w:val="005269E3"/>
    <w:rsid w:val="00527A8E"/>
    <w:rsid w:val="00530AC8"/>
    <w:rsid w:val="005331EE"/>
    <w:rsid w:val="00533235"/>
    <w:rsid w:val="005349F1"/>
    <w:rsid w:val="00536155"/>
    <w:rsid w:val="005367A7"/>
    <w:rsid w:val="0053799E"/>
    <w:rsid w:val="005410B7"/>
    <w:rsid w:val="00541CE0"/>
    <w:rsid w:val="00542840"/>
    <w:rsid w:val="005465DF"/>
    <w:rsid w:val="005466B1"/>
    <w:rsid w:val="00547348"/>
    <w:rsid w:val="005506F9"/>
    <w:rsid w:val="00550F5A"/>
    <w:rsid w:val="005540ED"/>
    <w:rsid w:val="00554413"/>
    <w:rsid w:val="00555448"/>
    <w:rsid w:val="00555C01"/>
    <w:rsid w:val="005567B2"/>
    <w:rsid w:val="00556EDF"/>
    <w:rsid w:val="005613AD"/>
    <w:rsid w:val="00562A9F"/>
    <w:rsid w:val="005660EA"/>
    <w:rsid w:val="00570D27"/>
    <w:rsid w:val="005712DD"/>
    <w:rsid w:val="00571809"/>
    <w:rsid w:val="00572686"/>
    <w:rsid w:val="0057286B"/>
    <w:rsid w:val="00574088"/>
    <w:rsid w:val="00574940"/>
    <w:rsid w:val="00574A92"/>
    <w:rsid w:val="00574CE2"/>
    <w:rsid w:val="00577B52"/>
    <w:rsid w:val="0058166D"/>
    <w:rsid w:val="00582A5D"/>
    <w:rsid w:val="00582DE0"/>
    <w:rsid w:val="00583A38"/>
    <w:rsid w:val="00583C1E"/>
    <w:rsid w:val="0058531B"/>
    <w:rsid w:val="0058540A"/>
    <w:rsid w:val="00594B92"/>
    <w:rsid w:val="00595A32"/>
    <w:rsid w:val="005969AD"/>
    <w:rsid w:val="00597444"/>
    <w:rsid w:val="005A026E"/>
    <w:rsid w:val="005A136B"/>
    <w:rsid w:val="005A51C7"/>
    <w:rsid w:val="005A5D21"/>
    <w:rsid w:val="005A6250"/>
    <w:rsid w:val="005A7082"/>
    <w:rsid w:val="005A76B6"/>
    <w:rsid w:val="005B04B7"/>
    <w:rsid w:val="005B2716"/>
    <w:rsid w:val="005B39EB"/>
    <w:rsid w:val="005B3AFA"/>
    <w:rsid w:val="005B58EE"/>
    <w:rsid w:val="005B5C56"/>
    <w:rsid w:val="005B5EB0"/>
    <w:rsid w:val="005C0743"/>
    <w:rsid w:val="005C1555"/>
    <w:rsid w:val="005C1C85"/>
    <w:rsid w:val="005C2126"/>
    <w:rsid w:val="005C22FC"/>
    <w:rsid w:val="005C27B2"/>
    <w:rsid w:val="005C2AF7"/>
    <w:rsid w:val="005C30D9"/>
    <w:rsid w:val="005C36EA"/>
    <w:rsid w:val="005C4984"/>
    <w:rsid w:val="005C7909"/>
    <w:rsid w:val="005D0771"/>
    <w:rsid w:val="005D1207"/>
    <w:rsid w:val="005D3712"/>
    <w:rsid w:val="005D3906"/>
    <w:rsid w:val="005D5C5A"/>
    <w:rsid w:val="005E09C7"/>
    <w:rsid w:val="005E0A35"/>
    <w:rsid w:val="005E0DBE"/>
    <w:rsid w:val="005E180F"/>
    <w:rsid w:val="005E2EFA"/>
    <w:rsid w:val="005E3173"/>
    <w:rsid w:val="005E332B"/>
    <w:rsid w:val="005E53E3"/>
    <w:rsid w:val="005F0957"/>
    <w:rsid w:val="005F1347"/>
    <w:rsid w:val="005F1CDF"/>
    <w:rsid w:val="005F2154"/>
    <w:rsid w:val="005F2AED"/>
    <w:rsid w:val="005F4DE2"/>
    <w:rsid w:val="0060036A"/>
    <w:rsid w:val="00602361"/>
    <w:rsid w:val="006047FF"/>
    <w:rsid w:val="0060495C"/>
    <w:rsid w:val="00605FAD"/>
    <w:rsid w:val="00606109"/>
    <w:rsid w:val="00606B95"/>
    <w:rsid w:val="00607C88"/>
    <w:rsid w:val="00607D6B"/>
    <w:rsid w:val="0061177D"/>
    <w:rsid w:val="006122D3"/>
    <w:rsid w:val="00613552"/>
    <w:rsid w:val="00613BE8"/>
    <w:rsid w:val="00614EFF"/>
    <w:rsid w:val="006169F7"/>
    <w:rsid w:val="0061777F"/>
    <w:rsid w:val="006237BD"/>
    <w:rsid w:val="00627D9C"/>
    <w:rsid w:val="00630920"/>
    <w:rsid w:val="0063163D"/>
    <w:rsid w:val="00631751"/>
    <w:rsid w:val="00632D37"/>
    <w:rsid w:val="006337EF"/>
    <w:rsid w:val="00634025"/>
    <w:rsid w:val="006351E3"/>
    <w:rsid w:val="006355A9"/>
    <w:rsid w:val="006358E1"/>
    <w:rsid w:val="0064102E"/>
    <w:rsid w:val="006427B6"/>
    <w:rsid w:val="00642D1B"/>
    <w:rsid w:val="0064321C"/>
    <w:rsid w:val="006437E5"/>
    <w:rsid w:val="00645DC4"/>
    <w:rsid w:val="00646F88"/>
    <w:rsid w:val="00650B64"/>
    <w:rsid w:val="00652145"/>
    <w:rsid w:val="00652B8C"/>
    <w:rsid w:val="00652BD3"/>
    <w:rsid w:val="0065467A"/>
    <w:rsid w:val="00655725"/>
    <w:rsid w:val="0065661D"/>
    <w:rsid w:val="00656AD6"/>
    <w:rsid w:val="00660AF1"/>
    <w:rsid w:val="00662E29"/>
    <w:rsid w:val="00664303"/>
    <w:rsid w:val="006658AF"/>
    <w:rsid w:val="00666699"/>
    <w:rsid w:val="006702A6"/>
    <w:rsid w:val="00671E89"/>
    <w:rsid w:val="006736B6"/>
    <w:rsid w:val="00673CA3"/>
    <w:rsid w:val="006751CE"/>
    <w:rsid w:val="00676EE4"/>
    <w:rsid w:val="0067739A"/>
    <w:rsid w:val="00680DD5"/>
    <w:rsid w:val="0068195C"/>
    <w:rsid w:val="006819AE"/>
    <w:rsid w:val="0068294F"/>
    <w:rsid w:val="00682CD3"/>
    <w:rsid w:val="00682D0A"/>
    <w:rsid w:val="006844A6"/>
    <w:rsid w:val="006853AE"/>
    <w:rsid w:val="006868F6"/>
    <w:rsid w:val="00687BE8"/>
    <w:rsid w:val="0069013D"/>
    <w:rsid w:val="00691F11"/>
    <w:rsid w:val="00692AE1"/>
    <w:rsid w:val="006936E5"/>
    <w:rsid w:val="0069713A"/>
    <w:rsid w:val="006A0424"/>
    <w:rsid w:val="006A115F"/>
    <w:rsid w:val="006A1863"/>
    <w:rsid w:val="006A1929"/>
    <w:rsid w:val="006A1FF6"/>
    <w:rsid w:val="006A231B"/>
    <w:rsid w:val="006A2430"/>
    <w:rsid w:val="006A44CE"/>
    <w:rsid w:val="006A4B57"/>
    <w:rsid w:val="006A5B4E"/>
    <w:rsid w:val="006A5E7F"/>
    <w:rsid w:val="006A73F1"/>
    <w:rsid w:val="006B0FAF"/>
    <w:rsid w:val="006B33B8"/>
    <w:rsid w:val="006B37D0"/>
    <w:rsid w:val="006B3C12"/>
    <w:rsid w:val="006B5D4B"/>
    <w:rsid w:val="006C01D9"/>
    <w:rsid w:val="006C05D5"/>
    <w:rsid w:val="006C0656"/>
    <w:rsid w:val="006C1D0C"/>
    <w:rsid w:val="006C2647"/>
    <w:rsid w:val="006C33E3"/>
    <w:rsid w:val="006C6D68"/>
    <w:rsid w:val="006C7B81"/>
    <w:rsid w:val="006D04E4"/>
    <w:rsid w:val="006D34EB"/>
    <w:rsid w:val="006D376C"/>
    <w:rsid w:val="006D3CE1"/>
    <w:rsid w:val="006D4A97"/>
    <w:rsid w:val="006D76E4"/>
    <w:rsid w:val="006D770C"/>
    <w:rsid w:val="006E084B"/>
    <w:rsid w:val="006E1257"/>
    <w:rsid w:val="006E1271"/>
    <w:rsid w:val="006E235A"/>
    <w:rsid w:val="006E256F"/>
    <w:rsid w:val="006E3810"/>
    <w:rsid w:val="006E3A25"/>
    <w:rsid w:val="006E4E65"/>
    <w:rsid w:val="006E740F"/>
    <w:rsid w:val="006E750F"/>
    <w:rsid w:val="006E78D7"/>
    <w:rsid w:val="006F08BF"/>
    <w:rsid w:val="006F0B56"/>
    <w:rsid w:val="006F2CEC"/>
    <w:rsid w:val="006F3B98"/>
    <w:rsid w:val="006F44D8"/>
    <w:rsid w:val="006F48B6"/>
    <w:rsid w:val="006F4AA8"/>
    <w:rsid w:val="006F4BE6"/>
    <w:rsid w:val="006F533D"/>
    <w:rsid w:val="006F7838"/>
    <w:rsid w:val="006F7861"/>
    <w:rsid w:val="007002B5"/>
    <w:rsid w:val="00700FA0"/>
    <w:rsid w:val="00701BB5"/>
    <w:rsid w:val="00701F3D"/>
    <w:rsid w:val="00702421"/>
    <w:rsid w:val="00704E83"/>
    <w:rsid w:val="00704E95"/>
    <w:rsid w:val="007065AC"/>
    <w:rsid w:val="007106DA"/>
    <w:rsid w:val="00710B0E"/>
    <w:rsid w:val="0071205D"/>
    <w:rsid w:val="007132FA"/>
    <w:rsid w:val="007161D5"/>
    <w:rsid w:val="007162B5"/>
    <w:rsid w:val="007163D5"/>
    <w:rsid w:val="00717BA9"/>
    <w:rsid w:val="00720000"/>
    <w:rsid w:val="00720ECD"/>
    <w:rsid w:val="0072196C"/>
    <w:rsid w:val="00722604"/>
    <w:rsid w:val="00724E7C"/>
    <w:rsid w:val="0072568C"/>
    <w:rsid w:val="00726EC3"/>
    <w:rsid w:val="007270B3"/>
    <w:rsid w:val="007276A0"/>
    <w:rsid w:val="00727BB7"/>
    <w:rsid w:val="007318D6"/>
    <w:rsid w:val="00731A16"/>
    <w:rsid w:val="00732154"/>
    <w:rsid w:val="00734F45"/>
    <w:rsid w:val="00737A11"/>
    <w:rsid w:val="00740CA4"/>
    <w:rsid w:val="00740FD7"/>
    <w:rsid w:val="007435B8"/>
    <w:rsid w:val="007455C3"/>
    <w:rsid w:val="0074574F"/>
    <w:rsid w:val="007461FF"/>
    <w:rsid w:val="00747D2C"/>
    <w:rsid w:val="00747EB9"/>
    <w:rsid w:val="007519A6"/>
    <w:rsid w:val="00751A59"/>
    <w:rsid w:val="00751B32"/>
    <w:rsid w:val="00751D8F"/>
    <w:rsid w:val="00752E72"/>
    <w:rsid w:val="00753A00"/>
    <w:rsid w:val="007544D8"/>
    <w:rsid w:val="007551F9"/>
    <w:rsid w:val="00760628"/>
    <w:rsid w:val="00761B01"/>
    <w:rsid w:val="00761E7D"/>
    <w:rsid w:val="00761E9A"/>
    <w:rsid w:val="00764AE1"/>
    <w:rsid w:val="00765593"/>
    <w:rsid w:val="00765839"/>
    <w:rsid w:val="007658B7"/>
    <w:rsid w:val="00766148"/>
    <w:rsid w:val="0076736C"/>
    <w:rsid w:val="00767F75"/>
    <w:rsid w:val="00770DFE"/>
    <w:rsid w:val="007724B0"/>
    <w:rsid w:val="00772558"/>
    <w:rsid w:val="00774DBC"/>
    <w:rsid w:val="00775105"/>
    <w:rsid w:val="007770D4"/>
    <w:rsid w:val="0077723C"/>
    <w:rsid w:val="007773FA"/>
    <w:rsid w:val="00782CED"/>
    <w:rsid w:val="007835DE"/>
    <w:rsid w:val="00783758"/>
    <w:rsid w:val="007859D4"/>
    <w:rsid w:val="0078711E"/>
    <w:rsid w:val="00790039"/>
    <w:rsid w:val="007905BF"/>
    <w:rsid w:val="00791373"/>
    <w:rsid w:val="0079210C"/>
    <w:rsid w:val="00792EF7"/>
    <w:rsid w:val="007934EA"/>
    <w:rsid w:val="0079411C"/>
    <w:rsid w:val="00795975"/>
    <w:rsid w:val="007964E8"/>
    <w:rsid w:val="00796D8C"/>
    <w:rsid w:val="007A182D"/>
    <w:rsid w:val="007A1D2F"/>
    <w:rsid w:val="007A2913"/>
    <w:rsid w:val="007A3AE1"/>
    <w:rsid w:val="007A400D"/>
    <w:rsid w:val="007A4A49"/>
    <w:rsid w:val="007A5274"/>
    <w:rsid w:val="007B1027"/>
    <w:rsid w:val="007B534B"/>
    <w:rsid w:val="007B6A17"/>
    <w:rsid w:val="007C12E9"/>
    <w:rsid w:val="007C23A4"/>
    <w:rsid w:val="007C34C2"/>
    <w:rsid w:val="007C39F7"/>
    <w:rsid w:val="007C44FC"/>
    <w:rsid w:val="007D12BA"/>
    <w:rsid w:val="007D12CE"/>
    <w:rsid w:val="007D35B7"/>
    <w:rsid w:val="007D38A0"/>
    <w:rsid w:val="007D3A2E"/>
    <w:rsid w:val="007D3E0E"/>
    <w:rsid w:val="007D6264"/>
    <w:rsid w:val="007D67A2"/>
    <w:rsid w:val="007E0BE8"/>
    <w:rsid w:val="007E3910"/>
    <w:rsid w:val="007E7513"/>
    <w:rsid w:val="007F4812"/>
    <w:rsid w:val="007F4A85"/>
    <w:rsid w:val="007F5F75"/>
    <w:rsid w:val="007F6F3B"/>
    <w:rsid w:val="007F75E6"/>
    <w:rsid w:val="007F7B7B"/>
    <w:rsid w:val="008005AB"/>
    <w:rsid w:val="00802155"/>
    <w:rsid w:val="00803799"/>
    <w:rsid w:val="00803819"/>
    <w:rsid w:val="00803D39"/>
    <w:rsid w:val="00804037"/>
    <w:rsid w:val="008059B4"/>
    <w:rsid w:val="008126D3"/>
    <w:rsid w:val="00812DA1"/>
    <w:rsid w:val="008152B7"/>
    <w:rsid w:val="00816209"/>
    <w:rsid w:val="00822DA8"/>
    <w:rsid w:val="008277CB"/>
    <w:rsid w:val="008278A0"/>
    <w:rsid w:val="00830213"/>
    <w:rsid w:val="00831AF7"/>
    <w:rsid w:val="00832BAE"/>
    <w:rsid w:val="008377F6"/>
    <w:rsid w:val="0084105C"/>
    <w:rsid w:val="008418BA"/>
    <w:rsid w:val="00841BC2"/>
    <w:rsid w:val="008422D0"/>
    <w:rsid w:val="00843003"/>
    <w:rsid w:val="00843C41"/>
    <w:rsid w:val="00843D97"/>
    <w:rsid w:val="00844FB6"/>
    <w:rsid w:val="008465B2"/>
    <w:rsid w:val="0084684D"/>
    <w:rsid w:val="00846D73"/>
    <w:rsid w:val="00846DC1"/>
    <w:rsid w:val="008500BD"/>
    <w:rsid w:val="0085408D"/>
    <w:rsid w:val="00855C0C"/>
    <w:rsid w:val="00856B17"/>
    <w:rsid w:val="00857391"/>
    <w:rsid w:val="00861A6B"/>
    <w:rsid w:val="00862427"/>
    <w:rsid w:val="00864B69"/>
    <w:rsid w:val="0086521C"/>
    <w:rsid w:val="00866F42"/>
    <w:rsid w:val="00867B32"/>
    <w:rsid w:val="00870449"/>
    <w:rsid w:val="008705B4"/>
    <w:rsid w:val="00874506"/>
    <w:rsid w:val="0087580D"/>
    <w:rsid w:val="008762AD"/>
    <w:rsid w:val="00876B18"/>
    <w:rsid w:val="00876F7B"/>
    <w:rsid w:val="008822F3"/>
    <w:rsid w:val="00883259"/>
    <w:rsid w:val="00884C15"/>
    <w:rsid w:val="008854AB"/>
    <w:rsid w:val="00890A24"/>
    <w:rsid w:val="00892175"/>
    <w:rsid w:val="00892612"/>
    <w:rsid w:val="00892B19"/>
    <w:rsid w:val="008936F5"/>
    <w:rsid w:val="00896394"/>
    <w:rsid w:val="008A1FFE"/>
    <w:rsid w:val="008A3A4A"/>
    <w:rsid w:val="008A4F4F"/>
    <w:rsid w:val="008A6898"/>
    <w:rsid w:val="008A6DAD"/>
    <w:rsid w:val="008A73DD"/>
    <w:rsid w:val="008B533C"/>
    <w:rsid w:val="008B5CA1"/>
    <w:rsid w:val="008B5CD0"/>
    <w:rsid w:val="008C1CD1"/>
    <w:rsid w:val="008C258D"/>
    <w:rsid w:val="008C3A19"/>
    <w:rsid w:val="008C44BE"/>
    <w:rsid w:val="008C7539"/>
    <w:rsid w:val="008C75FF"/>
    <w:rsid w:val="008D1852"/>
    <w:rsid w:val="008D2DBE"/>
    <w:rsid w:val="008D3B91"/>
    <w:rsid w:val="008D5892"/>
    <w:rsid w:val="008D64CC"/>
    <w:rsid w:val="008D773D"/>
    <w:rsid w:val="008D7B48"/>
    <w:rsid w:val="008E0206"/>
    <w:rsid w:val="008E2810"/>
    <w:rsid w:val="008E5314"/>
    <w:rsid w:val="008E5D32"/>
    <w:rsid w:val="008E62C0"/>
    <w:rsid w:val="008E651F"/>
    <w:rsid w:val="008E736B"/>
    <w:rsid w:val="008F0C14"/>
    <w:rsid w:val="008F0E7C"/>
    <w:rsid w:val="008F1176"/>
    <w:rsid w:val="008F1AB4"/>
    <w:rsid w:val="008F3611"/>
    <w:rsid w:val="008F4125"/>
    <w:rsid w:val="008F4884"/>
    <w:rsid w:val="008F5A81"/>
    <w:rsid w:val="008F60D2"/>
    <w:rsid w:val="00901785"/>
    <w:rsid w:val="009033CB"/>
    <w:rsid w:val="00905908"/>
    <w:rsid w:val="00906EA2"/>
    <w:rsid w:val="00912DF1"/>
    <w:rsid w:val="009141DA"/>
    <w:rsid w:val="009173DF"/>
    <w:rsid w:val="009173FE"/>
    <w:rsid w:val="0091774D"/>
    <w:rsid w:val="00920DC0"/>
    <w:rsid w:val="00920E87"/>
    <w:rsid w:val="00920EAC"/>
    <w:rsid w:val="0092196E"/>
    <w:rsid w:val="00921C23"/>
    <w:rsid w:val="00921C84"/>
    <w:rsid w:val="00921ECE"/>
    <w:rsid w:val="00923B4E"/>
    <w:rsid w:val="009253DB"/>
    <w:rsid w:val="00926172"/>
    <w:rsid w:val="00927F3B"/>
    <w:rsid w:val="00930183"/>
    <w:rsid w:val="00931814"/>
    <w:rsid w:val="00931A3D"/>
    <w:rsid w:val="00932C9D"/>
    <w:rsid w:val="00933613"/>
    <w:rsid w:val="00935B79"/>
    <w:rsid w:val="00935C47"/>
    <w:rsid w:val="00936C00"/>
    <w:rsid w:val="00940B49"/>
    <w:rsid w:val="00942EA8"/>
    <w:rsid w:val="009456CE"/>
    <w:rsid w:val="00945747"/>
    <w:rsid w:val="009457A6"/>
    <w:rsid w:val="00950AEB"/>
    <w:rsid w:val="009516DF"/>
    <w:rsid w:val="00952D69"/>
    <w:rsid w:val="00952DC8"/>
    <w:rsid w:val="009543F0"/>
    <w:rsid w:val="00954F92"/>
    <w:rsid w:val="00955D2E"/>
    <w:rsid w:val="009574E7"/>
    <w:rsid w:val="00962D11"/>
    <w:rsid w:val="009635A3"/>
    <w:rsid w:val="009638B2"/>
    <w:rsid w:val="009640D5"/>
    <w:rsid w:val="00964113"/>
    <w:rsid w:val="0096626C"/>
    <w:rsid w:val="00967B0F"/>
    <w:rsid w:val="0097012B"/>
    <w:rsid w:val="00970152"/>
    <w:rsid w:val="00970BBE"/>
    <w:rsid w:val="00972152"/>
    <w:rsid w:val="0097236C"/>
    <w:rsid w:val="009730D1"/>
    <w:rsid w:val="00974B11"/>
    <w:rsid w:val="0097556C"/>
    <w:rsid w:val="009755AC"/>
    <w:rsid w:val="00980CF7"/>
    <w:rsid w:val="009810BE"/>
    <w:rsid w:val="00981D52"/>
    <w:rsid w:val="009833F3"/>
    <w:rsid w:val="009837B5"/>
    <w:rsid w:val="00983898"/>
    <w:rsid w:val="00984816"/>
    <w:rsid w:val="00984BED"/>
    <w:rsid w:val="0098561B"/>
    <w:rsid w:val="009856D3"/>
    <w:rsid w:val="00987BD5"/>
    <w:rsid w:val="00994F94"/>
    <w:rsid w:val="00996262"/>
    <w:rsid w:val="009A1A2A"/>
    <w:rsid w:val="009A230B"/>
    <w:rsid w:val="009A23A7"/>
    <w:rsid w:val="009A3027"/>
    <w:rsid w:val="009A413C"/>
    <w:rsid w:val="009B069B"/>
    <w:rsid w:val="009B0C87"/>
    <w:rsid w:val="009B3A93"/>
    <w:rsid w:val="009B3D14"/>
    <w:rsid w:val="009B5668"/>
    <w:rsid w:val="009B7C5B"/>
    <w:rsid w:val="009C11EB"/>
    <w:rsid w:val="009C1B73"/>
    <w:rsid w:val="009C2339"/>
    <w:rsid w:val="009C2FA6"/>
    <w:rsid w:val="009C4331"/>
    <w:rsid w:val="009C4967"/>
    <w:rsid w:val="009C4DEC"/>
    <w:rsid w:val="009C50A7"/>
    <w:rsid w:val="009C56E0"/>
    <w:rsid w:val="009C5BB0"/>
    <w:rsid w:val="009C5EF2"/>
    <w:rsid w:val="009D10EB"/>
    <w:rsid w:val="009D4771"/>
    <w:rsid w:val="009D538F"/>
    <w:rsid w:val="009D7122"/>
    <w:rsid w:val="009D7534"/>
    <w:rsid w:val="009E30BC"/>
    <w:rsid w:val="009E3679"/>
    <w:rsid w:val="009E3712"/>
    <w:rsid w:val="009E43D9"/>
    <w:rsid w:val="009E49B1"/>
    <w:rsid w:val="009E5B84"/>
    <w:rsid w:val="009E707A"/>
    <w:rsid w:val="009E7088"/>
    <w:rsid w:val="009E78C9"/>
    <w:rsid w:val="009E7BB3"/>
    <w:rsid w:val="009F018D"/>
    <w:rsid w:val="009F03C5"/>
    <w:rsid w:val="009F124C"/>
    <w:rsid w:val="009F1FF6"/>
    <w:rsid w:val="009F3B97"/>
    <w:rsid w:val="00A02536"/>
    <w:rsid w:val="00A02758"/>
    <w:rsid w:val="00A033C6"/>
    <w:rsid w:val="00A03CAF"/>
    <w:rsid w:val="00A04ED0"/>
    <w:rsid w:val="00A04FD9"/>
    <w:rsid w:val="00A07B56"/>
    <w:rsid w:val="00A11E70"/>
    <w:rsid w:val="00A15D1C"/>
    <w:rsid w:val="00A17362"/>
    <w:rsid w:val="00A20CCA"/>
    <w:rsid w:val="00A20FE0"/>
    <w:rsid w:val="00A21025"/>
    <w:rsid w:val="00A24478"/>
    <w:rsid w:val="00A24707"/>
    <w:rsid w:val="00A24F35"/>
    <w:rsid w:val="00A25AFD"/>
    <w:rsid w:val="00A26505"/>
    <w:rsid w:val="00A27E5E"/>
    <w:rsid w:val="00A3007C"/>
    <w:rsid w:val="00A306C1"/>
    <w:rsid w:val="00A312CA"/>
    <w:rsid w:val="00A314AF"/>
    <w:rsid w:val="00A3266F"/>
    <w:rsid w:val="00A33408"/>
    <w:rsid w:val="00A33B50"/>
    <w:rsid w:val="00A35E9E"/>
    <w:rsid w:val="00A36D8D"/>
    <w:rsid w:val="00A37293"/>
    <w:rsid w:val="00A376E4"/>
    <w:rsid w:val="00A43B85"/>
    <w:rsid w:val="00A44297"/>
    <w:rsid w:val="00A447BA"/>
    <w:rsid w:val="00A463AF"/>
    <w:rsid w:val="00A4673B"/>
    <w:rsid w:val="00A46795"/>
    <w:rsid w:val="00A468CF"/>
    <w:rsid w:val="00A57256"/>
    <w:rsid w:val="00A61255"/>
    <w:rsid w:val="00A61336"/>
    <w:rsid w:val="00A6140A"/>
    <w:rsid w:val="00A6150D"/>
    <w:rsid w:val="00A6279F"/>
    <w:rsid w:val="00A62A2D"/>
    <w:rsid w:val="00A634BB"/>
    <w:rsid w:val="00A645D0"/>
    <w:rsid w:val="00A65355"/>
    <w:rsid w:val="00A65C64"/>
    <w:rsid w:val="00A677F3"/>
    <w:rsid w:val="00A67A06"/>
    <w:rsid w:val="00A73AAB"/>
    <w:rsid w:val="00A747ED"/>
    <w:rsid w:val="00A7762D"/>
    <w:rsid w:val="00A8083C"/>
    <w:rsid w:val="00A83DDF"/>
    <w:rsid w:val="00A84877"/>
    <w:rsid w:val="00A85600"/>
    <w:rsid w:val="00A86EF9"/>
    <w:rsid w:val="00A87AB6"/>
    <w:rsid w:val="00A90680"/>
    <w:rsid w:val="00A91390"/>
    <w:rsid w:val="00A91636"/>
    <w:rsid w:val="00A922B7"/>
    <w:rsid w:val="00A9257A"/>
    <w:rsid w:val="00A92C41"/>
    <w:rsid w:val="00A94F05"/>
    <w:rsid w:val="00A959FD"/>
    <w:rsid w:val="00A9619B"/>
    <w:rsid w:val="00AA0178"/>
    <w:rsid w:val="00AA07E9"/>
    <w:rsid w:val="00AA2997"/>
    <w:rsid w:val="00AA5B82"/>
    <w:rsid w:val="00AA6CBE"/>
    <w:rsid w:val="00AA71C5"/>
    <w:rsid w:val="00AA74A6"/>
    <w:rsid w:val="00AA7908"/>
    <w:rsid w:val="00AB0AEC"/>
    <w:rsid w:val="00AB100F"/>
    <w:rsid w:val="00AB118F"/>
    <w:rsid w:val="00AB17B6"/>
    <w:rsid w:val="00AB17E4"/>
    <w:rsid w:val="00AB1810"/>
    <w:rsid w:val="00AB2AB1"/>
    <w:rsid w:val="00AB2C96"/>
    <w:rsid w:val="00AB36E4"/>
    <w:rsid w:val="00AB58FA"/>
    <w:rsid w:val="00AC0B29"/>
    <w:rsid w:val="00AC15A7"/>
    <w:rsid w:val="00AC227E"/>
    <w:rsid w:val="00AC2448"/>
    <w:rsid w:val="00AC49CE"/>
    <w:rsid w:val="00AC62D7"/>
    <w:rsid w:val="00AD0C23"/>
    <w:rsid w:val="00AD286C"/>
    <w:rsid w:val="00AD3139"/>
    <w:rsid w:val="00AD6400"/>
    <w:rsid w:val="00AD6B47"/>
    <w:rsid w:val="00AE0905"/>
    <w:rsid w:val="00AE11C8"/>
    <w:rsid w:val="00AE1446"/>
    <w:rsid w:val="00AE2A0A"/>
    <w:rsid w:val="00AE3351"/>
    <w:rsid w:val="00AE3641"/>
    <w:rsid w:val="00AE37A3"/>
    <w:rsid w:val="00AE47E7"/>
    <w:rsid w:val="00AE4998"/>
    <w:rsid w:val="00AE7933"/>
    <w:rsid w:val="00AF0218"/>
    <w:rsid w:val="00AF02E6"/>
    <w:rsid w:val="00AF150D"/>
    <w:rsid w:val="00AF1584"/>
    <w:rsid w:val="00AF1CCC"/>
    <w:rsid w:val="00AF1E6B"/>
    <w:rsid w:val="00AF38A8"/>
    <w:rsid w:val="00AF3E2E"/>
    <w:rsid w:val="00AF57DE"/>
    <w:rsid w:val="00AF617B"/>
    <w:rsid w:val="00AF775C"/>
    <w:rsid w:val="00B003F9"/>
    <w:rsid w:val="00B01897"/>
    <w:rsid w:val="00B01A47"/>
    <w:rsid w:val="00B03030"/>
    <w:rsid w:val="00B04E58"/>
    <w:rsid w:val="00B059CA"/>
    <w:rsid w:val="00B05DFC"/>
    <w:rsid w:val="00B11880"/>
    <w:rsid w:val="00B11B4E"/>
    <w:rsid w:val="00B12EC8"/>
    <w:rsid w:val="00B16196"/>
    <w:rsid w:val="00B1622F"/>
    <w:rsid w:val="00B168ED"/>
    <w:rsid w:val="00B1764E"/>
    <w:rsid w:val="00B17EFB"/>
    <w:rsid w:val="00B20182"/>
    <w:rsid w:val="00B21D36"/>
    <w:rsid w:val="00B231E6"/>
    <w:rsid w:val="00B2334C"/>
    <w:rsid w:val="00B23457"/>
    <w:rsid w:val="00B24D9C"/>
    <w:rsid w:val="00B2512A"/>
    <w:rsid w:val="00B2621F"/>
    <w:rsid w:val="00B273F9"/>
    <w:rsid w:val="00B2741E"/>
    <w:rsid w:val="00B304B5"/>
    <w:rsid w:val="00B30917"/>
    <w:rsid w:val="00B34CAA"/>
    <w:rsid w:val="00B35A40"/>
    <w:rsid w:val="00B36397"/>
    <w:rsid w:val="00B36998"/>
    <w:rsid w:val="00B421DB"/>
    <w:rsid w:val="00B4331B"/>
    <w:rsid w:val="00B44237"/>
    <w:rsid w:val="00B44FB9"/>
    <w:rsid w:val="00B457DE"/>
    <w:rsid w:val="00B46A7E"/>
    <w:rsid w:val="00B472B0"/>
    <w:rsid w:val="00B52CB1"/>
    <w:rsid w:val="00B5482B"/>
    <w:rsid w:val="00B549FE"/>
    <w:rsid w:val="00B54FE1"/>
    <w:rsid w:val="00B557EA"/>
    <w:rsid w:val="00B567C5"/>
    <w:rsid w:val="00B60FBC"/>
    <w:rsid w:val="00B61C27"/>
    <w:rsid w:val="00B61CC1"/>
    <w:rsid w:val="00B6576B"/>
    <w:rsid w:val="00B6704F"/>
    <w:rsid w:val="00B67346"/>
    <w:rsid w:val="00B72CF8"/>
    <w:rsid w:val="00B74FE3"/>
    <w:rsid w:val="00B7623A"/>
    <w:rsid w:val="00B76410"/>
    <w:rsid w:val="00B81075"/>
    <w:rsid w:val="00B82C92"/>
    <w:rsid w:val="00B85136"/>
    <w:rsid w:val="00B85C3C"/>
    <w:rsid w:val="00B878C6"/>
    <w:rsid w:val="00B90FB4"/>
    <w:rsid w:val="00B91E98"/>
    <w:rsid w:val="00B928E4"/>
    <w:rsid w:val="00B9466D"/>
    <w:rsid w:val="00B96CD0"/>
    <w:rsid w:val="00BA0312"/>
    <w:rsid w:val="00BA26AE"/>
    <w:rsid w:val="00BA52C8"/>
    <w:rsid w:val="00BA68F4"/>
    <w:rsid w:val="00BA715A"/>
    <w:rsid w:val="00BB0A2F"/>
    <w:rsid w:val="00BB2F46"/>
    <w:rsid w:val="00BB3B96"/>
    <w:rsid w:val="00BB41A6"/>
    <w:rsid w:val="00BB42FC"/>
    <w:rsid w:val="00BB4903"/>
    <w:rsid w:val="00BB505D"/>
    <w:rsid w:val="00BB7156"/>
    <w:rsid w:val="00BB746E"/>
    <w:rsid w:val="00BB77AA"/>
    <w:rsid w:val="00BC21C5"/>
    <w:rsid w:val="00BC22B1"/>
    <w:rsid w:val="00BC2BAC"/>
    <w:rsid w:val="00BC412C"/>
    <w:rsid w:val="00BC4FA7"/>
    <w:rsid w:val="00BC549F"/>
    <w:rsid w:val="00BC5823"/>
    <w:rsid w:val="00BC6087"/>
    <w:rsid w:val="00BC65D9"/>
    <w:rsid w:val="00BC770A"/>
    <w:rsid w:val="00BD0AD5"/>
    <w:rsid w:val="00BD1AAF"/>
    <w:rsid w:val="00BD1C2B"/>
    <w:rsid w:val="00BD315B"/>
    <w:rsid w:val="00BD3489"/>
    <w:rsid w:val="00BD3C7C"/>
    <w:rsid w:val="00BD3D34"/>
    <w:rsid w:val="00BD460C"/>
    <w:rsid w:val="00BD5855"/>
    <w:rsid w:val="00BD6278"/>
    <w:rsid w:val="00BD69F9"/>
    <w:rsid w:val="00BE1015"/>
    <w:rsid w:val="00BE1D93"/>
    <w:rsid w:val="00BE1F0F"/>
    <w:rsid w:val="00BE1FD9"/>
    <w:rsid w:val="00BE2EC2"/>
    <w:rsid w:val="00BE44E1"/>
    <w:rsid w:val="00BE486A"/>
    <w:rsid w:val="00BE4A27"/>
    <w:rsid w:val="00BE615D"/>
    <w:rsid w:val="00BE7379"/>
    <w:rsid w:val="00BE7839"/>
    <w:rsid w:val="00BF06FA"/>
    <w:rsid w:val="00BF1028"/>
    <w:rsid w:val="00BF286A"/>
    <w:rsid w:val="00BF322A"/>
    <w:rsid w:val="00BF46DA"/>
    <w:rsid w:val="00BF5395"/>
    <w:rsid w:val="00BF7595"/>
    <w:rsid w:val="00BF7FAA"/>
    <w:rsid w:val="00C00AB5"/>
    <w:rsid w:val="00C00F35"/>
    <w:rsid w:val="00C01B0C"/>
    <w:rsid w:val="00C01BDF"/>
    <w:rsid w:val="00C0397C"/>
    <w:rsid w:val="00C047EF"/>
    <w:rsid w:val="00C04AEC"/>
    <w:rsid w:val="00C0646A"/>
    <w:rsid w:val="00C0649D"/>
    <w:rsid w:val="00C06FFE"/>
    <w:rsid w:val="00C0723D"/>
    <w:rsid w:val="00C07DC1"/>
    <w:rsid w:val="00C10893"/>
    <w:rsid w:val="00C10E9F"/>
    <w:rsid w:val="00C138AC"/>
    <w:rsid w:val="00C143A2"/>
    <w:rsid w:val="00C15E58"/>
    <w:rsid w:val="00C16037"/>
    <w:rsid w:val="00C16C4C"/>
    <w:rsid w:val="00C17628"/>
    <w:rsid w:val="00C17844"/>
    <w:rsid w:val="00C17BF2"/>
    <w:rsid w:val="00C20D5D"/>
    <w:rsid w:val="00C22878"/>
    <w:rsid w:val="00C23275"/>
    <w:rsid w:val="00C23AED"/>
    <w:rsid w:val="00C25C48"/>
    <w:rsid w:val="00C26CA6"/>
    <w:rsid w:val="00C2716F"/>
    <w:rsid w:val="00C32A77"/>
    <w:rsid w:val="00C32FA4"/>
    <w:rsid w:val="00C339F6"/>
    <w:rsid w:val="00C3483E"/>
    <w:rsid w:val="00C360E6"/>
    <w:rsid w:val="00C36D76"/>
    <w:rsid w:val="00C37A89"/>
    <w:rsid w:val="00C41C54"/>
    <w:rsid w:val="00C42AF7"/>
    <w:rsid w:val="00C458C6"/>
    <w:rsid w:val="00C50B54"/>
    <w:rsid w:val="00C52E8C"/>
    <w:rsid w:val="00C5303D"/>
    <w:rsid w:val="00C53E66"/>
    <w:rsid w:val="00C56512"/>
    <w:rsid w:val="00C62386"/>
    <w:rsid w:val="00C62983"/>
    <w:rsid w:val="00C62C6D"/>
    <w:rsid w:val="00C63793"/>
    <w:rsid w:val="00C6497E"/>
    <w:rsid w:val="00C64AC7"/>
    <w:rsid w:val="00C64C00"/>
    <w:rsid w:val="00C65E4A"/>
    <w:rsid w:val="00C6710A"/>
    <w:rsid w:val="00C674F5"/>
    <w:rsid w:val="00C70B57"/>
    <w:rsid w:val="00C713C3"/>
    <w:rsid w:val="00C748D0"/>
    <w:rsid w:val="00C74CCF"/>
    <w:rsid w:val="00C751BA"/>
    <w:rsid w:val="00C75786"/>
    <w:rsid w:val="00C767AD"/>
    <w:rsid w:val="00C80488"/>
    <w:rsid w:val="00C81E21"/>
    <w:rsid w:val="00C82ABC"/>
    <w:rsid w:val="00C85A6B"/>
    <w:rsid w:val="00C90551"/>
    <w:rsid w:val="00C914FB"/>
    <w:rsid w:val="00C9195E"/>
    <w:rsid w:val="00C91C08"/>
    <w:rsid w:val="00C92012"/>
    <w:rsid w:val="00C92357"/>
    <w:rsid w:val="00C9351C"/>
    <w:rsid w:val="00C9497E"/>
    <w:rsid w:val="00C95C8D"/>
    <w:rsid w:val="00C966AD"/>
    <w:rsid w:val="00C9697F"/>
    <w:rsid w:val="00C969AD"/>
    <w:rsid w:val="00C9759D"/>
    <w:rsid w:val="00CA0035"/>
    <w:rsid w:val="00CA2A9D"/>
    <w:rsid w:val="00CA2F40"/>
    <w:rsid w:val="00CA3DA7"/>
    <w:rsid w:val="00CA3DAC"/>
    <w:rsid w:val="00CA4A48"/>
    <w:rsid w:val="00CA7DDE"/>
    <w:rsid w:val="00CB0CD7"/>
    <w:rsid w:val="00CB1B94"/>
    <w:rsid w:val="00CB1FD8"/>
    <w:rsid w:val="00CB2126"/>
    <w:rsid w:val="00CB38CC"/>
    <w:rsid w:val="00CB498C"/>
    <w:rsid w:val="00CB4F1B"/>
    <w:rsid w:val="00CB52D8"/>
    <w:rsid w:val="00CB59A0"/>
    <w:rsid w:val="00CB5F2F"/>
    <w:rsid w:val="00CC02EF"/>
    <w:rsid w:val="00CC1B2D"/>
    <w:rsid w:val="00CC35A7"/>
    <w:rsid w:val="00CC3DF3"/>
    <w:rsid w:val="00CC5E33"/>
    <w:rsid w:val="00CC6315"/>
    <w:rsid w:val="00CD3413"/>
    <w:rsid w:val="00CD3BA9"/>
    <w:rsid w:val="00CD72DD"/>
    <w:rsid w:val="00CE0392"/>
    <w:rsid w:val="00CE063C"/>
    <w:rsid w:val="00CE0A8D"/>
    <w:rsid w:val="00CE311B"/>
    <w:rsid w:val="00CE38C5"/>
    <w:rsid w:val="00CE51DC"/>
    <w:rsid w:val="00CE598F"/>
    <w:rsid w:val="00CE5AA4"/>
    <w:rsid w:val="00CE5B52"/>
    <w:rsid w:val="00CE62B4"/>
    <w:rsid w:val="00CE645E"/>
    <w:rsid w:val="00CE739F"/>
    <w:rsid w:val="00CF0597"/>
    <w:rsid w:val="00CF096A"/>
    <w:rsid w:val="00CF25D1"/>
    <w:rsid w:val="00CF2CA7"/>
    <w:rsid w:val="00CF6CB8"/>
    <w:rsid w:val="00CF737F"/>
    <w:rsid w:val="00CF7CE6"/>
    <w:rsid w:val="00D00224"/>
    <w:rsid w:val="00D01819"/>
    <w:rsid w:val="00D02963"/>
    <w:rsid w:val="00D03D99"/>
    <w:rsid w:val="00D054D4"/>
    <w:rsid w:val="00D05EA3"/>
    <w:rsid w:val="00D05FBF"/>
    <w:rsid w:val="00D0600E"/>
    <w:rsid w:val="00D063EB"/>
    <w:rsid w:val="00D06FB8"/>
    <w:rsid w:val="00D10749"/>
    <w:rsid w:val="00D1194B"/>
    <w:rsid w:val="00D134B1"/>
    <w:rsid w:val="00D1371F"/>
    <w:rsid w:val="00D1380C"/>
    <w:rsid w:val="00D2078C"/>
    <w:rsid w:val="00D207DA"/>
    <w:rsid w:val="00D20D71"/>
    <w:rsid w:val="00D210E0"/>
    <w:rsid w:val="00D2172E"/>
    <w:rsid w:val="00D22ABB"/>
    <w:rsid w:val="00D23BC5"/>
    <w:rsid w:val="00D25250"/>
    <w:rsid w:val="00D255EF"/>
    <w:rsid w:val="00D262DC"/>
    <w:rsid w:val="00D26632"/>
    <w:rsid w:val="00D27308"/>
    <w:rsid w:val="00D2732F"/>
    <w:rsid w:val="00D27C1E"/>
    <w:rsid w:val="00D30415"/>
    <w:rsid w:val="00D30AC6"/>
    <w:rsid w:val="00D315E2"/>
    <w:rsid w:val="00D31763"/>
    <w:rsid w:val="00D324A2"/>
    <w:rsid w:val="00D3399F"/>
    <w:rsid w:val="00D3609C"/>
    <w:rsid w:val="00D36FBC"/>
    <w:rsid w:val="00D3786B"/>
    <w:rsid w:val="00D37928"/>
    <w:rsid w:val="00D37A9C"/>
    <w:rsid w:val="00D416A1"/>
    <w:rsid w:val="00D4258B"/>
    <w:rsid w:val="00D44C4D"/>
    <w:rsid w:val="00D45FBE"/>
    <w:rsid w:val="00D46CDE"/>
    <w:rsid w:val="00D477CB"/>
    <w:rsid w:val="00D47B2E"/>
    <w:rsid w:val="00D47DB3"/>
    <w:rsid w:val="00D518C1"/>
    <w:rsid w:val="00D520E4"/>
    <w:rsid w:val="00D53209"/>
    <w:rsid w:val="00D570CC"/>
    <w:rsid w:val="00D6166F"/>
    <w:rsid w:val="00D61CD6"/>
    <w:rsid w:val="00D6339E"/>
    <w:rsid w:val="00D6431E"/>
    <w:rsid w:val="00D64364"/>
    <w:rsid w:val="00D64443"/>
    <w:rsid w:val="00D65C9E"/>
    <w:rsid w:val="00D66ED0"/>
    <w:rsid w:val="00D711F2"/>
    <w:rsid w:val="00D7170F"/>
    <w:rsid w:val="00D71D03"/>
    <w:rsid w:val="00D721C8"/>
    <w:rsid w:val="00D73CC1"/>
    <w:rsid w:val="00D776A0"/>
    <w:rsid w:val="00D804E9"/>
    <w:rsid w:val="00D81362"/>
    <w:rsid w:val="00D8429A"/>
    <w:rsid w:val="00D847C4"/>
    <w:rsid w:val="00D8513B"/>
    <w:rsid w:val="00D864FD"/>
    <w:rsid w:val="00D873DC"/>
    <w:rsid w:val="00D87432"/>
    <w:rsid w:val="00D90A16"/>
    <w:rsid w:val="00D90B78"/>
    <w:rsid w:val="00D91B68"/>
    <w:rsid w:val="00D91EC2"/>
    <w:rsid w:val="00D93311"/>
    <w:rsid w:val="00D93347"/>
    <w:rsid w:val="00D93FEA"/>
    <w:rsid w:val="00D940B8"/>
    <w:rsid w:val="00D9489F"/>
    <w:rsid w:val="00D948F2"/>
    <w:rsid w:val="00D95AED"/>
    <w:rsid w:val="00DA11B7"/>
    <w:rsid w:val="00DA2146"/>
    <w:rsid w:val="00DA248B"/>
    <w:rsid w:val="00DA47D0"/>
    <w:rsid w:val="00DA5400"/>
    <w:rsid w:val="00DA6F14"/>
    <w:rsid w:val="00DA72D1"/>
    <w:rsid w:val="00DA7337"/>
    <w:rsid w:val="00DA7AFA"/>
    <w:rsid w:val="00DA7BB4"/>
    <w:rsid w:val="00DB04CB"/>
    <w:rsid w:val="00DB39EA"/>
    <w:rsid w:val="00DB53E4"/>
    <w:rsid w:val="00DB57B0"/>
    <w:rsid w:val="00DB6173"/>
    <w:rsid w:val="00DB69E8"/>
    <w:rsid w:val="00DB6A53"/>
    <w:rsid w:val="00DC121E"/>
    <w:rsid w:val="00DC1396"/>
    <w:rsid w:val="00DC22C6"/>
    <w:rsid w:val="00DC2628"/>
    <w:rsid w:val="00DC4FA6"/>
    <w:rsid w:val="00DC5A69"/>
    <w:rsid w:val="00DC7067"/>
    <w:rsid w:val="00DD05CD"/>
    <w:rsid w:val="00DD13A4"/>
    <w:rsid w:val="00DD1646"/>
    <w:rsid w:val="00DD45BA"/>
    <w:rsid w:val="00DD4B6B"/>
    <w:rsid w:val="00DD4C8D"/>
    <w:rsid w:val="00DD4DB1"/>
    <w:rsid w:val="00DD4F55"/>
    <w:rsid w:val="00DD4FFB"/>
    <w:rsid w:val="00DD685F"/>
    <w:rsid w:val="00DE0B98"/>
    <w:rsid w:val="00DE0DCC"/>
    <w:rsid w:val="00DE110A"/>
    <w:rsid w:val="00DE1304"/>
    <w:rsid w:val="00DE203C"/>
    <w:rsid w:val="00DE255F"/>
    <w:rsid w:val="00DE2C42"/>
    <w:rsid w:val="00DE2E98"/>
    <w:rsid w:val="00DE377A"/>
    <w:rsid w:val="00DE42D2"/>
    <w:rsid w:val="00DE4BD9"/>
    <w:rsid w:val="00DE5CAA"/>
    <w:rsid w:val="00DE6812"/>
    <w:rsid w:val="00DF0C64"/>
    <w:rsid w:val="00DF289F"/>
    <w:rsid w:val="00DF3414"/>
    <w:rsid w:val="00DF4551"/>
    <w:rsid w:val="00DF4F09"/>
    <w:rsid w:val="00DF5062"/>
    <w:rsid w:val="00E0016E"/>
    <w:rsid w:val="00E0049F"/>
    <w:rsid w:val="00E004EE"/>
    <w:rsid w:val="00E0154C"/>
    <w:rsid w:val="00E0254C"/>
    <w:rsid w:val="00E02FB0"/>
    <w:rsid w:val="00E0314D"/>
    <w:rsid w:val="00E03378"/>
    <w:rsid w:val="00E033EA"/>
    <w:rsid w:val="00E04CC6"/>
    <w:rsid w:val="00E06BD7"/>
    <w:rsid w:val="00E072E1"/>
    <w:rsid w:val="00E0737D"/>
    <w:rsid w:val="00E0768A"/>
    <w:rsid w:val="00E076DF"/>
    <w:rsid w:val="00E1082D"/>
    <w:rsid w:val="00E10960"/>
    <w:rsid w:val="00E11220"/>
    <w:rsid w:val="00E11FF1"/>
    <w:rsid w:val="00E1277B"/>
    <w:rsid w:val="00E1407D"/>
    <w:rsid w:val="00E1432E"/>
    <w:rsid w:val="00E1480A"/>
    <w:rsid w:val="00E15968"/>
    <w:rsid w:val="00E1749A"/>
    <w:rsid w:val="00E177A5"/>
    <w:rsid w:val="00E17D77"/>
    <w:rsid w:val="00E17DB0"/>
    <w:rsid w:val="00E2185B"/>
    <w:rsid w:val="00E223F8"/>
    <w:rsid w:val="00E249FD"/>
    <w:rsid w:val="00E2638C"/>
    <w:rsid w:val="00E27C51"/>
    <w:rsid w:val="00E30546"/>
    <w:rsid w:val="00E311F7"/>
    <w:rsid w:val="00E31A8A"/>
    <w:rsid w:val="00E3244A"/>
    <w:rsid w:val="00E334AB"/>
    <w:rsid w:val="00E33E7B"/>
    <w:rsid w:val="00E3489C"/>
    <w:rsid w:val="00E35ED2"/>
    <w:rsid w:val="00E410A6"/>
    <w:rsid w:val="00E41EE6"/>
    <w:rsid w:val="00E43C75"/>
    <w:rsid w:val="00E45263"/>
    <w:rsid w:val="00E466BC"/>
    <w:rsid w:val="00E47A73"/>
    <w:rsid w:val="00E513C4"/>
    <w:rsid w:val="00E51A46"/>
    <w:rsid w:val="00E52581"/>
    <w:rsid w:val="00E52900"/>
    <w:rsid w:val="00E55F5B"/>
    <w:rsid w:val="00E56070"/>
    <w:rsid w:val="00E6125A"/>
    <w:rsid w:val="00E6190B"/>
    <w:rsid w:val="00E62E9B"/>
    <w:rsid w:val="00E653E9"/>
    <w:rsid w:val="00E6643D"/>
    <w:rsid w:val="00E7005E"/>
    <w:rsid w:val="00E717CE"/>
    <w:rsid w:val="00E71EF3"/>
    <w:rsid w:val="00E73C2F"/>
    <w:rsid w:val="00E74966"/>
    <w:rsid w:val="00E74AE3"/>
    <w:rsid w:val="00E7503E"/>
    <w:rsid w:val="00E760C2"/>
    <w:rsid w:val="00E76B47"/>
    <w:rsid w:val="00E7796B"/>
    <w:rsid w:val="00E77EBE"/>
    <w:rsid w:val="00E80600"/>
    <w:rsid w:val="00E80F94"/>
    <w:rsid w:val="00E825B5"/>
    <w:rsid w:val="00E86911"/>
    <w:rsid w:val="00E86DFC"/>
    <w:rsid w:val="00E8744D"/>
    <w:rsid w:val="00E90746"/>
    <w:rsid w:val="00E916EB"/>
    <w:rsid w:val="00E92CC8"/>
    <w:rsid w:val="00E9463B"/>
    <w:rsid w:val="00E94D71"/>
    <w:rsid w:val="00E95E45"/>
    <w:rsid w:val="00EA0CEB"/>
    <w:rsid w:val="00EA26A2"/>
    <w:rsid w:val="00EA2E86"/>
    <w:rsid w:val="00EA637A"/>
    <w:rsid w:val="00EA6F4F"/>
    <w:rsid w:val="00EB35BA"/>
    <w:rsid w:val="00EB47B1"/>
    <w:rsid w:val="00EB50AD"/>
    <w:rsid w:val="00EB6A33"/>
    <w:rsid w:val="00EB6B21"/>
    <w:rsid w:val="00EC07C9"/>
    <w:rsid w:val="00EC17C4"/>
    <w:rsid w:val="00EC2F68"/>
    <w:rsid w:val="00EC6521"/>
    <w:rsid w:val="00EC6821"/>
    <w:rsid w:val="00EC7DD4"/>
    <w:rsid w:val="00ED0431"/>
    <w:rsid w:val="00ED1F3B"/>
    <w:rsid w:val="00ED2507"/>
    <w:rsid w:val="00ED2AAB"/>
    <w:rsid w:val="00ED2B2F"/>
    <w:rsid w:val="00ED51BF"/>
    <w:rsid w:val="00ED6993"/>
    <w:rsid w:val="00ED7AF0"/>
    <w:rsid w:val="00EE227B"/>
    <w:rsid w:val="00EE2C40"/>
    <w:rsid w:val="00EE2D5F"/>
    <w:rsid w:val="00EE41B4"/>
    <w:rsid w:val="00EE4605"/>
    <w:rsid w:val="00EE5B30"/>
    <w:rsid w:val="00EE69DE"/>
    <w:rsid w:val="00EF144C"/>
    <w:rsid w:val="00EF23DD"/>
    <w:rsid w:val="00EF4095"/>
    <w:rsid w:val="00EF55CC"/>
    <w:rsid w:val="00EF60CD"/>
    <w:rsid w:val="00EF7B42"/>
    <w:rsid w:val="00F006D8"/>
    <w:rsid w:val="00F02588"/>
    <w:rsid w:val="00F02A22"/>
    <w:rsid w:val="00F02E4D"/>
    <w:rsid w:val="00F038C4"/>
    <w:rsid w:val="00F058AD"/>
    <w:rsid w:val="00F05B3D"/>
    <w:rsid w:val="00F05BD5"/>
    <w:rsid w:val="00F0636B"/>
    <w:rsid w:val="00F066E3"/>
    <w:rsid w:val="00F1248D"/>
    <w:rsid w:val="00F12667"/>
    <w:rsid w:val="00F15EDA"/>
    <w:rsid w:val="00F201C7"/>
    <w:rsid w:val="00F21970"/>
    <w:rsid w:val="00F21E39"/>
    <w:rsid w:val="00F22548"/>
    <w:rsid w:val="00F23430"/>
    <w:rsid w:val="00F234B1"/>
    <w:rsid w:val="00F23D3C"/>
    <w:rsid w:val="00F30F78"/>
    <w:rsid w:val="00F31DEE"/>
    <w:rsid w:val="00F341CE"/>
    <w:rsid w:val="00F34580"/>
    <w:rsid w:val="00F36E36"/>
    <w:rsid w:val="00F40E03"/>
    <w:rsid w:val="00F42E0D"/>
    <w:rsid w:val="00F43948"/>
    <w:rsid w:val="00F447A6"/>
    <w:rsid w:val="00F46D53"/>
    <w:rsid w:val="00F470ED"/>
    <w:rsid w:val="00F50F61"/>
    <w:rsid w:val="00F51926"/>
    <w:rsid w:val="00F523C1"/>
    <w:rsid w:val="00F53B92"/>
    <w:rsid w:val="00F545C4"/>
    <w:rsid w:val="00F545CF"/>
    <w:rsid w:val="00F5495B"/>
    <w:rsid w:val="00F5509B"/>
    <w:rsid w:val="00F57067"/>
    <w:rsid w:val="00F5790A"/>
    <w:rsid w:val="00F57CC5"/>
    <w:rsid w:val="00F60EF8"/>
    <w:rsid w:val="00F61A05"/>
    <w:rsid w:val="00F63349"/>
    <w:rsid w:val="00F640F8"/>
    <w:rsid w:val="00F65463"/>
    <w:rsid w:val="00F666D9"/>
    <w:rsid w:val="00F66F4E"/>
    <w:rsid w:val="00F67A68"/>
    <w:rsid w:val="00F7164A"/>
    <w:rsid w:val="00F735BA"/>
    <w:rsid w:val="00F768EF"/>
    <w:rsid w:val="00F77A85"/>
    <w:rsid w:val="00F80452"/>
    <w:rsid w:val="00F80B65"/>
    <w:rsid w:val="00F811CB"/>
    <w:rsid w:val="00F82527"/>
    <w:rsid w:val="00F84906"/>
    <w:rsid w:val="00F84C7F"/>
    <w:rsid w:val="00F861BF"/>
    <w:rsid w:val="00F86D1E"/>
    <w:rsid w:val="00F878CE"/>
    <w:rsid w:val="00F87951"/>
    <w:rsid w:val="00F922D0"/>
    <w:rsid w:val="00F9372E"/>
    <w:rsid w:val="00F9791D"/>
    <w:rsid w:val="00FA1EAA"/>
    <w:rsid w:val="00FA21CC"/>
    <w:rsid w:val="00FA2F81"/>
    <w:rsid w:val="00FA396B"/>
    <w:rsid w:val="00FA3B45"/>
    <w:rsid w:val="00FA3EB4"/>
    <w:rsid w:val="00FA526F"/>
    <w:rsid w:val="00FA57BC"/>
    <w:rsid w:val="00FA5A08"/>
    <w:rsid w:val="00FA5A81"/>
    <w:rsid w:val="00FA5AA2"/>
    <w:rsid w:val="00FA72FB"/>
    <w:rsid w:val="00FA78D5"/>
    <w:rsid w:val="00FB4543"/>
    <w:rsid w:val="00FB5445"/>
    <w:rsid w:val="00FB74E7"/>
    <w:rsid w:val="00FC1D8B"/>
    <w:rsid w:val="00FC1F56"/>
    <w:rsid w:val="00FC5028"/>
    <w:rsid w:val="00FC56EE"/>
    <w:rsid w:val="00FC5C17"/>
    <w:rsid w:val="00FC61F2"/>
    <w:rsid w:val="00FC6C4B"/>
    <w:rsid w:val="00FC7368"/>
    <w:rsid w:val="00FC7EA8"/>
    <w:rsid w:val="00FD05B3"/>
    <w:rsid w:val="00FD0E59"/>
    <w:rsid w:val="00FD125B"/>
    <w:rsid w:val="00FD27B8"/>
    <w:rsid w:val="00FD50E3"/>
    <w:rsid w:val="00FD5B25"/>
    <w:rsid w:val="00FD5E74"/>
    <w:rsid w:val="00FD63D7"/>
    <w:rsid w:val="00FD7232"/>
    <w:rsid w:val="00FE10BB"/>
    <w:rsid w:val="00FE1D21"/>
    <w:rsid w:val="00FE2D01"/>
    <w:rsid w:val="00FE5530"/>
    <w:rsid w:val="00FE5D2B"/>
    <w:rsid w:val="00FE6192"/>
    <w:rsid w:val="00FE6E85"/>
    <w:rsid w:val="00FE7E94"/>
    <w:rsid w:val="00FF2B98"/>
    <w:rsid w:val="00FF2C01"/>
    <w:rsid w:val="00FF3336"/>
    <w:rsid w:val="00FF63A4"/>
    <w:rsid w:val="00FF6AE0"/>
    <w:rsid w:val="00FF7E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92877A"/>
  <w15:docId w15:val="{C28080CA-30D2-447E-B1C1-17D27AB27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EFA"/>
    <w:pPr>
      <w:spacing w:before="120"/>
      <w:ind w:left="1361"/>
    </w:pPr>
    <w:rPr>
      <w:rFonts w:ascii="Arial" w:hAnsi="Arial"/>
      <w:sz w:val="22"/>
      <w:szCs w:val="24"/>
      <w:lang w:eastAsia="en-US"/>
    </w:rPr>
  </w:style>
  <w:style w:type="paragraph" w:styleId="Heading1">
    <w:name w:val="heading 1"/>
    <w:aliases w:val="Section Heading,Section,chapter heading,(Section),Chapter heading"/>
    <w:next w:val="Normal"/>
    <w:link w:val="Heading1Char"/>
    <w:qFormat/>
    <w:rsid w:val="00FA3EB4"/>
    <w:pPr>
      <w:keepNext/>
      <w:pageBreakBefore/>
      <w:pBdr>
        <w:bottom w:val="single" w:sz="4" w:space="6" w:color="auto"/>
      </w:pBdr>
      <w:spacing w:before="1200" w:after="480"/>
      <w:outlineLvl w:val="0"/>
    </w:pPr>
    <w:rPr>
      <w:rFonts w:ascii="Arial" w:hAnsi="Arial"/>
      <w:sz w:val="56"/>
      <w:szCs w:val="24"/>
      <w:lang w:eastAsia="en-US"/>
    </w:rPr>
  </w:style>
  <w:style w:type="paragraph" w:styleId="Heading2">
    <w:name w:val="heading 2"/>
    <w:aliases w:val="A heading"/>
    <w:basedOn w:val="Normal"/>
    <w:next w:val="Normal"/>
    <w:link w:val="Heading2Char"/>
    <w:qFormat/>
    <w:rsid w:val="00D73CC1"/>
    <w:pPr>
      <w:keepNext/>
      <w:spacing w:before="420" w:after="120"/>
      <w:outlineLvl w:val="1"/>
    </w:pPr>
    <w:rPr>
      <w:rFonts w:cs="Arial"/>
      <w:b/>
      <w:bCs/>
      <w:iCs/>
      <w:sz w:val="28"/>
      <w:szCs w:val="28"/>
    </w:rPr>
  </w:style>
  <w:style w:type="paragraph" w:styleId="Heading3">
    <w:name w:val="heading 3"/>
    <w:aliases w:val="B heading"/>
    <w:basedOn w:val="Heading2"/>
    <w:next w:val="Normal"/>
    <w:link w:val="Heading3Char"/>
    <w:qFormat/>
    <w:rsid w:val="00D73CC1"/>
    <w:pPr>
      <w:outlineLvl w:val="2"/>
    </w:pPr>
    <w:rPr>
      <w:bCs w:val="0"/>
      <w:sz w:val="22"/>
      <w:szCs w:val="26"/>
    </w:rPr>
  </w:style>
  <w:style w:type="paragraph" w:styleId="Heading4">
    <w:name w:val="heading 4"/>
    <w:aliases w:val="Table heading"/>
    <w:basedOn w:val="Heading3"/>
    <w:next w:val="Normal"/>
    <w:link w:val="Heading4Char"/>
    <w:qFormat/>
    <w:pPr>
      <w:outlineLvl w:val="3"/>
    </w:pPr>
    <w:rPr>
      <w:bCs/>
      <w:szCs w:val="28"/>
    </w:rPr>
  </w:style>
  <w:style w:type="paragraph" w:styleId="Heading5">
    <w:name w:val="heading 5"/>
    <w:aliases w:val="Pull-out text"/>
    <w:basedOn w:val="Heading4"/>
    <w:next w:val="Normal"/>
    <w:link w:val="Heading5Char"/>
    <w:qFormat/>
    <w:pPr>
      <w:outlineLvl w:val="4"/>
    </w:pPr>
    <w:rPr>
      <w:bCs w:val="0"/>
      <w:iCs w:val="0"/>
      <w:szCs w:val="26"/>
    </w:rPr>
  </w:style>
  <w:style w:type="paragraph" w:styleId="Heading6">
    <w:name w:val="heading 6"/>
    <w:basedOn w:val="Heading5"/>
    <w:next w:val="Normal"/>
    <w:link w:val="Heading6Char"/>
    <w:qFormat/>
    <w:pPr>
      <w:outlineLvl w:val="5"/>
    </w:pPr>
    <w:rPr>
      <w:bCs/>
      <w:szCs w:val="22"/>
    </w:rPr>
  </w:style>
  <w:style w:type="paragraph" w:styleId="Heading7">
    <w:name w:val="heading 7"/>
    <w:basedOn w:val="Heading6"/>
    <w:next w:val="Normal"/>
    <w:link w:val="Heading7Char"/>
    <w:qFormat/>
    <w:pPr>
      <w:outlineLvl w:val="6"/>
    </w:pPr>
  </w:style>
  <w:style w:type="paragraph" w:styleId="Heading8">
    <w:name w:val="heading 8"/>
    <w:basedOn w:val="Heading7"/>
    <w:next w:val="Normal"/>
    <w:link w:val="Heading8Char"/>
    <w:qFormat/>
    <w:pPr>
      <w:outlineLvl w:val="7"/>
    </w:pPr>
    <w:rPr>
      <w:iCs/>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Arial"/>
    <w:basedOn w:val="Normal"/>
    <w:link w:val="FootnoteTextChar"/>
    <w:uiPriority w:val="99"/>
    <w:rsid w:val="001D187C"/>
    <w:pPr>
      <w:pBdr>
        <w:top w:val="single" w:sz="4" w:space="6" w:color="auto"/>
      </w:pBdr>
    </w:pPr>
    <w:rPr>
      <w:sz w:val="20"/>
      <w:szCs w:val="20"/>
    </w:rPr>
  </w:style>
  <w:style w:type="character" w:styleId="FootnoteReference">
    <w:name w:val="footnote reference"/>
    <w:aliases w:val="*UKCES Footnote Reference,Footnote Reference Superscript"/>
    <w:basedOn w:val="DefaultParagraphFont"/>
    <w:uiPriority w:val="99"/>
    <w:rsid w:val="001D187C"/>
    <w:rPr>
      <w:vertAlign w:val="superscript"/>
    </w:rPr>
  </w:style>
  <w:style w:type="paragraph" w:styleId="TOAHeading">
    <w:name w:val="toa heading"/>
    <w:basedOn w:val="Normal"/>
    <w:next w:val="Normal"/>
    <w:semiHidden/>
    <w:rPr>
      <w:rFonts w:cs="Arial"/>
      <w:b/>
      <w:bCs/>
    </w:rPr>
  </w:style>
  <w:style w:type="paragraph" w:customStyle="1" w:styleId="CoverDocumentTitle">
    <w:name w:val="Cover Document Title"/>
    <w:basedOn w:val="Normal"/>
    <w:rsid w:val="00EF55CC"/>
    <w:pPr>
      <w:spacing w:before="0" w:after="360"/>
      <w:ind w:left="0"/>
    </w:pPr>
    <w:rPr>
      <w:sz w:val="56"/>
    </w:rPr>
  </w:style>
  <w:style w:type="paragraph" w:customStyle="1" w:styleId="CoverSubTitle">
    <w:name w:val="Cover Sub Title"/>
    <w:basedOn w:val="Normal"/>
    <w:rsid w:val="00EF55CC"/>
    <w:pPr>
      <w:spacing w:before="0" w:after="360"/>
      <w:ind w:left="0"/>
    </w:pPr>
    <w:rPr>
      <w:sz w:val="36"/>
    </w:rPr>
  </w:style>
  <w:style w:type="paragraph" w:styleId="Header">
    <w:name w:val="header"/>
    <w:basedOn w:val="Normal"/>
    <w:link w:val="HeaderChar"/>
    <w:rsid w:val="00A35E9E"/>
    <w:pPr>
      <w:tabs>
        <w:tab w:val="right" w:pos="10206"/>
      </w:tabs>
      <w:spacing w:before="0"/>
      <w:ind w:left="0"/>
    </w:pPr>
    <w:rPr>
      <w:sz w:val="18"/>
    </w:rPr>
  </w:style>
  <w:style w:type="paragraph" w:styleId="Footer">
    <w:name w:val="footer"/>
    <w:basedOn w:val="Normal"/>
    <w:link w:val="FooterChar"/>
    <w:uiPriority w:val="99"/>
    <w:pPr>
      <w:tabs>
        <w:tab w:val="center" w:pos="4153"/>
        <w:tab w:val="right" w:pos="8306"/>
      </w:tabs>
      <w:ind w:left="0"/>
    </w:pPr>
  </w:style>
  <w:style w:type="paragraph" w:customStyle="1" w:styleId="Address">
    <w:name w:val="Address"/>
    <w:basedOn w:val="Normal"/>
    <w:rsid w:val="00125909"/>
    <w:pPr>
      <w:spacing w:before="0" w:after="60"/>
      <w:ind w:left="0"/>
    </w:pPr>
  </w:style>
  <w:style w:type="paragraph" w:styleId="TOC4">
    <w:name w:val="toc 4"/>
    <w:basedOn w:val="Normal"/>
    <w:next w:val="Normal"/>
    <w:uiPriority w:val="39"/>
    <w:pPr>
      <w:ind w:left="0"/>
    </w:pPr>
  </w:style>
  <w:style w:type="paragraph" w:customStyle="1" w:styleId="WebAddress">
    <w:name w:val="Web Address"/>
    <w:basedOn w:val="Address"/>
    <w:rsid w:val="00B928E4"/>
    <w:rPr>
      <w:b/>
    </w:rPr>
  </w:style>
  <w:style w:type="paragraph" w:customStyle="1" w:styleId="Heading1Numbered">
    <w:name w:val="Heading 1 Numbered"/>
    <w:basedOn w:val="Heading1"/>
    <w:next w:val="Normal"/>
    <w:qFormat/>
    <w:rsid w:val="005A5D21"/>
    <w:pPr>
      <w:numPr>
        <w:numId w:val="1"/>
      </w:numPr>
      <w:ind w:left="0"/>
    </w:pPr>
  </w:style>
  <w:style w:type="paragraph" w:customStyle="1" w:styleId="Heading2Numbered">
    <w:name w:val="Heading 2 Numbered"/>
    <w:basedOn w:val="Heading2"/>
    <w:next w:val="Normal"/>
    <w:qFormat/>
    <w:rsid w:val="00DC1396"/>
    <w:pPr>
      <w:numPr>
        <w:ilvl w:val="1"/>
        <w:numId w:val="1"/>
      </w:numPr>
      <w:tabs>
        <w:tab w:val="clear" w:pos="851"/>
        <w:tab w:val="num" w:pos="1361"/>
      </w:tabs>
      <w:ind w:left="1361" w:hanging="1361"/>
    </w:pPr>
  </w:style>
  <w:style w:type="paragraph" w:customStyle="1" w:styleId="StyleTOCHeadingBottomSinglesolidlineAuto05ptLine">
    <w:name w:val="Style TOC Heading + Bottom: (Single solid line Auto  0.5 pt Line ..."/>
    <w:basedOn w:val="TOCHeading"/>
    <w:rsid w:val="001E4EE9"/>
    <w:rPr>
      <w:szCs w:val="20"/>
    </w:rPr>
  </w:style>
  <w:style w:type="paragraph" w:customStyle="1" w:styleId="Heading3Numbered">
    <w:name w:val="Heading 3 Numbered"/>
    <w:basedOn w:val="Heading3"/>
    <w:next w:val="Normal"/>
    <w:qFormat/>
    <w:rsid w:val="00DC1396"/>
    <w:pPr>
      <w:numPr>
        <w:ilvl w:val="2"/>
        <w:numId w:val="1"/>
      </w:numPr>
      <w:tabs>
        <w:tab w:val="clear" w:pos="1080"/>
      </w:tabs>
      <w:ind w:left="1361" w:hanging="1361"/>
    </w:pPr>
  </w:style>
  <w:style w:type="paragraph" w:styleId="TOC1">
    <w:name w:val="toc 1"/>
    <w:basedOn w:val="Normal"/>
    <w:next w:val="Normal"/>
    <w:uiPriority w:val="39"/>
    <w:qFormat/>
    <w:rsid w:val="00436D02"/>
    <w:pPr>
      <w:spacing w:after="120"/>
      <w:ind w:left="0"/>
    </w:pPr>
    <w:rPr>
      <w:b/>
    </w:rPr>
  </w:style>
  <w:style w:type="paragraph" w:styleId="TOC2">
    <w:name w:val="toc 2"/>
    <w:basedOn w:val="TOC1"/>
    <w:next w:val="Normal"/>
    <w:uiPriority w:val="39"/>
    <w:qFormat/>
    <w:rsid w:val="00436D02"/>
    <w:pPr>
      <w:ind w:left="720"/>
    </w:pPr>
    <w:rPr>
      <w:b w:val="0"/>
    </w:rPr>
  </w:style>
  <w:style w:type="paragraph" w:styleId="TOC3">
    <w:name w:val="toc 3"/>
    <w:basedOn w:val="Normal"/>
    <w:next w:val="Normal"/>
    <w:uiPriority w:val="39"/>
    <w:qFormat/>
    <w:rsid w:val="00436D02"/>
    <w:pPr>
      <w:ind w:left="1440"/>
    </w:pPr>
  </w:style>
  <w:style w:type="paragraph" w:styleId="TOC5">
    <w:name w:val="toc 5"/>
    <w:basedOn w:val="Normal"/>
    <w:next w:val="Normal"/>
    <w:uiPriority w:val="39"/>
    <w:pPr>
      <w:ind w:left="0"/>
    </w:pPr>
  </w:style>
  <w:style w:type="paragraph" w:styleId="TOC6">
    <w:name w:val="toc 6"/>
    <w:basedOn w:val="Normal"/>
    <w:next w:val="Normal"/>
    <w:uiPriority w:val="39"/>
    <w:pPr>
      <w:ind w:left="0"/>
    </w:pPr>
  </w:style>
  <w:style w:type="paragraph" w:styleId="TOC7">
    <w:name w:val="toc 7"/>
    <w:basedOn w:val="Normal"/>
    <w:next w:val="Normal"/>
    <w:uiPriority w:val="39"/>
    <w:pPr>
      <w:ind w:left="0"/>
    </w:pPr>
  </w:style>
  <w:style w:type="paragraph" w:styleId="TOC8">
    <w:name w:val="toc 8"/>
    <w:basedOn w:val="Normal"/>
    <w:next w:val="Normal"/>
    <w:uiPriority w:val="39"/>
    <w:pPr>
      <w:ind w:left="0"/>
    </w:pPr>
  </w:style>
  <w:style w:type="paragraph" w:styleId="TOC9">
    <w:name w:val="toc 9"/>
    <w:basedOn w:val="Normal"/>
    <w:next w:val="Normal"/>
    <w:uiPriority w:val="39"/>
    <w:pPr>
      <w:tabs>
        <w:tab w:val="left" w:pos="1418"/>
        <w:tab w:val="right" w:leader="dot" w:pos="10206"/>
      </w:tabs>
      <w:ind w:left="1418" w:hanging="1418"/>
    </w:pPr>
  </w:style>
  <w:style w:type="character" w:styleId="Hyperlink">
    <w:name w:val="Hyperlink"/>
    <w:basedOn w:val="DefaultParagraphFont"/>
    <w:uiPriority w:val="99"/>
    <w:rsid w:val="00542840"/>
    <w:rPr>
      <w:rFonts w:ascii="Arial" w:hAnsi="Arial"/>
      <w:color w:val="0000FF"/>
      <w:sz w:val="22"/>
      <w:u w:val="single"/>
    </w:rPr>
  </w:style>
  <w:style w:type="paragraph" w:customStyle="1" w:styleId="Heading4Numbered">
    <w:name w:val="Heading 4 Numbered"/>
    <w:basedOn w:val="Heading4"/>
    <w:next w:val="Normal"/>
    <w:rsid w:val="004563B9"/>
    <w:pPr>
      <w:numPr>
        <w:ilvl w:val="3"/>
        <w:numId w:val="1"/>
      </w:numPr>
      <w:tabs>
        <w:tab w:val="left" w:pos="851"/>
      </w:tabs>
    </w:pPr>
  </w:style>
  <w:style w:type="paragraph" w:styleId="BodyText">
    <w:name w:val="Body Text"/>
    <w:basedOn w:val="Normal"/>
    <w:link w:val="BodyTextChar"/>
    <w:rsid w:val="005C0743"/>
    <w:pPr>
      <w:spacing w:before="0"/>
    </w:pPr>
  </w:style>
  <w:style w:type="paragraph" w:customStyle="1" w:styleId="Heading5Numbered">
    <w:name w:val="Heading 5 Numbered"/>
    <w:basedOn w:val="Heading5"/>
    <w:next w:val="Normal"/>
    <w:rsid w:val="005C0743"/>
    <w:pPr>
      <w:numPr>
        <w:ilvl w:val="4"/>
        <w:numId w:val="1"/>
      </w:numPr>
      <w:tabs>
        <w:tab w:val="left" w:pos="1134"/>
      </w:tabs>
    </w:pPr>
  </w:style>
  <w:style w:type="paragraph" w:customStyle="1" w:styleId="Heading6Numbered">
    <w:name w:val="Heading 6 Numbered"/>
    <w:basedOn w:val="Heading6"/>
    <w:next w:val="Normal"/>
    <w:rsid w:val="005C0743"/>
    <w:pPr>
      <w:numPr>
        <w:ilvl w:val="5"/>
        <w:numId w:val="1"/>
      </w:numPr>
      <w:tabs>
        <w:tab w:val="left" w:pos="1134"/>
      </w:tabs>
    </w:pPr>
  </w:style>
  <w:style w:type="paragraph" w:customStyle="1" w:styleId="Heading7Numbered">
    <w:name w:val="Heading 7 Numbered"/>
    <w:basedOn w:val="Heading7"/>
    <w:next w:val="Normal"/>
    <w:rsid w:val="005C0743"/>
    <w:pPr>
      <w:numPr>
        <w:ilvl w:val="6"/>
        <w:numId w:val="1"/>
      </w:numPr>
      <w:tabs>
        <w:tab w:val="left" w:pos="1418"/>
      </w:tabs>
    </w:pPr>
  </w:style>
  <w:style w:type="paragraph" w:customStyle="1" w:styleId="Heading8Numbered">
    <w:name w:val="Heading 8 Numbered"/>
    <w:basedOn w:val="Heading8"/>
    <w:next w:val="Normal"/>
    <w:rsid w:val="005C0743"/>
    <w:pPr>
      <w:numPr>
        <w:ilvl w:val="7"/>
        <w:numId w:val="1"/>
      </w:numPr>
      <w:tabs>
        <w:tab w:val="left" w:pos="1701"/>
      </w:tabs>
    </w:pPr>
  </w:style>
  <w:style w:type="paragraph" w:customStyle="1" w:styleId="Heading9Numbered">
    <w:name w:val="Heading 9 Numbered"/>
    <w:basedOn w:val="Heading9"/>
    <w:next w:val="Normal"/>
    <w:rsid w:val="005C0743"/>
    <w:pPr>
      <w:numPr>
        <w:ilvl w:val="8"/>
        <w:numId w:val="1"/>
      </w:numPr>
      <w:tabs>
        <w:tab w:val="left" w:pos="1985"/>
      </w:tabs>
    </w:pPr>
  </w:style>
  <w:style w:type="paragraph" w:styleId="TOCHeading">
    <w:name w:val="TOC Heading"/>
    <w:basedOn w:val="Heading1"/>
    <w:uiPriority w:val="39"/>
    <w:qFormat/>
    <w:pPr>
      <w:outlineLvl w:val="9"/>
    </w:pPr>
  </w:style>
  <w:style w:type="character" w:styleId="HTMLAcronym">
    <w:name w:val="HTML Acronym"/>
    <w:basedOn w:val="DefaultParagraphFont"/>
    <w:rsid w:val="00542840"/>
    <w:rPr>
      <w:rFonts w:ascii="Arial" w:hAnsi="Arial"/>
      <w:sz w:val="22"/>
    </w:rPr>
  </w:style>
  <w:style w:type="paragraph" w:styleId="ListBullet">
    <w:name w:val="List Bullet"/>
    <w:basedOn w:val="Normal"/>
    <w:uiPriority w:val="99"/>
    <w:rsid w:val="00B52CB1"/>
    <w:pPr>
      <w:numPr>
        <w:numId w:val="3"/>
      </w:numPr>
      <w:tabs>
        <w:tab w:val="left" w:pos="1134"/>
      </w:tabs>
      <w:spacing w:after="120"/>
    </w:pPr>
  </w:style>
  <w:style w:type="paragraph" w:styleId="TableofFigures">
    <w:name w:val="table of figures"/>
    <w:basedOn w:val="Normal"/>
    <w:next w:val="Normal"/>
    <w:uiPriority w:val="99"/>
    <w:pPr>
      <w:ind w:left="480" w:hanging="480"/>
    </w:pPr>
  </w:style>
  <w:style w:type="paragraph" w:styleId="Index1">
    <w:name w:val="index 1"/>
    <w:basedOn w:val="Normal"/>
    <w:next w:val="Normal"/>
    <w:autoRedefine/>
    <w:semiHidden/>
    <w:pPr>
      <w:ind w:left="240" w:hanging="240"/>
    </w:pPr>
  </w:style>
  <w:style w:type="paragraph" w:customStyle="1" w:styleId="TableHeading">
    <w:name w:val="Table Heading"/>
    <w:basedOn w:val="Normal"/>
    <w:rsid w:val="00542840"/>
    <w:pPr>
      <w:spacing w:before="60" w:after="60"/>
      <w:ind w:left="0"/>
    </w:pPr>
    <w:rPr>
      <w:b/>
      <w:bCs/>
    </w:rPr>
  </w:style>
  <w:style w:type="paragraph" w:customStyle="1" w:styleId="Heading1Appendix">
    <w:name w:val="Heading 1 Appendix"/>
    <w:basedOn w:val="Heading1Numbered"/>
    <w:next w:val="Normal"/>
    <w:rsid w:val="001E4EE9"/>
    <w:pPr>
      <w:numPr>
        <w:numId w:val="2"/>
      </w:numPr>
    </w:pPr>
  </w:style>
  <w:style w:type="paragraph" w:customStyle="1" w:styleId="Heading2Appendix">
    <w:name w:val="Heading 2 Appendix"/>
    <w:basedOn w:val="Heading2Numbered"/>
    <w:next w:val="Normal"/>
    <w:rsid w:val="004563B9"/>
    <w:pPr>
      <w:numPr>
        <w:numId w:val="2"/>
      </w:numPr>
      <w:ind w:left="2779"/>
    </w:pPr>
  </w:style>
  <w:style w:type="paragraph" w:customStyle="1" w:styleId="Heading3Appendix">
    <w:name w:val="Heading 3 Appendix"/>
    <w:basedOn w:val="Heading3Numbered"/>
    <w:next w:val="Normal"/>
    <w:rsid w:val="004563B9"/>
    <w:pPr>
      <w:numPr>
        <w:numId w:val="2"/>
      </w:numPr>
      <w:tabs>
        <w:tab w:val="clear" w:pos="1080"/>
      </w:tabs>
      <w:ind w:left="2779"/>
    </w:pPr>
  </w:style>
  <w:style w:type="paragraph" w:customStyle="1" w:styleId="Heading4Appendix">
    <w:name w:val="Heading 4 Appendix"/>
    <w:basedOn w:val="Heading4Numbered"/>
    <w:next w:val="Normal"/>
    <w:rsid w:val="004563B9"/>
    <w:pPr>
      <w:numPr>
        <w:numId w:val="2"/>
      </w:numPr>
      <w:tabs>
        <w:tab w:val="clear" w:pos="2291"/>
      </w:tabs>
      <w:ind w:left="2779" w:hanging="851"/>
    </w:pPr>
  </w:style>
  <w:style w:type="paragraph" w:customStyle="1" w:styleId="Heading5Appendix">
    <w:name w:val="Heading 5 Appendix"/>
    <w:basedOn w:val="Heading5Numbered"/>
    <w:next w:val="Normal"/>
    <w:rsid w:val="005C0743"/>
    <w:pPr>
      <w:numPr>
        <w:numId w:val="2"/>
      </w:numPr>
      <w:tabs>
        <w:tab w:val="clear" w:pos="2651"/>
      </w:tabs>
      <w:ind w:left="3062" w:hanging="1134"/>
    </w:pPr>
  </w:style>
  <w:style w:type="paragraph" w:customStyle="1" w:styleId="Heading6Appendix">
    <w:name w:val="Heading 6 Appendix"/>
    <w:basedOn w:val="Heading6Numbered"/>
    <w:next w:val="Normal"/>
    <w:rsid w:val="005C0743"/>
    <w:pPr>
      <w:numPr>
        <w:numId w:val="2"/>
      </w:numPr>
      <w:tabs>
        <w:tab w:val="clear" w:pos="3011"/>
      </w:tabs>
      <w:ind w:left="3062" w:hanging="1134"/>
    </w:pPr>
  </w:style>
  <w:style w:type="paragraph" w:customStyle="1" w:styleId="Heading7Appendix">
    <w:name w:val="Heading 7 Appendix"/>
    <w:basedOn w:val="Heading7Numbered"/>
    <w:next w:val="Normal"/>
    <w:rsid w:val="005C0743"/>
    <w:pPr>
      <w:numPr>
        <w:numId w:val="2"/>
      </w:numPr>
      <w:tabs>
        <w:tab w:val="clear" w:pos="3371"/>
      </w:tabs>
      <w:ind w:left="3346" w:hanging="1418"/>
    </w:pPr>
  </w:style>
  <w:style w:type="paragraph" w:customStyle="1" w:styleId="Heading8Appendix">
    <w:name w:val="Heading 8 Appendix"/>
    <w:basedOn w:val="Heading8Numbered"/>
    <w:next w:val="Normal"/>
    <w:rsid w:val="005C0743"/>
    <w:pPr>
      <w:numPr>
        <w:numId w:val="2"/>
      </w:numPr>
      <w:tabs>
        <w:tab w:val="clear" w:pos="3731"/>
      </w:tabs>
      <w:ind w:left="3629" w:hanging="1701"/>
    </w:pPr>
  </w:style>
  <w:style w:type="paragraph" w:customStyle="1" w:styleId="Heading9Appendix">
    <w:name w:val="Heading 9 Appendix"/>
    <w:basedOn w:val="Heading9Numbered"/>
    <w:next w:val="Normal"/>
    <w:rsid w:val="005C0743"/>
    <w:pPr>
      <w:numPr>
        <w:numId w:val="2"/>
      </w:numPr>
      <w:tabs>
        <w:tab w:val="clear" w:pos="4091"/>
      </w:tabs>
      <w:ind w:left="3913" w:hanging="1985"/>
    </w:pPr>
  </w:style>
  <w:style w:type="paragraph" w:customStyle="1" w:styleId="TableBody">
    <w:name w:val="Table Body"/>
    <w:basedOn w:val="Normal"/>
    <w:pPr>
      <w:spacing w:before="60" w:after="60"/>
      <w:ind w:left="0"/>
    </w:pPr>
  </w:style>
  <w:style w:type="paragraph" w:customStyle="1" w:styleId="CoverDate">
    <w:name w:val="Cover Date"/>
    <w:basedOn w:val="Normal"/>
    <w:rsid w:val="00492820"/>
    <w:pPr>
      <w:ind w:left="0"/>
    </w:pPr>
    <w:rPr>
      <w:sz w:val="24"/>
    </w:rPr>
  </w:style>
  <w:style w:type="paragraph" w:customStyle="1" w:styleId="MissionStatement">
    <w:name w:val="Mission Statement"/>
    <w:basedOn w:val="Normal"/>
    <w:rsid w:val="00401173"/>
    <w:pPr>
      <w:ind w:left="0"/>
    </w:pPr>
    <w:rPr>
      <w:sz w:val="40"/>
    </w:rPr>
  </w:style>
  <w:style w:type="table" w:styleId="TableGrid">
    <w:name w:val="Table Grid"/>
    <w:basedOn w:val="TableNormal"/>
    <w:uiPriority w:val="59"/>
    <w:rsid w:val="00542840"/>
    <w:pPr>
      <w:spacing w:before="120"/>
      <w:ind w:left="851"/>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Bold">
    <w:name w:val="Header Bold"/>
    <w:basedOn w:val="Header"/>
    <w:rsid w:val="00F51926"/>
    <w:rPr>
      <w:b/>
    </w:rPr>
  </w:style>
  <w:style w:type="paragraph" w:customStyle="1" w:styleId="Default">
    <w:name w:val="Default"/>
    <w:rsid w:val="0065214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rsid w:val="008C3A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C3A19"/>
    <w:rPr>
      <w:rFonts w:ascii="Tahoma" w:hAnsi="Tahoma" w:cs="Tahoma"/>
      <w:sz w:val="16"/>
      <w:szCs w:val="16"/>
      <w:lang w:eastAsia="en-US"/>
    </w:rPr>
  </w:style>
  <w:style w:type="numbering" w:customStyle="1" w:styleId="NoList1">
    <w:name w:val="No List1"/>
    <w:next w:val="NoList"/>
    <w:uiPriority w:val="99"/>
    <w:semiHidden/>
    <w:unhideWhenUsed/>
    <w:rsid w:val="00D36FBC"/>
  </w:style>
  <w:style w:type="character" w:customStyle="1" w:styleId="Heading1Char">
    <w:name w:val="Heading 1 Char"/>
    <w:aliases w:val="Section Heading Char,Section Char,chapter heading Char,(Section) Char,Chapter heading Char"/>
    <w:link w:val="Heading1"/>
    <w:locked/>
    <w:rsid w:val="00FA3EB4"/>
    <w:rPr>
      <w:rFonts w:ascii="Arial" w:hAnsi="Arial"/>
      <w:sz w:val="56"/>
      <w:szCs w:val="24"/>
      <w:lang w:eastAsia="en-US"/>
    </w:rPr>
  </w:style>
  <w:style w:type="character" w:customStyle="1" w:styleId="Heading2Char">
    <w:name w:val="Heading 2 Char"/>
    <w:aliases w:val="A heading Char"/>
    <w:link w:val="Heading2"/>
    <w:locked/>
    <w:rsid w:val="00D36FBC"/>
    <w:rPr>
      <w:rFonts w:ascii="Arial" w:hAnsi="Arial" w:cs="Arial"/>
      <w:b/>
      <w:bCs/>
      <w:iCs/>
      <w:sz w:val="28"/>
      <w:szCs w:val="28"/>
      <w:lang w:eastAsia="en-US"/>
    </w:rPr>
  </w:style>
  <w:style w:type="character" w:customStyle="1" w:styleId="Heading3Char">
    <w:name w:val="Heading 3 Char"/>
    <w:aliases w:val="B heading Char"/>
    <w:link w:val="Heading3"/>
    <w:locked/>
    <w:rsid w:val="00D36FBC"/>
    <w:rPr>
      <w:rFonts w:ascii="Arial" w:hAnsi="Arial" w:cs="Arial"/>
      <w:b/>
      <w:iCs/>
      <w:sz w:val="22"/>
      <w:szCs w:val="26"/>
      <w:lang w:eastAsia="en-US"/>
    </w:rPr>
  </w:style>
  <w:style w:type="character" w:customStyle="1" w:styleId="Heading4Char">
    <w:name w:val="Heading 4 Char"/>
    <w:aliases w:val="Table heading Char"/>
    <w:link w:val="Heading4"/>
    <w:locked/>
    <w:rsid w:val="00D36FBC"/>
    <w:rPr>
      <w:rFonts w:ascii="Arial" w:hAnsi="Arial" w:cs="Arial"/>
      <w:b/>
      <w:bCs/>
      <w:iCs/>
      <w:sz w:val="22"/>
      <w:szCs w:val="28"/>
      <w:lang w:eastAsia="en-US"/>
    </w:rPr>
  </w:style>
  <w:style w:type="paragraph" w:styleId="ListParagraph">
    <w:name w:val="List Paragraph"/>
    <w:basedOn w:val="Normal"/>
    <w:link w:val="ListParagraphChar"/>
    <w:uiPriority w:val="34"/>
    <w:qFormat/>
    <w:rsid w:val="00D36FBC"/>
    <w:pPr>
      <w:spacing w:before="0"/>
      <w:ind w:left="720"/>
      <w:contextualSpacing/>
    </w:pPr>
    <w:rPr>
      <w:rFonts w:ascii="Times New Roman" w:eastAsia="SimSun" w:hAnsi="Times New Roman"/>
      <w:sz w:val="24"/>
      <w:lang w:eastAsia="en-GB"/>
    </w:rPr>
  </w:style>
  <w:style w:type="table" w:customStyle="1" w:styleId="TableGrid1">
    <w:name w:val="Table Grid1"/>
    <w:basedOn w:val="TableNormal"/>
    <w:next w:val="TableGrid"/>
    <w:uiPriority w:val="59"/>
    <w:rsid w:val="00D36FBC"/>
    <w:rPr>
      <w:rFonts w:ascii="Arial" w:eastAsia="SimSun"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D36FBC"/>
    <w:rPr>
      <w:rFonts w:cs="Times New Roman"/>
      <w:sz w:val="16"/>
      <w:szCs w:val="16"/>
    </w:rPr>
  </w:style>
  <w:style w:type="paragraph" w:styleId="CommentText">
    <w:name w:val="annotation text"/>
    <w:basedOn w:val="Normal"/>
    <w:link w:val="CommentTextChar"/>
    <w:uiPriority w:val="99"/>
    <w:rsid w:val="00D36FBC"/>
    <w:pPr>
      <w:spacing w:before="0"/>
      <w:ind w:left="0"/>
    </w:pPr>
    <w:rPr>
      <w:rFonts w:ascii="Times New Roman" w:eastAsia="SimSun" w:hAnsi="Times New Roman"/>
      <w:sz w:val="20"/>
      <w:szCs w:val="20"/>
      <w:lang w:eastAsia="en-GB"/>
    </w:rPr>
  </w:style>
  <w:style w:type="character" w:customStyle="1" w:styleId="CommentTextChar">
    <w:name w:val="Comment Text Char"/>
    <w:basedOn w:val="DefaultParagraphFont"/>
    <w:link w:val="CommentText"/>
    <w:uiPriority w:val="99"/>
    <w:rsid w:val="00D36FBC"/>
    <w:rPr>
      <w:rFonts w:eastAsia="SimSun"/>
    </w:rPr>
  </w:style>
  <w:style w:type="paragraph" w:customStyle="1" w:styleId="BodytextSubhead">
    <w:name w:val="~Bodytext Subhead"/>
    <w:basedOn w:val="Normal"/>
    <w:uiPriority w:val="99"/>
    <w:rsid w:val="00D36FBC"/>
    <w:pPr>
      <w:tabs>
        <w:tab w:val="left" w:pos="1634"/>
      </w:tabs>
      <w:spacing w:before="0" w:after="560" w:line="320" w:lineRule="exact"/>
      <w:ind w:left="0"/>
    </w:pPr>
    <w:rPr>
      <w:rFonts w:eastAsia="SimSun" w:cs="Arial"/>
      <w:color w:val="626262"/>
      <w:spacing w:val="2"/>
      <w:kern w:val="28"/>
      <w:sz w:val="30"/>
      <w:szCs w:val="30"/>
      <w:lang w:eastAsia="zh-CN"/>
    </w:rPr>
  </w:style>
  <w:style w:type="character" w:customStyle="1" w:styleId="HeaderChar">
    <w:name w:val="Header Char"/>
    <w:link w:val="Header"/>
    <w:locked/>
    <w:rsid w:val="00D36FBC"/>
    <w:rPr>
      <w:rFonts w:ascii="Arial" w:hAnsi="Arial"/>
      <w:sz w:val="18"/>
      <w:szCs w:val="24"/>
      <w:lang w:eastAsia="en-US"/>
    </w:rPr>
  </w:style>
  <w:style w:type="character" w:customStyle="1" w:styleId="FooterChar">
    <w:name w:val="Footer Char"/>
    <w:link w:val="Footer"/>
    <w:uiPriority w:val="99"/>
    <w:locked/>
    <w:rsid w:val="00D36FBC"/>
    <w:rPr>
      <w:rFonts w:ascii="Arial" w:hAnsi="Arial"/>
      <w:sz w:val="22"/>
      <w:szCs w:val="24"/>
      <w:lang w:eastAsia="en-US"/>
    </w:rPr>
  </w:style>
  <w:style w:type="character" w:styleId="Strong">
    <w:name w:val="Strong"/>
    <w:uiPriority w:val="99"/>
    <w:qFormat/>
    <w:rsid w:val="00D36FBC"/>
    <w:rPr>
      <w:rFonts w:cs="Times New Roman"/>
      <w:b/>
      <w:bCs/>
    </w:rPr>
  </w:style>
  <w:style w:type="paragraph" w:styleId="CommentSubject">
    <w:name w:val="annotation subject"/>
    <w:basedOn w:val="CommentText"/>
    <w:next w:val="CommentText"/>
    <w:link w:val="CommentSubjectChar"/>
    <w:uiPriority w:val="99"/>
    <w:rsid w:val="00D36FBC"/>
    <w:pPr>
      <w:ind w:left="851" w:right="833"/>
    </w:pPr>
    <w:rPr>
      <w:rFonts w:ascii="Arial" w:hAnsi="Arial"/>
      <w:b/>
      <w:bCs/>
    </w:rPr>
  </w:style>
  <w:style w:type="character" w:customStyle="1" w:styleId="CommentSubjectChar">
    <w:name w:val="Comment Subject Char"/>
    <w:basedOn w:val="CommentTextChar"/>
    <w:link w:val="CommentSubject"/>
    <w:uiPriority w:val="99"/>
    <w:rsid w:val="00D36FBC"/>
    <w:rPr>
      <w:rFonts w:ascii="Arial" w:eastAsia="SimSun" w:hAnsi="Arial"/>
      <w:b/>
      <w:bCs/>
    </w:rPr>
  </w:style>
  <w:style w:type="paragraph" w:styleId="Revision">
    <w:name w:val="Revision"/>
    <w:hidden/>
    <w:uiPriority w:val="99"/>
    <w:semiHidden/>
    <w:rsid w:val="00D36FBC"/>
    <w:rPr>
      <w:rFonts w:ascii="Arial" w:eastAsia="SimSun" w:hAnsi="Arial" w:cs="Arial"/>
      <w:sz w:val="24"/>
      <w:szCs w:val="24"/>
      <w:lang w:eastAsia="zh-CN"/>
    </w:rPr>
  </w:style>
  <w:style w:type="paragraph" w:styleId="PlainText">
    <w:name w:val="Plain Text"/>
    <w:basedOn w:val="Normal"/>
    <w:link w:val="PlainTextChar"/>
    <w:uiPriority w:val="99"/>
    <w:rsid w:val="00D36FBC"/>
    <w:pPr>
      <w:spacing w:before="0"/>
      <w:ind w:left="0"/>
    </w:pPr>
    <w:rPr>
      <w:rFonts w:eastAsia="SimSun"/>
      <w:sz w:val="20"/>
      <w:szCs w:val="20"/>
      <w:lang w:eastAsia="zh-CN"/>
    </w:rPr>
  </w:style>
  <w:style w:type="character" w:customStyle="1" w:styleId="PlainTextChar">
    <w:name w:val="Plain Text Char"/>
    <w:basedOn w:val="DefaultParagraphFont"/>
    <w:link w:val="PlainText"/>
    <w:uiPriority w:val="99"/>
    <w:rsid w:val="00D36FBC"/>
    <w:rPr>
      <w:rFonts w:ascii="Arial" w:eastAsia="SimSun" w:hAnsi="Arial"/>
      <w:lang w:eastAsia="zh-CN"/>
    </w:rPr>
  </w:style>
  <w:style w:type="paragraph" w:styleId="NormalWeb">
    <w:name w:val="Normal (Web)"/>
    <w:basedOn w:val="Normal"/>
    <w:uiPriority w:val="99"/>
    <w:rsid w:val="00D36FBC"/>
    <w:pPr>
      <w:spacing w:before="100" w:beforeAutospacing="1" w:after="100" w:afterAutospacing="1"/>
      <w:ind w:left="0"/>
    </w:pPr>
    <w:rPr>
      <w:rFonts w:ascii="Times New Roman" w:eastAsia="SimSun" w:hAnsi="Times New Roman"/>
      <w:sz w:val="24"/>
      <w:lang w:eastAsia="zh-CN"/>
    </w:rPr>
  </w:style>
  <w:style w:type="character" w:customStyle="1" w:styleId="FootnoteTextChar">
    <w:name w:val="Footnote Text Char"/>
    <w:aliases w:val="Footnote Text Char Char Char,Footnote Text Arial Char"/>
    <w:link w:val="FootnoteText"/>
    <w:uiPriority w:val="99"/>
    <w:locked/>
    <w:rsid w:val="00D36FBC"/>
    <w:rPr>
      <w:rFonts w:ascii="Arial" w:hAnsi="Arial"/>
      <w:lang w:eastAsia="en-US"/>
    </w:rPr>
  </w:style>
  <w:style w:type="character" w:customStyle="1" w:styleId="a">
    <w:name w:val="a"/>
    <w:uiPriority w:val="99"/>
    <w:rsid w:val="00D36FBC"/>
    <w:rPr>
      <w:rFonts w:cs="Times New Roman"/>
    </w:rPr>
  </w:style>
  <w:style w:type="paragraph" w:customStyle="1" w:styleId="ptdocpara">
    <w:name w:val="ptdocpara"/>
    <w:basedOn w:val="Normal"/>
    <w:uiPriority w:val="99"/>
    <w:rsid w:val="00D36FBC"/>
    <w:pPr>
      <w:spacing w:before="0" w:after="100" w:afterAutospacing="1"/>
      <w:ind w:left="0"/>
    </w:pPr>
    <w:rPr>
      <w:rFonts w:eastAsia="SimSun" w:cs="Arial"/>
      <w:color w:val="666666"/>
      <w:sz w:val="15"/>
      <w:szCs w:val="15"/>
      <w:lang w:eastAsia="zh-CN"/>
    </w:rPr>
  </w:style>
  <w:style w:type="character" w:customStyle="1" w:styleId="ptdocpublication">
    <w:name w:val="ptdocpublication"/>
    <w:uiPriority w:val="99"/>
    <w:rsid w:val="00D36FBC"/>
    <w:rPr>
      <w:rFonts w:cs="Times New Roman"/>
    </w:rPr>
  </w:style>
  <w:style w:type="character" w:customStyle="1" w:styleId="ptdocissuevolume">
    <w:name w:val="ptdocissuevolume"/>
    <w:uiPriority w:val="99"/>
    <w:rsid w:val="00D36FBC"/>
    <w:rPr>
      <w:rFonts w:cs="Times New Roman"/>
    </w:rPr>
  </w:style>
  <w:style w:type="character" w:customStyle="1" w:styleId="ptdocissuedate">
    <w:name w:val="ptdocissuedate"/>
    <w:uiPriority w:val="99"/>
    <w:rsid w:val="00D36FBC"/>
    <w:rPr>
      <w:rFonts w:cs="Times New Roman"/>
    </w:rPr>
  </w:style>
  <w:style w:type="character" w:customStyle="1" w:styleId="ptdocissuepage">
    <w:name w:val="ptdocissuepage"/>
    <w:uiPriority w:val="99"/>
    <w:rsid w:val="00D36FBC"/>
    <w:rPr>
      <w:rFonts w:cs="Times New Roman"/>
    </w:rPr>
  </w:style>
  <w:style w:type="paragraph" w:customStyle="1" w:styleId="CM64">
    <w:name w:val="CM64"/>
    <w:basedOn w:val="Default"/>
    <w:next w:val="Default"/>
    <w:uiPriority w:val="99"/>
    <w:rsid w:val="00D36FBC"/>
    <w:rPr>
      <w:rFonts w:ascii="Frutiger 45 Light" w:eastAsia="SimSun" w:hAnsi="Frutiger 45 Light" w:cs="Times New Roman"/>
      <w:color w:val="auto"/>
      <w:lang w:eastAsia="en-US"/>
    </w:rPr>
  </w:style>
  <w:style w:type="character" w:customStyle="1" w:styleId="ej-bread-crumb-current">
    <w:name w:val="ej-bread-crumb-current"/>
    <w:uiPriority w:val="99"/>
    <w:rsid w:val="00D36FBC"/>
    <w:rPr>
      <w:rFonts w:cs="Times New Roman"/>
    </w:rPr>
  </w:style>
  <w:style w:type="character" w:customStyle="1" w:styleId="name">
    <w:name w:val="name"/>
    <w:uiPriority w:val="99"/>
    <w:rsid w:val="00D36FBC"/>
    <w:rPr>
      <w:rFonts w:cs="Times New Roman"/>
    </w:rPr>
  </w:style>
  <w:style w:type="character" w:customStyle="1" w:styleId="forenames">
    <w:name w:val="forenames"/>
    <w:uiPriority w:val="99"/>
    <w:rsid w:val="00D36FBC"/>
    <w:rPr>
      <w:rFonts w:cs="Times New Roman"/>
    </w:rPr>
  </w:style>
  <w:style w:type="character" w:customStyle="1" w:styleId="surname">
    <w:name w:val="surname"/>
    <w:uiPriority w:val="99"/>
    <w:rsid w:val="00D36FBC"/>
    <w:rPr>
      <w:rFonts w:cs="Times New Roman"/>
    </w:rPr>
  </w:style>
  <w:style w:type="character" w:styleId="Emphasis">
    <w:name w:val="Emphasis"/>
    <w:uiPriority w:val="20"/>
    <w:qFormat/>
    <w:rsid w:val="00D36FBC"/>
    <w:rPr>
      <w:rFonts w:cs="Times New Roman"/>
      <w:i/>
      <w:iCs/>
    </w:rPr>
  </w:style>
  <w:style w:type="paragraph" w:customStyle="1" w:styleId="inline">
    <w:name w:val="inline"/>
    <w:basedOn w:val="Normal"/>
    <w:uiPriority w:val="99"/>
    <w:rsid w:val="00D36FBC"/>
    <w:pPr>
      <w:spacing w:before="100" w:beforeAutospacing="1" w:after="100" w:afterAutospacing="1"/>
      <w:ind w:left="0"/>
    </w:pPr>
    <w:rPr>
      <w:rFonts w:ascii="Times New Roman" w:eastAsia="SimSun" w:hAnsi="Times New Roman"/>
      <w:sz w:val="24"/>
      <w:lang w:eastAsia="zh-CN"/>
    </w:rPr>
  </w:style>
  <w:style w:type="character" w:customStyle="1" w:styleId="miscellaneoustext">
    <w:name w:val="miscellaneoustext"/>
    <w:uiPriority w:val="99"/>
    <w:rsid w:val="00D36FBC"/>
    <w:rPr>
      <w:rFonts w:cs="Times New Roman"/>
    </w:rPr>
  </w:style>
  <w:style w:type="character" w:customStyle="1" w:styleId="gsa1">
    <w:name w:val="gs_a1"/>
    <w:uiPriority w:val="99"/>
    <w:rsid w:val="00D36FBC"/>
    <w:rPr>
      <w:rFonts w:cs="Times New Roman"/>
      <w:color w:val="008000"/>
    </w:rPr>
  </w:style>
  <w:style w:type="character" w:customStyle="1" w:styleId="bodytext0">
    <w:name w:val="bodytext"/>
    <w:uiPriority w:val="99"/>
    <w:rsid w:val="00D36FBC"/>
    <w:rPr>
      <w:rFonts w:cs="Times New Roman"/>
    </w:rPr>
  </w:style>
  <w:style w:type="character" w:customStyle="1" w:styleId="doi">
    <w:name w:val="doi"/>
    <w:uiPriority w:val="99"/>
    <w:rsid w:val="00D36FBC"/>
    <w:rPr>
      <w:rFonts w:cs="Times New Roman"/>
    </w:rPr>
  </w:style>
  <w:style w:type="character" w:customStyle="1" w:styleId="pagination">
    <w:name w:val="pagination"/>
    <w:uiPriority w:val="99"/>
    <w:rsid w:val="00D36FBC"/>
    <w:rPr>
      <w:rFonts w:cs="Times New Roman"/>
    </w:rPr>
  </w:style>
  <w:style w:type="character" w:styleId="FollowedHyperlink">
    <w:name w:val="FollowedHyperlink"/>
    <w:uiPriority w:val="99"/>
    <w:rsid w:val="00D36FBC"/>
    <w:rPr>
      <w:rFonts w:cs="Times New Roman"/>
      <w:color w:val="800080"/>
      <w:u w:val="single"/>
    </w:rPr>
  </w:style>
  <w:style w:type="table" w:customStyle="1" w:styleId="LightList-Accent11">
    <w:name w:val="Light List - Accent 11"/>
    <w:basedOn w:val="TableNormal"/>
    <w:uiPriority w:val="61"/>
    <w:rsid w:val="00D36FBC"/>
    <w:rPr>
      <w:rFonts w:ascii="Arial" w:eastAsia="SimSun" w:hAnsi="Arial" w:cs="Arial"/>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D36FBC"/>
    <w:rPr>
      <w:rFonts w:ascii="Arial" w:eastAsia="SimSun" w:hAnsi="Arial" w:cs="Arial"/>
      <w:color w:val="365F9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D36FBC"/>
    <w:rPr>
      <w:rFonts w:ascii="Arial" w:eastAsia="SimSun" w:hAnsi="Arial" w:cs="Arial"/>
      <w:color w:val="31849B"/>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sid w:val="00D36FBC"/>
    <w:rPr>
      <w:rFonts w:ascii="Arial" w:eastAsia="SimSun" w:hAnsi="Arial" w:cs="Arial"/>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Caption">
    <w:name w:val="caption"/>
    <w:basedOn w:val="Normal"/>
    <w:next w:val="Normal"/>
    <w:uiPriority w:val="35"/>
    <w:unhideWhenUsed/>
    <w:qFormat/>
    <w:rsid w:val="007770D4"/>
    <w:pPr>
      <w:spacing w:before="0" w:line="276" w:lineRule="auto"/>
      <w:ind w:left="0"/>
    </w:pPr>
    <w:rPr>
      <w:rFonts w:eastAsia="SimSun" w:cs="Arial"/>
      <w:b/>
      <w:bCs/>
      <w:i/>
      <w:szCs w:val="20"/>
      <w:lang w:eastAsia="zh-CN"/>
    </w:rPr>
  </w:style>
  <w:style w:type="table" w:customStyle="1" w:styleId="TableGrid11">
    <w:name w:val="Table Grid11"/>
    <w:basedOn w:val="TableNormal"/>
    <w:next w:val="TableGrid"/>
    <w:uiPriority w:val="59"/>
    <w:rsid w:val="00D36FBC"/>
    <w:rPr>
      <w:rFonts w:ascii="Arial" w:eastAsia="SimSun" w:hAnsi="Arial"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D36FBC"/>
    <w:pPr>
      <w:spacing w:before="0" w:after="200" w:line="276" w:lineRule="auto"/>
      <w:ind w:left="0"/>
    </w:pPr>
    <w:rPr>
      <w:rFonts w:eastAsia="SimSun" w:cs="Arial"/>
      <w:sz w:val="24"/>
      <w:lang w:eastAsia="zh-CN"/>
    </w:rPr>
  </w:style>
  <w:style w:type="character" w:customStyle="1" w:styleId="DateChar">
    <w:name w:val="Date Char"/>
    <w:basedOn w:val="DefaultParagraphFont"/>
    <w:link w:val="Date"/>
    <w:uiPriority w:val="99"/>
    <w:rsid w:val="00D36FBC"/>
    <w:rPr>
      <w:rFonts w:ascii="Arial" w:eastAsia="SimSun" w:hAnsi="Arial" w:cs="Arial"/>
      <w:sz w:val="24"/>
      <w:szCs w:val="24"/>
      <w:lang w:eastAsia="zh-CN"/>
    </w:rPr>
  </w:style>
  <w:style w:type="paragraph" w:styleId="DocumentMap">
    <w:name w:val="Document Map"/>
    <w:basedOn w:val="Normal"/>
    <w:link w:val="DocumentMapChar"/>
    <w:uiPriority w:val="99"/>
    <w:unhideWhenUsed/>
    <w:rsid w:val="00D36FBC"/>
    <w:pPr>
      <w:spacing w:before="0"/>
      <w:ind w:left="0"/>
    </w:pPr>
    <w:rPr>
      <w:rFonts w:ascii="Tahoma" w:eastAsia="SimSun" w:hAnsi="Tahoma" w:cs="Tahoma"/>
      <w:sz w:val="16"/>
      <w:szCs w:val="16"/>
      <w:lang w:eastAsia="zh-CN"/>
    </w:rPr>
  </w:style>
  <w:style w:type="character" w:customStyle="1" w:styleId="DocumentMapChar">
    <w:name w:val="Document Map Char"/>
    <w:basedOn w:val="DefaultParagraphFont"/>
    <w:link w:val="DocumentMap"/>
    <w:uiPriority w:val="99"/>
    <w:rsid w:val="00D36FBC"/>
    <w:rPr>
      <w:rFonts w:ascii="Tahoma" w:eastAsia="SimSun" w:hAnsi="Tahoma" w:cs="Tahoma"/>
      <w:sz w:val="16"/>
      <w:szCs w:val="16"/>
      <w:lang w:eastAsia="zh-CN"/>
    </w:rPr>
  </w:style>
  <w:style w:type="table" w:customStyle="1" w:styleId="TableGrid2">
    <w:name w:val="Table Grid2"/>
    <w:basedOn w:val="TableNormal"/>
    <w:next w:val="TableGrid"/>
    <w:uiPriority w:val="59"/>
    <w:rsid w:val="00D36FBC"/>
    <w:rPr>
      <w:rFonts w:ascii="Arial" w:eastAsia="SimSun" w:hAnsi="Arial"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
    <w:name w:val="mark"/>
    <w:basedOn w:val="DefaultParagraphFont"/>
    <w:rsid w:val="00D36FBC"/>
  </w:style>
  <w:style w:type="table" w:styleId="LightShading-Accent2">
    <w:name w:val="Light Shading Accent 2"/>
    <w:basedOn w:val="TableNormal"/>
    <w:uiPriority w:val="60"/>
    <w:rsid w:val="00D36FBC"/>
    <w:rPr>
      <w:rFonts w:ascii="Arial" w:eastAsia="SimSun" w:hAnsi="Arial" w:cs="Arial"/>
      <w:color w:val="943634" w:themeColor="accent2" w:themeShade="BF"/>
      <w:lang w:eastAsia="zh-CN"/>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aliases w:val="Bullets"/>
    <w:link w:val="NoSpacingChar"/>
    <w:uiPriority w:val="1"/>
    <w:qFormat/>
    <w:rsid w:val="00D36FBC"/>
    <w:rPr>
      <w:rFonts w:asciiTheme="minorHAnsi" w:eastAsiaTheme="minorEastAsia" w:hAnsiTheme="minorHAnsi" w:cstheme="minorBidi"/>
      <w:sz w:val="22"/>
      <w:szCs w:val="22"/>
      <w:lang w:val="en-US" w:eastAsia="ja-JP"/>
    </w:rPr>
  </w:style>
  <w:style w:type="character" w:customStyle="1" w:styleId="NoSpacingChar">
    <w:name w:val="No Spacing Char"/>
    <w:aliases w:val="Bullets Char"/>
    <w:basedOn w:val="DefaultParagraphFont"/>
    <w:link w:val="NoSpacing"/>
    <w:uiPriority w:val="1"/>
    <w:rsid w:val="00D36FBC"/>
    <w:rPr>
      <w:rFonts w:asciiTheme="minorHAnsi" w:eastAsiaTheme="minorEastAsia" w:hAnsiTheme="minorHAnsi" w:cstheme="minorBidi"/>
      <w:sz w:val="22"/>
      <w:szCs w:val="22"/>
      <w:lang w:val="en-US" w:eastAsia="ja-JP"/>
    </w:rPr>
  </w:style>
  <w:style w:type="paragraph" w:styleId="Bibliography">
    <w:name w:val="Bibliography"/>
    <w:basedOn w:val="Normal"/>
    <w:next w:val="Normal"/>
    <w:uiPriority w:val="37"/>
    <w:unhideWhenUsed/>
    <w:rsid w:val="00D36FBC"/>
    <w:pPr>
      <w:autoSpaceDE w:val="0"/>
      <w:autoSpaceDN w:val="0"/>
      <w:adjustRightInd w:val="0"/>
      <w:spacing w:before="0" w:after="240"/>
      <w:ind w:left="0"/>
      <w:jc w:val="both"/>
    </w:pPr>
    <w:rPr>
      <w:rFonts w:ascii="Calibri" w:eastAsia="SimSun" w:hAnsi="Calibri" w:cs="Arial"/>
      <w:noProof/>
      <w:sz w:val="20"/>
      <w:szCs w:val="20"/>
      <w:lang w:eastAsia="zh-CN"/>
    </w:rPr>
  </w:style>
  <w:style w:type="character" w:styleId="PlaceholderText">
    <w:name w:val="Placeholder Text"/>
    <w:uiPriority w:val="99"/>
    <w:semiHidden/>
    <w:rsid w:val="00D36FBC"/>
    <w:rPr>
      <w:color w:val="808080"/>
    </w:rPr>
  </w:style>
  <w:style w:type="character" w:customStyle="1" w:styleId="apple-style-span">
    <w:name w:val="apple-style-span"/>
    <w:basedOn w:val="DefaultParagraphFont"/>
    <w:rsid w:val="00D36FBC"/>
  </w:style>
  <w:style w:type="numbering" w:customStyle="1" w:styleId="NoList11">
    <w:name w:val="No List11"/>
    <w:next w:val="NoList"/>
    <w:uiPriority w:val="99"/>
    <w:semiHidden/>
    <w:unhideWhenUsed/>
    <w:rsid w:val="00D36FBC"/>
  </w:style>
  <w:style w:type="character" w:styleId="SubtleEmphasis">
    <w:name w:val="Subtle Emphasis"/>
    <w:basedOn w:val="DefaultParagraphFont"/>
    <w:uiPriority w:val="19"/>
    <w:qFormat/>
    <w:rsid w:val="00D36FBC"/>
    <w:rPr>
      <w:i/>
      <w:iCs/>
      <w:color w:val="808080" w:themeColor="text1" w:themeTint="7F"/>
    </w:rPr>
  </w:style>
  <w:style w:type="character" w:styleId="IntenseEmphasis">
    <w:name w:val="Intense Emphasis"/>
    <w:basedOn w:val="DefaultParagraphFont"/>
    <w:uiPriority w:val="21"/>
    <w:qFormat/>
    <w:rsid w:val="00D36FBC"/>
    <w:rPr>
      <w:b/>
      <w:bCs/>
      <w:i/>
      <w:iCs/>
      <w:color w:val="4F81BD" w:themeColor="accent1"/>
    </w:rPr>
  </w:style>
  <w:style w:type="paragraph" w:styleId="Quote">
    <w:name w:val="Quote"/>
    <w:basedOn w:val="Normal"/>
    <w:next w:val="Normal"/>
    <w:link w:val="QuoteChar"/>
    <w:uiPriority w:val="29"/>
    <w:qFormat/>
    <w:rsid w:val="00D36FBC"/>
    <w:pPr>
      <w:spacing w:before="0" w:after="200" w:line="276" w:lineRule="auto"/>
      <w:ind w:left="0"/>
    </w:pPr>
    <w:rPr>
      <w:rFonts w:eastAsia="SimSun" w:cs="Arial"/>
      <w:i/>
      <w:iCs/>
      <w:color w:val="000000" w:themeColor="text1"/>
      <w:sz w:val="24"/>
      <w:lang w:eastAsia="zh-CN"/>
    </w:rPr>
  </w:style>
  <w:style w:type="character" w:customStyle="1" w:styleId="QuoteChar">
    <w:name w:val="Quote Char"/>
    <w:basedOn w:val="DefaultParagraphFont"/>
    <w:link w:val="Quote"/>
    <w:uiPriority w:val="29"/>
    <w:rsid w:val="00D36FBC"/>
    <w:rPr>
      <w:rFonts w:ascii="Arial" w:eastAsia="SimSun" w:hAnsi="Arial" w:cs="Arial"/>
      <w:i/>
      <w:iCs/>
      <w:color w:val="000000" w:themeColor="text1"/>
      <w:sz w:val="24"/>
      <w:szCs w:val="24"/>
      <w:lang w:eastAsia="zh-CN"/>
    </w:rPr>
  </w:style>
  <w:style w:type="character" w:styleId="IntenseReference">
    <w:name w:val="Intense Reference"/>
    <w:basedOn w:val="DefaultParagraphFont"/>
    <w:uiPriority w:val="32"/>
    <w:qFormat/>
    <w:rsid w:val="00D36FBC"/>
    <w:rPr>
      <w:b/>
      <w:bCs/>
      <w:smallCaps/>
      <w:color w:val="C0504D" w:themeColor="accent2"/>
      <w:spacing w:val="5"/>
      <w:u w:val="single"/>
    </w:rPr>
  </w:style>
  <w:style w:type="character" w:styleId="SubtleReference">
    <w:name w:val="Subtle Reference"/>
    <w:basedOn w:val="DefaultParagraphFont"/>
    <w:uiPriority w:val="31"/>
    <w:qFormat/>
    <w:rsid w:val="00D36FBC"/>
    <w:rPr>
      <w:smallCaps/>
      <w:color w:val="C0504D" w:themeColor="accent2"/>
      <w:sz w:val="22"/>
      <w:u w:val="single"/>
    </w:rPr>
  </w:style>
  <w:style w:type="table" w:customStyle="1" w:styleId="TableGrid3">
    <w:name w:val="Table Grid3"/>
    <w:basedOn w:val="TableNormal"/>
    <w:next w:val="TableGrid"/>
    <w:uiPriority w:val="59"/>
    <w:rsid w:val="00B23457"/>
    <w:rPr>
      <w:rFonts w:ascii="Arial" w:eastAsia="SimSun" w:hAnsi="Arial"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41EDF"/>
  </w:style>
  <w:style w:type="table" w:customStyle="1" w:styleId="TableGrid4">
    <w:name w:val="Table Grid4"/>
    <w:basedOn w:val="TableNormal"/>
    <w:next w:val="TableGrid"/>
    <w:uiPriority w:val="59"/>
    <w:rsid w:val="00241EDF"/>
    <w:rPr>
      <w:rFonts w:ascii="Arial" w:eastAsia="SimSu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241EDF"/>
    <w:rPr>
      <w:rFonts w:ascii="Arial" w:eastAsia="SimSun" w:hAnsi="Arial"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ntenudetableau">
    <w:name w:val="Contenu de tableau"/>
    <w:basedOn w:val="Normal"/>
    <w:rsid w:val="00241EDF"/>
    <w:pPr>
      <w:widowControl w:val="0"/>
      <w:suppressLineNumbers/>
      <w:suppressAutoHyphens/>
      <w:spacing w:before="0"/>
      <w:ind w:left="0"/>
    </w:pPr>
    <w:rPr>
      <w:rFonts w:ascii="Times New Roman" w:eastAsia="SimSun" w:hAnsi="Times New Roman" w:cs="Lucida Sans"/>
      <w:kern w:val="1"/>
      <w:sz w:val="24"/>
      <w:lang w:val="fr-FR" w:eastAsia="hi-IN" w:bidi="hi-IN"/>
    </w:rPr>
  </w:style>
  <w:style w:type="character" w:customStyle="1" w:styleId="BodyTextChar">
    <w:name w:val="Body Text Char"/>
    <w:basedOn w:val="DefaultParagraphFont"/>
    <w:link w:val="BodyText"/>
    <w:rsid w:val="00241EDF"/>
    <w:rPr>
      <w:rFonts w:ascii="Arial" w:hAnsi="Arial"/>
      <w:sz w:val="22"/>
      <w:szCs w:val="24"/>
      <w:lang w:eastAsia="en-US"/>
    </w:rPr>
  </w:style>
  <w:style w:type="table" w:customStyle="1" w:styleId="TableGrid5">
    <w:name w:val="Table Grid5"/>
    <w:basedOn w:val="TableNormal"/>
    <w:next w:val="TableGrid"/>
    <w:uiPriority w:val="59"/>
    <w:rsid w:val="00061436"/>
    <w:rPr>
      <w:rFonts w:ascii="Arial" w:eastAsia="SimSun" w:hAnsi="Arial"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Pull-out text Char"/>
    <w:basedOn w:val="DefaultParagraphFont"/>
    <w:link w:val="Heading5"/>
    <w:rsid w:val="002E2021"/>
    <w:rPr>
      <w:rFonts w:ascii="Arial" w:hAnsi="Arial" w:cs="Arial"/>
      <w:b/>
      <w:sz w:val="22"/>
      <w:szCs w:val="26"/>
      <w:lang w:eastAsia="en-US"/>
    </w:rPr>
  </w:style>
  <w:style w:type="character" w:customStyle="1" w:styleId="Heading6Char">
    <w:name w:val="Heading 6 Char"/>
    <w:basedOn w:val="DefaultParagraphFont"/>
    <w:link w:val="Heading6"/>
    <w:rsid w:val="002E2021"/>
    <w:rPr>
      <w:rFonts w:ascii="Arial" w:hAnsi="Arial" w:cs="Arial"/>
      <w:b/>
      <w:bCs/>
      <w:sz w:val="22"/>
      <w:szCs w:val="22"/>
      <w:lang w:eastAsia="en-US"/>
    </w:rPr>
  </w:style>
  <w:style w:type="character" w:customStyle="1" w:styleId="Heading7Char">
    <w:name w:val="Heading 7 Char"/>
    <w:basedOn w:val="DefaultParagraphFont"/>
    <w:link w:val="Heading7"/>
    <w:rsid w:val="002E2021"/>
    <w:rPr>
      <w:rFonts w:ascii="Arial" w:hAnsi="Arial" w:cs="Arial"/>
      <w:b/>
      <w:bCs/>
      <w:sz w:val="22"/>
      <w:szCs w:val="22"/>
      <w:lang w:eastAsia="en-US"/>
    </w:rPr>
  </w:style>
  <w:style w:type="character" w:customStyle="1" w:styleId="Heading8Char">
    <w:name w:val="Heading 8 Char"/>
    <w:basedOn w:val="DefaultParagraphFont"/>
    <w:link w:val="Heading8"/>
    <w:rsid w:val="002E2021"/>
    <w:rPr>
      <w:rFonts w:ascii="Arial" w:hAnsi="Arial" w:cs="Arial"/>
      <w:b/>
      <w:bCs/>
      <w:iCs/>
      <w:sz w:val="22"/>
      <w:szCs w:val="22"/>
      <w:lang w:eastAsia="en-US"/>
    </w:rPr>
  </w:style>
  <w:style w:type="character" w:customStyle="1" w:styleId="Heading9Char">
    <w:name w:val="Heading 9 Char"/>
    <w:basedOn w:val="DefaultParagraphFont"/>
    <w:link w:val="Heading9"/>
    <w:rsid w:val="002E2021"/>
    <w:rPr>
      <w:rFonts w:ascii="Arial" w:hAnsi="Arial" w:cs="Arial"/>
      <w:b/>
      <w:bCs/>
      <w:iCs/>
      <w:sz w:val="22"/>
      <w:szCs w:val="22"/>
      <w:lang w:eastAsia="en-US"/>
    </w:rPr>
  </w:style>
  <w:style w:type="paragraph" w:styleId="Subtitle">
    <w:name w:val="Subtitle"/>
    <w:basedOn w:val="Normal"/>
    <w:next w:val="Normal"/>
    <w:link w:val="SubtitleChar"/>
    <w:qFormat/>
    <w:rsid w:val="006427B6"/>
    <w:pPr>
      <w:numPr>
        <w:ilvl w:val="1"/>
      </w:numPr>
      <w:ind w:left="1928"/>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6427B6"/>
    <w:rPr>
      <w:rFonts w:asciiTheme="majorHAnsi" w:eastAsiaTheme="majorEastAsia" w:hAnsiTheme="majorHAnsi" w:cstheme="majorBidi"/>
      <w:i/>
      <w:iCs/>
      <w:color w:val="4F81BD" w:themeColor="accent1"/>
      <w:spacing w:val="15"/>
      <w:sz w:val="24"/>
      <w:szCs w:val="24"/>
      <w:lang w:eastAsia="en-US"/>
    </w:rPr>
  </w:style>
  <w:style w:type="numbering" w:customStyle="1" w:styleId="NoList3">
    <w:name w:val="No List3"/>
    <w:next w:val="NoList"/>
    <w:uiPriority w:val="99"/>
    <w:semiHidden/>
    <w:unhideWhenUsed/>
    <w:rsid w:val="006E1257"/>
  </w:style>
  <w:style w:type="character" w:customStyle="1" w:styleId="publisher">
    <w:name w:val="publisher"/>
    <w:basedOn w:val="DefaultParagraphFont"/>
    <w:rsid w:val="006E1257"/>
  </w:style>
  <w:style w:type="character" w:customStyle="1" w:styleId="publishedyear">
    <w:name w:val="publishedyear"/>
    <w:basedOn w:val="DefaultParagraphFont"/>
    <w:rsid w:val="006E1257"/>
  </w:style>
  <w:style w:type="character" w:customStyle="1" w:styleId="BalloonTextChar1">
    <w:name w:val="Balloon Text Char1"/>
    <w:basedOn w:val="DefaultParagraphFont"/>
    <w:uiPriority w:val="99"/>
    <w:semiHidden/>
    <w:rsid w:val="006E1257"/>
    <w:rPr>
      <w:rFonts w:ascii="Tahoma" w:hAnsi="Tahoma" w:cs="Tahoma" w:hint="default"/>
      <w:sz w:val="16"/>
      <w:szCs w:val="16"/>
    </w:rPr>
  </w:style>
  <w:style w:type="character" w:customStyle="1" w:styleId="CommentTextChar1">
    <w:name w:val="Comment Text Char1"/>
    <w:basedOn w:val="DefaultParagraphFont"/>
    <w:uiPriority w:val="99"/>
    <w:semiHidden/>
    <w:rsid w:val="006E1257"/>
    <w:rPr>
      <w:sz w:val="20"/>
      <w:szCs w:val="20"/>
    </w:rPr>
  </w:style>
  <w:style w:type="character" w:customStyle="1" w:styleId="CommentSubjectChar1">
    <w:name w:val="Comment Subject Char1"/>
    <w:basedOn w:val="CommentTextChar1"/>
    <w:uiPriority w:val="99"/>
    <w:semiHidden/>
    <w:rsid w:val="006E1257"/>
    <w:rPr>
      <w:b/>
      <w:bCs/>
      <w:sz w:val="20"/>
      <w:szCs w:val="20"/>
    </w:rPr>
  </w:style>
  <w:style w:type="table" w:customStyle="1" w:styleId="TableGrid31">
    <w:name w:val="Table Grid31"/>
    <w:basedOn w:val="TableNormal"/>
    <w:next w:val="TableGrid"/>
    <w:uiPriority w:val="59"/>
    <w:rsid w:val="00F861BF"/>
    <w:rPr>
      <w:rFonts w:ascii="Arial" w:eastAsia="SimSun" w:hAnsi="Arial"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063EB"/>
  </w:style>
  <w:style w:type="numbering" w:customStyle="1" w:styleId="Style1">
    <w:name w:val="Style1"/>
    <w:uiPriority w:val="99"/>
    <w:rsid w:val="00C0723D"/>
    <w:pPr>
      <w:numPr>
        <w:numId w:val="4"/>
      </w:numPr>
    </w:pPr>
  </w:style>
  <w:style w:type="numbering" w:customStyle="1" w:styleId="List0">
    <w:name w:val="List 0"/>
    <w:basedOn w:val="NoList"/>
    <w:rsid w:val="00BE7839"/>
    <w:pPr>
      <w:numPr>
        <w:numId w:val="5"/>
      </w:numPr>
    </w:pPr>
  </w:style>
  <w:style w:type="character" w:customStyle="1" w:styleId="ListParagraphChar">
    <w:name w:val="List Paragraph Char"/>
    <w:basedOn w:val="DefaultParagraphFont"/>
    <w:link w:val="ListParagraph"/>
    <w:uiPriority w:val="34"/>
    <w:locked/>
    <w:rsid w:val="00BE7839"/>
    <w:rPr>
      <w:rFonts w:eastAsia="SimSun"/>
      <w:sz w:val="24"/>
      <w:szCs w:val="24"/>
    </w:rPr>
  </w:style>
  <w:style w:type="paragraph" w:customStyle="1" w:styleId="Sisubheading2">
    <w:name w:val="Si subheading 2"/>
    <w:basedOn w:val="Sisubheading"/>
    <w:next w:val="Sibody"/>
    <w:rsid w:val="00E223F8"/>
    <w:pPr>
      <w:numPr>
        <w:ilvl w:val="2"/>
      </w:numPr>
      <w:spacing w:before="360"/>
    </w:pPr>
    <w:rPr>
      <w:i/>
      <w:sz w:val="24"/>
      <w:szCs w:val="24"/>
    </w:rPr>
  </w:style>
  <w:style w:type="paragraph" w:customStyle="1" w:styleId="Sisubheading">
    <w:name w:val="Si subheading"/>
    <w:rsid w:val="00E223F8"/>
    <w:pPr>
      <w:keepNext/>
      <w:numPr>
        <w:ilvl w:val="1"/>
        <w:numId w:val="18"/>
      </w:numPr>
      <w:spacing w:before="480" w:after="240"/>
    </w:pPr>
    <w:rPr>
      <w:rFonts w:ascii="Verdana" w:hAnsi="Verdana"/>
      <w:b/>
      <w:bCs/>
      <w:color w:val="026288"/>
      <w:sz w:val="28"/>
      <w:szCs w:val="28"/>
      <w:lang w:val="en-US" w:eastAsia="en-US"/>
    </w:rPr>
  </w:style>
  <w:style w:type="paragraph" w:customStyle="1" w:styleId="Sibody">
    <w:name w:val="Si body"/>
    <w:basedOn w:val="Normal"/>
    <w:uiPriority w:val="99"/>
    <w:rsid w:val="00E223F8"/>
    <w:pPr>
      <w:numPr>
        <w:ilvl w:val="3"/>
        <w:numId w:val="18"/>
      </w:numPr>
      <w:spacing w:before="0" w:after="240"/>
      <w:jc w:val="both"/>
      <w:outlineLvl w:val="2"/>
    </w:pPr>
    <w:rPr>
      <w:rFonts w:ascii="Verdana" w:hAnsi="Verdana"/>
      <w:sz w:val="20"/>
      <w:szCs w:val="20"/>
    </w:rPr>
  </w:style>
  <w:style w:type="paragraph" w:customStyle="1" w:styleId="Siheading">
    <w:name w:val="Si heading"/>
    <w:basedOn w:val="Normal"/>
    <w:rsid w:val="00E223F8"/>
    <w:pPr>
      <w:numPr>
        <w:numId w:val="18"/>
      </w:numPr>
      <w:tabs>
        <w:tab w:val="center" w:pos="4320"/>
        <w:tab w:val="right" w:pos="8640"/>
      </w:tabs>
      <w:spacing w:before="0" w:after="480"/>
      <w:jc w:val="both"/>
      <w:outlineLvl w:val="0"/>
    </w:pPr>
    <w:rPr>
      <w:rFonts w:ascii="Verdana" w:hAnsi="Verdana"/>
      <w:bCs/>
      <w:caps/>
      <w:color w:val="026288"/>
      <w:sz w:val="36"/>
      <w:szCs w:val="36"/>
    </w:rPr>
  </w:style>
  <w:style w:type="paragraph" w:customStyle="1" w:styleId="Footnote">
    <w:name w:val="Footnote"/>
    <w:qFormat/>
    <w:rsid w:val="00E223F8"/>
    <w:pPr>
      <w:pBdr>
        <w:top w:val="nil"/>
        <w:left w:val="nil"/>
        <w:bottom w:val="nil"/>
        <w:right w:val="nil"/>
        <w:between w:val="nil"/>
        <w:bar w:val="nil"/>
      </w:pBdr>
      <w:tabs>
        <w:tab w:val="left" w:pos="397"/>
      </w:tabs>
      <w:ind w:left="397" w:hanging="397"/>
    </w:pPr>
    <w:rPr>
      <w:rFonts w:ascii="Tahoma" w:eastAsia="Helvetica" w:hAnsi="Tahoma" w:cs="Helvetica"/>
      <w:color w:val="000000"/>
      <w:sz w:val="18"/>
      <w:szCs w:val="22"/>
      <w:bdr w:val="nil"/>
    </w:rPr>
  </w:style>
  <w:style w:type="paragraph" w:customStyle="1" w:styleId="Tablecaption">
    <w:name w:val="Table caption"/>
    <w:basedOn w:val="Caption"/>
    <w:qFormat/>
    <w:rsid w:val="00D3609C"/>
    <w:pPr>
      <w:numPr>
        <w:numId w:val="20"/>
      </w:numPr>
      <w:spacing w:before="120" w:after="120" w:line="240" w:lineRule="auto"/>
      <w:jc w:val="both"/>
    </w:pPr>
    <w:rPr>
      <w:rFonts w:ascii="Tahoma" w:eastAsia="Times New Roman" w:hAnsi="Tahoma" w:cs="Times New Roman"/>
      <w:bCs w:val="0"/>
      <w:i w:val="0"/>
      <w:color w:val="4D4D4D"/>
      <w:lang w:eastAsia="en-US"/>
    </w:rPr>
  </w:style>
  <w:style w:type="paragraph" w:customStyle="1" w:styleId="SpecSubHeader001">
    <w:name w:val="Spec SubHeader 001"/>
    <w:basedOn w:val="Normal"/>
    <w:link w:val="SpecSubHeader001Char"/>
    <w:qFormat/>
    <w:rsid w:val="00047841"/>
    <w:pPr>
      <w:spacing w:before="0" w:after="80"/>
      <w:ind w:left="0"/>
      <w:jc w:val="both"/>
    </w:pPr>
    <w:rPr>
      <w:rFonts w:eastAsia="Calibri"/>
      <w:b/>
      <w:szCs w:val="22"/>
    </w:rPr>
  </w:style>
  <w:style w:type="character" w:customStyle="1" w:styleId="SpecSubHeader001Char">
    <w:name w:val="Spec SubHeader 001 Char"/>
    <w:link w:val="SpecSubHeader001"/>
    <w:rsid w:val="00047841"/>
    <w:rPr>
      <w:rFonts w:ascii="Arial" w:eastAsia="Calibri" w:hAnsi="Arial"/>
      <w:b/>
      <w:sz w:val="22"/>
      <w:szCs w:val="22"/>
      <w:lang w:eastAsia="en-US"/>
    </w:rPr>
  </w:style>
  <w:style w:type="table" w:styleId="LightList-Accent4">
    <w:name w:val="Light List Accent 4"/>
    <w:basedOn w:val="TableNormal"/>
    <w:uiPriority w:val="61"/>
    <w:rsid w:val="00A65C64"/>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1">
    <w:name w:val="Light List - Accent 41"/>
    <w:basedOn w:val="TableNormal"/>
    <w:next w:val="LightList-Accent4"/>
    <w:uiPriority w:val="61"/>
    <w:rsid w:val="00A65C64"/>
    <w:rPr>
      <w:rFonts w:ascii="Arial" w:eastAsia="Arial" w:hAnsi="Arial"/>
      <w:sz w:val="22"/>
      <w:szCs w:val="22"/>
      <w:lang w:eastAsia="en-US"/>
    </w:rPr>
    <w:tblPr>
      <w:tblStyleRowBandSize w:val="1"/>
      <w:tblStyleColBandSize w:val="1"/>
      <w:tblBorders>
        <w:top w:val="single" w:sz="8" w:space="0" w:color="747678"/>
        <w:left w:val="single" w:sz="8" w:space="0" w:color="747678"/>
        <w:bottom w:val="single" w:sz="8" w:space="0" w:color="747678"/>
        <w:right w:val="single" w:sz="8" w:space="0" w:color="747678"/>
      </w:tblBorders>
    </w:tblPr>
    <w:tblStylePr w:type="firstRow">
      <w:pPr>
        <w:spacing w:before="0" w:after="0" w:line="240" w:lineRule="auto"/>
      </w:pPr>
      <w:rPr>
        <w:b/>
        <w:bCs/>
        <w:color w:val="FFFFFF"/>
      </w:rPr>
      <w:tblPr/>
      <w:tcPr>
        <w:shd w:val="clear" w:color="auto" w:fill="747678"/>
      </w:tcPr>
    </w:tblStylePr>
    <w:tblStylePr w:type="lastRow">
      <w:pPr>
        <w:spacing w:before="0" w:after="0" w:line="240" w:lineRule="auto"/>
      </w:pPr>
      <w:rPr>
        <w:b/>
        <w:bCs/>
      </w:rPr>
      <w:tblPr/>
      <w:tcPr>
        <w:tcBorders>
          <w:top w:val="double" w:sz="6" w:space="0" w:color="747678"/>
          <w:left w:val="single" w:sz="8" w:space="0" w:color="747678"/>
          <w:bottom w:val="single" w:sz="8" w:space="0" w:color="747678"/>
          <w:right w:val="single" w:sz="8" w:space="0" w:color="747678"/>
        </w:tcBorders>
      </w:tcPr>
    </w:tblStylePr>
    <w:tblStylePr w:type="firstCol">
      <w:rPr>
        <w:b/>
        <w:bCs/>
      </w:rPr>
    </w:tblStylePr>
    <w:tblStylePr w:type="lastCol">
      <w:rPr>
        <w:b/>
        <w:bCs/>
      </w:rPr>
    </w:tblStylePr>
    <w:tblStylePr w:type="band1Vert">
      <w:tblPr/>
      <w:tcPr>
        <w:tcBorders>
          <w:top w:val="single" w:sz="8" w:space="0" w:color="747678"/>
          <w:left w:val="single" w:sz="8" w:space="0" w:color="747678"/>
          <w:bottom w:val="single" w:sz="8" w:space="0" w:color="747678"/>
          <w:right w:val="single" w:sz="8" w:space="0" w:color="747678"/>
        </w:tcBorders>
      </w:tcPr>
    </w:tblStylePr>
    <w:tblStylePr w:type="band1Horz">
      <w:tblPr/>
      <w:tcPr>
        <w:tcBorders>
          <w:top w:val="single" w:sz="8" w:space="0" w:color="747678"/>
          <w:left w:val="single" w:sz="8" w:space="0" w:color="747678"/>
          <w:bottom w:val="single" w:sz="8" w:space="0" w:color="747678"/>
          <w:right w:val="single" w:sz="8" w:space="0" w:color="747678"/>
        </w:tcBorders>
      </w:tcPr>
    </w:tblStylePr>
  </w:style>
  <w:style w:type="table" w:customStyle="1" w:styleId="LightList-Accent42">
    <w:name w:val="Light List - Accent 42"/>
    <w:basedOn w:val="TableNormal"/>
    <w:next w:val="LightList-Accent4"/>
    <w:uiPriority w:val="61"/>
    <w:rsid w:val="00ED0431"/>
    <w:rPr>
      <w:rFonts w:ascii="Arial" w:eastAsia="Arial" w:hAnsi="Arial"/>
      <w:sz w:val="22"/>
      <w:szCs w:val="22"/>
      <w:lang w:eastAsia="en-US"/>
    </w:rPr>
    <w:tblPr>
      <w:tblStyleRowBandSize w:val="1"/>
      <w:tblStyleColBandSize w:val="1"/>
      <w:tblBorders>
        <w:top w:val="single" w:sz="8" w:space="0" w:color="747678"/>
        <w:left w:val="single" w:sz="8" w:space="0" w:color="747678"/>
        <w:bottom w:val="single" w:sz="8" w:space="0" w:color="747678"/>
        <w:right w:val="single" w:sz="8" w:space="0" w:color="747678"/>
      </w:tblBorders>
    </w:tblPr>
    <w:tblStylePr w:type="firstRow">
      <w:pPr>
        <w:spacing w:before="0" w:after="0" w:line="240" w:lineRule="auto"/>
      </w:pPr>
      <w:rPr>
        <w:b/>
        <w:bCs/>
        <w:color w:val="FFFFFF"/>
      </w:rPr>
      <w:tblPr/>
      <w:tcPr>
        <w:shd w:val="clear" w:color="auto" w:fill="747678"/>
      </w:tcPr>
    </w:tblStylePr>
    <w:tblStylePr w:type="lastRow">
      <w:pPr>
        <w:spacing w:before="0" w:after="0" w:line="240" w:lineRule="auto"/>
      </w:pPr>
      <w:rPr>
        <w:b/>
        <w:bCs/>
      </w:rPr>
      <w:tblPr/>
      <w:tcPr>
        <w:tcBorders>
          <w:top w:val="double" w:sz="6" w:space="0" w:color="747678"/>
          <w:left w:val="single" w:sz="8" w:space="0" w:color="747678"/>
          <w:bottom w:val="single" w:sz="8" w:space="0" w:color="747678"/>
          <w:right w:val="single" w:sz="8" w:space="0" w:color="747678"/>
        </w:tcBorders>
      </w:tcPr>
    </w:tblStylePr>
    <w:tblStylePr w:type="firstCol">
      <w:rPr>
        <w:b/>
        <w:bCs/>
      </w:rPr>
    </w:tblStylePr>
    <w:tblStylePr w:type="lastCol">
      <w:rPr>
        <w:b/>
        <w:bCs/>
      </w:rPr>
    </w:tblStylePr>
    <w:tblStylePr w:type="band1Vert">
      <w:tblPr/>
      <w:tcPr>
        <w:tcBorders>
          <w:top w:val="single" w:sz="8" w:space="0" w:color="747678"/>
          <w:left w:val="single" w:sz="8" w:space="0" w:color="747678"/>
          <w:bottom w:val="single" w:sz="8" w:space="0" w:color="747678"/>
          <w:right w:val="single" w:sz="8" w:space="0" w:color="747678"/>
        </w:tcBorders>
      </w:tcPr>
    </w:tblStylePr>
    <w:tblStylePr w:type="band1Horz">
      <w:tblPr/>
      <w:tcPr>
        <w:tcBorders>
          <w:top w:val="single" w:sz="8" w:space="0" w:color="747678"/>
          <w:left w:val="single" w:sz="8" w:space="0" w:color="747678"/>
          <w:bottom w:val="single" w:sz="8" w:space="0" w:color="747678"/>
          <w:right w:val="single" w:sz="8" w:space="0" w:color="747678"/>
        </w:tcBorders>
      </w:tcPr>
    </w:tblStylePr>
  </w:style>
  <w:style w:type="table" w:customStyle="1" w:styleId="TableGridLight1">
    <w:name w:val="Table Grid Light1"/>
    <w:basedOn w:val="TableNormal"/>
    <w:uiPriority w:val="40"/>
    <w:rsid w:val="00CB38CC"/>
    <w:rPr>
      <w:rFonts w:ascii="Arial" w:eastAsiaTheme="minorHAnsi" w:hAnsi="Arial"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1">
    <w:name w:val="A1"/>
    <w:rsid w:val="000F203F"/>
    <w:rPr>
      <w:color w:val="000000"/>
      <w:sz w:val="20"/>
      <w:szCs w:val="20"/>
    </w:rPr>
  </w:style>
  <w:style w:type="character" w:customStyle="1" w:styleId="searchword">
    <w:name w:val="searchword"/>
    <w:rsid w:val="000F203F"/>
    <w:rPr>
      <w:rFonts w:ascii="Times New Roman" w:hAnsi="Times New Roman" w:cs="Times New Roman"/>
    </w:rPr>
  </w:style>
  <w:style w:type="paragraph" w:styleId="BodyText3">
    <w:name w:val="Body Text 3"/>
    <w:basedOn w:val="Normal"/>
    <w:link w:val="BodyText3Char"/>
    <w:uiPriority w:val="99"/>
    <w:unhideWhenUsed/>
    <w:rsid w:val="000F203F"/>
    <w:pPr>
      <w:spacing w:before="0" w:after="120" w:line="276" w:lineRule="auto"/>
      <w:ind w:left="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0F203F"/>
    <w:rPr>
      <w:rFonts w:asciiTheme="minorHAnsi" w:eastAsiaTheme="minorHAnsi" w:hAnsiTheme="minorHAnsi" w:cstheme="minorBidi"/>
      <w:sz w:val="16"/>
      <w:szCs w:val="16"/>
      <w:lang w:eastAsia="en-US"/>
    </w:rPr>
  </w:style>
  <w:style w:type="paragraph" w:customStyle="1" w:styleId="Pa4">
    <w:name w:val="Pa4"/>
    <w:basedOn w:val="Normal"/>
    <w:next w:val="Normal"/>
    <w:rsid w:val="000F203F"/>
    <w:pPr>
      <w:autoSpaceDE w:val="0"/>
      <w:autoSpaceDN w:val="0"/>
      <w:adjustRightInd w:val="0"/>
      <w:spacing w:before="0" w:line="241" w:lineRule="atLeast"/>
      <w:ind w:left="0"/>
    </w:pPr>
    <w:rPr>
      <w:rFonts w:ascii="Akzidenz Grotesk BE" w:hAnsi="Akzidenz Grotesk BE"/>
      <w:sz w:val="24"/>
      <w:lang w:val="en-US"/>
    </w:rPr>
  </w:style>
  <w:style w:type="character" w:customStyle="1" w:styleId="A9">
    <w:name w:val="A9"/>
    <w:rsid w:val="000F203F"/>
    <w:rPr>
      <w:color w:val="auto"/>
      <w:sz w:val="19"/>
    </w:rPr>
  </w:style>
  <w:style w:type="paragraph" w:styleId="BodyText2">
    <w:name w:val="Body Text 2"/>
    <w:basedOn w:val="Normal"/>
    <w:link w:val="BodyText2Char"/>
    <w:uiPriority w:val="99"/>
    <w:unhideWhenUsed/>
    <w:rsid w:val="000F203F"/>
    <w:pPr>
      <w:spacing w:before="0" w:after="120" w:line="480" w:lineRule="auto"/>
      <w:ind w:left="0"/>
      <w:jc w:val="both"/>
    </w:pPr>
    <w:rPr>
      <w:sz w:val="18"/>
      <w:szCs w:val="20"/>
    </w:rPr>
  </w:style>
  <w:style w:type="character" w:customStyle="1" w:styleId="BodyText2Char">
    <w:name w:val="Body Text 2 Char"/>
    <w:basedOn w:val="DefaultParagraphFont"/>
    <w:link w:val="BodyText2"/>
    <w:uiPriority w:val="99"/>
    <w:rsid w:val="000F203F"/>
    <w:rPr>
      <w:rFonts w:ascii="Arial" w:hAnsi="Arial"/>
      <w:sz w:val="18"/>
      <w:lang w:eastAsia="en-US"/>
    </w:rPr>
  </w:style>
  <w:style w:type="paragraph" w:customStyle="1" w:styleId="a0">
    <w:name w:val="_"/>
    <w:basedOn w:val="Normal"/>
    <w:rsid w:val="000F203F"/>
    <w:pPr>
      <w:widowControl w:val="0"/>
      <w:spacing w:before="0"/>
      <w:ind w:left="720" w:hanging="720"/>
    </w:pPr>
    <w:rPr>
      <w:rFonts w:ascii="Times New Roman" w:hAnsi="Times New Roman"/>
      <w:snapToGrid w:val="0"/>
      <w:sz w:val="24"/>
      <w:szCs w:val="20"/>
      <w:lang w:val="en-US"/>
    </w:rPr>
  </w:style>
  <w:style w:type="paragraph" w:customStyle="1" w:styleId="NormalJustified">
    <w:name w:val="Normal + Justified"/>
    <w:basedOn w:val="Normal"/>
    <w:rsid w:val="000F203F"/>
    <w:pPr>
      <w:spacing w:before="0"/>
      <w:ind w:left="0"/>
    </w:pPr>
    <w:rPr>
      <w:rFonts w:cs="Arial"/>
      <w:b/>
      <w:szCs w:val="22"/>
    </w:rPr>
  </w:style>
  <w:style w:type="table" w:customStyle="1" w:styleId="TableGridLight2">
    <w:name w:val="Table Grid Light2"/>
    <w:basedOn w:val="TableNormal"/>
    <w:uiPriority w:val="40"/>
    <w:rsid w:val="002F7021"/>
    <w:rPr>
      <w:rFonts w:ascii="Arial" w:eastAsiaTheme="minorHAnsi" w:hAnsi="Arial"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0">
    <w:name w:val="Pa0"/>
    <w:basedOn w:val="Default"/>
    <w:next w:val="Default"/>
    <w:uiPriority w:val="99"/>
    <w:rsid w:val="00874506"/>
    <w:pPr>
      <w:spacing w:line="741" w:lineRule="atLeast"/>
    </w:pPr>
    <w:rPr>
      <w:rFonts w:ascii="Bliss 2 Light" w:hAnsi="Bliss 2 Light" w:cs="Times New Roman"/>
      <w:color w:val="auto"/>
    </w:rPr>
  </w:style>
  <w:style w:type="character" w:customStyle="1" w:styleId="A00">
    <w:name w:val="A0"/>
    <w:uiPriority w:val="99"/>
    <w:rsid w:val="00874506"/>
    <w:rPr>
      <w:rFonts w:cs="Bliss 2 Light"/>
      <w:color w:val="000000"/>
      <w:sz w:val="63"/>
      <w:szCs w:val="63"/>
    </w:rPr>
  </w:style>
  <w:style w:type="paragraph" w:styleId="EndnoteText">
    <w:name w:val="endnote text"/>
    <w:basedOn w:val="Normal"/>
    <w:link w:val="EndnoteTextChar"/>
    <w:semiHidden/>
    <w:unhideWhenUsed/>
    <w:rsid w:val="00FC61F2"/>
    <w:pPr>
      <w:spacing w:before="0"/>
    </w:pPr>
    <w:rPr>
      <w:sz w:val="20"/>
      <w:szCs w:val="20"/>
    </w:rPr>
  </w:style>
  <w:style w:type="character" w:customStyle="1" w:styleId="EndnoteTextChar">
    <w:name w:val="Endnote Text Char"/>
    <w:basedOn w:val="DefaultParagraphFont"/>
    <w:link w:val="EndnoteText"/>
    <w:semiHidden/>
    <w:rsid w:val="00FC61F2"/>
    <w:rPr>
      <w:rFonts w:ascii="Arial" w:hAnsi="Arial"/>
      <w:lang w:eastAsia="en-US"/>
    </w:rPr>
  </w:style>
  <w:style w:type="character" w:styleId="EndnoteReference">
    <w:name w:val="endnote reference"/>
    <w:basedOn w:val="DefaultParagraphFont"/>
    <w:semiHidden/>
    <w:unhideWhenUsed/>
    <w:rsid w:val="00FC61F2"/>
    <w:rPr>
      <w:vertAlign w:val="superscript"/>
    </w:rPr>
  </w:style>
  <w:style w:type="character" w:customStyle="1" w:styleId="xapple-converted-space">
    <w:name w:val="x_apple-converted-space"/>
    <w:basedOn w:val="DefaultParagraphFont"/>
    <w:rsid w:val="00410E03"/>
  </w:style>
  <w:style w:type="paragraph" w:customStyle="1" w:styleId="Bullet">
    <w:name w:val="Bullet"/>
    <w:basedOn w:val="Normal"/>
    <w:link w:val="BulletChar"/>
    <w:qFormat/>
    <w:rsid w:val="008418BA"/>
    <w:pPr>
      <w:numPr>
        <w:numId w:val="31"/>
      </w:numPr>
      <w:ind w:left="2041" w:hanging="340"/>
    </w:pPr>
    <w:rPr>
      <w:rFonts w:cs="Arial"/>
      <w:szCs w:val="22"/>
    </w:rPr>
  </w:style>
  <w:style w:type="paragraph" w:customStyle="1" w:styleId="NumberedList">
    <w:name w:val="NumberedList"/>
    <w:basedOn w:val="Bullet"/>
    <w:link w:val="NumberedListChar"/>
    <w:qFormat/>
    <w:rsid w:val="00DC1396"/>
    <w:pPr>
      <w:numPr>
        <w:numId w:val="67"/>
      </w:numPr>
      <w:ind w:left="2041" w:hanging="340"/>
    </w:pPr>
  </w:style>
  <w:style w:type="character" w:customStyle="1" w:styleId="BulletChar">
    <w:name w:val="Bullet Char"/>
    <w:basedOn w:val="DefaultParagraphFont"/>
    <w:link w:val="Bullet"/>
    <w:rsid w:val="008418BA"/>
    <w:rPr>
      <w:rFonts w:ascii="Arial" w:hAnsi="Arial" w:cs="Arial"/>
      <w:sz w:val="22"/>
      <w:szCs w:val="22"/>
      <w:lang w:eastAsia="en-US"/>
    </w:rPr>
  </w:style>
  <w:style w:type="paragraph" w:customStyle="1" w:styleId="NumberedList2">
    <w:name w:val="NumberedList2"/>
    <w:basedOn w:val="NumberedList"/>
    <w:link w:val="NumberedList2Char"/>
    <w:rsid w:val="00DC1396"/>
    <w:pPr>
      <w:ind w:left="2721"/>
    </w:pPr>
  </w:style>
  <w:style w:type="character" w:customStyle="1" w:styleId="NumberedListChar">
    <w:name w:val="NumberedList Char"/>
    <w:basedOn w:val="BulletChar"/>
    <w:link w:val="NumberedList"/>
    <w:rsid w:val="00DC1396"/>
    <w:rPr>
      <w:rFonts w:ascii="Arial" w:hAnsi="Arial" w:cs="Arial"/>
      <w:sz w:val="22"/>
      <w:szCs w:val="22"/>
      <w:lang w:eastAsia="en-US"/>
    </w:rPr>
  </w:style>
  <w:style w:type="paragraph" w:customStyle="1" w:styleId="Bullet2">
    <w:name w:val="Bullet2"/>
    <w:basedOn w:val="Bullet"/>
    <w:link w:val="Bullet2Char"/>
    <w:qFormat/>
    <w:rsid w:val="00DC1396"/>
    <w:pPr>
      <w:ind w:left="2721"/>
    </w:pPr>
  </w:style>
  <w:style w:type="character" w:customStyle="1" w:styleId="NumberedList2Char">
    <w:name w:val="NumberedList2 Char"/>
    <w:basedOn w:val="NumberedListChar"/>
    <w:link w:val="NumberedList2"/>
    <w:rsid w:val="00DC1396"/>
    <w:rPr>
      <w:rFonts w:ascii="Arial" w:hAnsi="Arial" w:cs="Arial"/>
      <w:sz w:val="22"/>
      <w:szCs w:val="22"/>
      <w:lang w:eastAsia="en-US"/>
    </w:rPr>
  </w:style>
  <w:style w:type="character" w:customStyle="1" w:styleId="Bullet2Char">
    <w:name w:val="Bullet2 Char"/>
    <w:basedOn w:val="BulletChar"/>
    <w:link w:val="Bullet2"/>
    <w:rsid w:val="00DC1396"/>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331305">
      <w:bodyDiv w:val="1"/>
      <w:marLeft w:val="0"/>
      <w:marRight w:val="0"/>
      <w:marTop w:val="0"/>
      <w:marBottom w:val="0"/>
      <w:divBdr>
        <w:top w:val="none" w:sz="0" w:space="0" w:color="auto"/>
        <w:left w:val="none" w:sz="0" w:space="0" w:color="auto"/>
        <w:bottom w:val="none" w:sz="0" w:space="0" w:color="auto"/>
        <w:right w:val="none" w:sz="0" w:space="0" w:color="auto"/>
      </w:divBdr>
      <w:divsChild>
        <w:div w:id="565188824">
          <w:marLeft w:val="0"/>
          <w:marRight w:val="0"/>
          <w:marTop w:val="0"/>
          <w:marBottom w:val="0"/>
          <w:divBdr>
            <w:top w:val="none" w:sz="0" w:space="0" w:color="auto"/>
            <w:left w:val="none" w:sz="0" w:space="0" w:color="auto"/>
            <w:bottom w:val="none" w:sz="0" w:space="0" w:color="auto"/>
            <w:right w:val="none" w:sz="0" w:space="0" w:color="auto"/>
          </w:divBdr>
          <w:divsChild>
            <w:div w:id="430441880">
              <w:marLeft w:val="0"/>
              <w:marRight w:val="0"/>
              <w:marTop w:val="0"/>
              <w:marBottom w:val="0"/>
              <w:divBdr>
                <w:top w:val="none" w:sz="0" w:space="0" w:color="auto"/>
                <w:left w:val="none" w:sz="0" w:space="0" w:color="auto"/>
                <w:bottom w:val="none" w:sz="0" w:space="0" w:color="auto"/>
                <w:right w:val="none" w:sz="0" w:space="0" w:color="auto"/>
              </w:divBdr>
              <w:divsChild>
                <w:div w:id="2063629021">
                  <w:marLeft w:val="0"/>
                  <w:marRight w:val="0"/>
                  <w:marTop w:val="0"/>
                  <w:marBottom w:val="0"/>
                  <w:divBdr>
                    <w:top w:val="none" w:sz="0" w:space="0" w:color="auto"/>
                    <w:left w:val="none" w:sz="0" w:space="0" w:color="auto"/>
                    <w:bottom w:val="none" w:sz="0" w:space="0" w:color="auto"/>
                    <w:right w:val="none" w:sz="0" w:space="0" w:color="auto"/>
                  </w:divBdr>
                  <w:divsChild>
                    <w:div w:id="2067215774">
                      <w:marLeft w:val="0"/>
                      <w:marRight w:val="0"/>
                      <w:marTop w:val="0"/>
                      <w:marBottom w:val="0"/>
                      <w:divBdr>
                        <w:top w:val="none" w:sz="0" w:space="0" w:color="auto"/>
                        <w:left w:val="none" w:sz="0" w:space="0" w:color="auto"/>
                        <w:bottom w:val="none" w:sz="0" w:space="0" w:color="auto"/>
                        <w:right w:val="none" w:sz="0" w:space="0" w:color="auto"/>
                      </w:divBdr>
                      <w:divsChild>
                        <w:div w:id="1168591246">
                          <w:marLeft w:val="0"/>
                          <w:marRight w:val="0"/>
                          <w:marTop w:val="0"/>
                          <w:marBottom w:val="0"/>
                          <w:divBdr>
                            <w:top w:val="none" w:sz="0" w:space="0" w:color="auto"/>
                            <w:left w:val="none" w:sz="0" w:space="0" w:color="auto"/>
                            <w:bottom w:val="none" w:sz="0" w:space="0" w:color="auto"/>
                            <w:right w:val="none" w:sz="0" w:space="0" w:color="auto"/>
                          </w:divBdr>
                          <w:divsChild>
                            <w:div w:id="1989549603">
                              <w:marLeft w:val="0"/>
                              <w:marRight w:val="0"/>
                              <w:marTop w:val="0"/>
                              <w:marBottom w:val="0"/>
                              <w:divBdr>
                                <w:top w:val="none" w:sz="0" w:space="0" w:color="auto"/>
                                <w:left w:val="none" w:sz="0" w:space="0" w:color="auto"/>
                                <w:bottom w:val="none" w:sz="0" w:space="0" w:color="auto"/>
                                <w:right w:val="none" w:sz="0" w:space="0" w:color="auto"/>
                              </w:divBdr>
                              <w:divsChild>
                                <w:div w:id="148400959">
                                  <w:marLeft w:val="0"/>
                                  <w:marRight w:val="0"/>
                                  <w:marTop w:val="0"/>
                                  <w:marBottom w:val="0"/>
                                  <w:divBdr>
                                    <w:top w:val="none" w:sz="0" w:space="0" w:color="auto"/>
                                    <w:left w:val="none" w:sz="0" w:space="0" w:color="auto"/>
                                    <w:bottom w:val="none" w:sz="0" w:space="0" w:color="auto"/>
                                    <w:right w:val="none" w:sz="0" w:space="0" w:color="auto"/>
                                  </w:divBdr>
                                  <w:divsChild>
                                    <w:div w:id="1060792204">
                                      <w:marLeft w:val="0"/>
                                      <w:marRight w:val="0"/>
                                      <w:marTop w:val="0"/>
                                      <w:marBottom w:val="0"/>
                                      <w:divBdr>
                                        <w:top w:val="none" w:sz="0" w:space="0" w:color="auto"/>
                                        <w:left w:val="none" w:sz="0" w:space="0" w:color="auto"/>
                                        <w:bottom w:val="none" w:sz="0" w:space="0" w:color="auto"/>
                                        <w:right w:val="none" w:sz="0" w:space="0" w:color="auto"/>
                                      </w:divBdr>
                                      <w:divsChild>
                                        <w:div w:id="961761964">
                                          <w:marLeft w:val="0"/>
                                          <w:marRight w:val="0"/>
                                          <w:marTop w:val="0"/>
                                          <w:marBottom w:val="0"/>
                                          <w:divBdr>
                                            <w:top w:val="none" w:sz="0" w:space="0" w:color="auto"/>
                                            <w:left w:val="none" w:sz="0" w:space="0" w:color="auto"/>
                                            <w:bottom w:val="none" w:sz="0" w:space="0" w:color="auto"/>
                                            <w:right w:val="none" w:sz="0" w:space="0" w:color="auto"/>
                                          </w:divBdr>
                                          <w:divsChild>
                                            <w:div w:id="1293973330">
                                              <w:marLeft w:val="0"/>
                                              <w:marRight w:val="0"/>
                                              <w:marTop w:val="0"/>
                                              <w:marBottom w:val="0"/>
                                              <w:divBdr>
                                                <w:top w:val="none" w:sz="0" w:space="0" w:color="auto"/>
                                                <w:left w:val="none" w:sz="0" w:space="0" w:color="auto"/>
                                                <w:bottom w:val="none" w:sz="0" w:space="0" w:color="auto"/>
                                                <w:right w:val="none" w:sz="0" w:space="0" w:color="auto"/>
                                              </w:divBdr>
                                              <w:divsChild>
                                                <w:div w:id="2122449518">
                                                  <w:marLeft w:val="0"/>
                                                  <w:marRight w:val="90"/>
                                                  <w:marTop w:val="0"/>
                                                  <w:marBottom w:val="0"/>
                                                  <w:divBdr>
                                                    <w:top w:val="none" w:sz="0" w:space="0" w:color="auto"/>
                                                    <w:left w:val="none" w:sz="0" w:space="0" w:color="auto"/>
                                                    <w:bottom w:val="none" w:sz="0" w:space="0" w:color="auto"/>
                                                    <w:right w:val="none" w:sz="0" w:space="0" w:color="auto"/>
                                                  </w:divBdr>
                                                  <w:divsChild>
                                                    <w:div w:id="657538599">
                                                      <w:marLeft w:val="0"/>
                                                      <w:marRight w:val="0"/>
                                                      <w:marTop w:val="0"/>
                                                      <w:marBottom w:val="0"/>
                                                      <w:divBdr>
                                                        <w:top w:val="none" w:sz="0" w:space="0" w:color="auto"/>
                                                        <w:left w:val="none" w:sz="0" w:space="0" w:color="auto"/>
                                                        <w:bottom w:val="none" w:sz="0" w:space="0" w:color="auto"/>
                                                        <w:right w:val="none" w:sz="0" w:space="0" w:color="auto"/>
                                                      </w:divBdr>
                                                      <w:divsChild>
                                                        <w:div w:id="664557118">
                                                          <w:marLeft w:val="0"/>
                                                          <w:marRight w:val="0"/>
                                                          <w:marTop w:val="0"/>
                                                          <w:marBottom w:val="0"/>
                                                          <w:divBdr>
                                                            <w:top w:val="none" w:sz="0" w:space="0" w:color="auto"/>
                                                            <w:left w:val="none" w:sz="0" w:space="0" w:color="auto"/>
                                                            <w:bottom w:val="none" w:sz="0" w:space="0" w:color="auto"/>
                                                            <w:right w:val="none" w:sz="0" w:space="0" w:color="auto"/>
                                                          </w:divBdr>
                                                          <w:divsChild>
                                                            <w:div w:id="1257791823">
                                                              <w:marLeft w:val="0"/>
                                                              <w:marRight w:val="0"/>
                                                              <w:marTop w:val="0"/>
                                                              <w:marBottom w:val="0"/>
                                                              <w:divBdr>
                                                                <w:top w:val="none" w:sz="0" w:space="0" w:color="auto"/>
                                                                <w:left w:val="none" w:sz="0" w:space="0" w:color="auto"/>
                                                                <w:bottom w:val="none" w:sz="0" w:space="0" w:color="auto"/>
                                                                <w:right w:val="none" w:sz="0" w:space="0" w:color="auto"/>
                                                              </w:divBdr>
                                                              <w:divsChild>
                                                                <w:div w:id="1748576668">
                                                                  <w:marLeft w:val="0"/>
                                                                  <w:marRight w:val="0"/>
                                                                  <w:marTop w:val="0"/>
                                                                  <w:marBottom w:val="105"/>
                                                                  <w:divBdr>
                                                                    <w:top w:val="single" w:sz="6" w:space="0" w:color="EDEDED"/>
                                                                    <w:left w:val="single" w:sz="6" w:space="0" w:color="EDEDED"/>
                                                                    <w:bottom w:val="single" w:sz="6" w:space="0" w:color="EDEDED"/>
                                                                    <w:right w:val="single" w:sz="6" w:space="0" w:color="EDEDED"/>
                                                                  </w:divBdr>
                                                                  <w:divsChild>
                                                                    <w:div w:id="1853034199">
                                                                      <w:marLeft w:val="0"/>
                                                                      <w:marRight w:val="0"/>
                                                                      <w:marTop w:val="0"/>
                                                                      <w:marBottom w:val="0"/>
                                                                      <w:divBdr>
                                                                        <w:top w:val="none" w:sz="0" w:space="0" w:color="auto"/>
                                                                        <w:left w:val="none" w:sz="0" w:space="0" w:color="auto"/>
                                                                        <w:bottom w:val="none" w:sz="0" w:space="0" w:color="auto"/>
                                                                        <w:right w:val="none" w:sz="0" w:space="0" w:color="auto"/>
                                                                      </w:divBdr>
                                                                      <w:divsChild>
                                                                        <w:div w:id="55016556">
                                                                          <w:marLeft w:val="0"/>
                                                                          <w:marRight w:val="0"/>
                                                                          <w:marTop w:val="0"/>
                                                                          <w:marBottom w:val="0"/>
                                                                          <w:divBdr>
                                                                            <w:top w:val="none" w:sz="0" w:space="0" w:color="auto"/>
                                                                            <w:left w:val="none" w:sz="0" w:space="0" w:color="auto"/>
                                                                            <w:bottom w:val="none" w:sz="0" w:space="0" w:color="auto"/>
                                                                            <w:right w:val="none" w:sz="0" w:space="0" w:color="auto"/>
                                                                          </w:divBdr>
                                                                          <w:divsChild>
                                                                            <w:div w:id="629359063">
                                                                              <w:marLeft w:val="0"/>
                                                                              <w:marRight w:val="0"/>
                                                                              <w:marTop w:val="0"/>
                                                                              <w:marBottom w:val="0"/>
                                                                              <w:divBdr>
                                                                                <w:top w:val="none" w:sz="0" w:space="0" w:color="auto"/>
                                                                                <w:left w:val="none" w:sz="0" w:space="0" w:color="auto"/>
                                                                                <w:bottom w:val="none" w:sz="0" w:space="0" w:color="auto"/>
                                                                                <w:right w:val="none" w:sz="0" w:space="0" w:color="auto"/>
                                                                              </w:divBdr>
                                                                              <w:divsChild>
                                                                                <w:div w:id="1510754150">
                                                                                  <w:marLeft w:val="180"/>
                                                                                  <w:marRight w:val="180"/>
                                                                                  <w:marTop w:val="0"/>
                                                                                  <w:marBottom w:val="0"/>
                                                                                  <w:divBdr>
                                                                                    <w:top w:val="none" w:sz="0" w:space="0" w:color="auto"/>
                                                                                    <w:left w:val="none" w:sz="0" w:space="0" w:color="auto"/>
                                                                                    <w:bottom w:val="none" w:sz="0" w:space="0" w:color="auto"/>
                                                                                    <w:right w:val="none" w:sz="0" w:space="0" w:color="auto"/>
                                                                                  </w:divBdr>
                                                                                  <w:divsChild>
                                                                                    <w:div w:id="1042361219">
                                                                                      <w:marLeft w:val="0"/>
                                                                                      <w:marRight w:val="0"/>
                                                                                      <w:marTop w:val="0"/>
                                                                                      <w:marBottom w:val="0"/>
                                                                                      <w:divBdr>
                                                                                        <w:top w:val="none" w:sz="0" w:space="0" w:color="auto"/>
                                                                                        <w:left w:val="none" w:sz="0" w:space="0" w:color="auto"/>
                                                                                        <w:bottom w:val="none" w:sz="0" w:space="0" w:color="auto"/>
                                                                                        <w:right w:val="none" w:sz="0" w:space="0" w:color="auto"/>
                                                                                      </w:divBdr>
                                                                                      <w:divsChild>
                                                                                        <w:div w:id="1369137524">
                                                                                          <w:marLeft w:val="0"/>
                                                                                          <w:marRight w:val="0"/>
                                                                                          <w:marTop w:val="0"/>
                                                                                          <w:marBottom w:val="0"/>
                                                                                          <w:divBdr>
                                                                                            <w:top w:val="none" w:sz="0" w:space="0" w:color="auto"/>
                                                                                            <w:left w:val="none" w:sz="0" w:space="0" w:color="auto"/>
                                                                                            <w:bottom w:val="none" w:sz="0" w:space="0" w:color="auto"/>
                                                                                            <w:right w:val="none" w:sz="0" w:space="0" w:color="auto"/>
                                                                                          </w:divBdr>
                                                                                          <w:divsChild>
                                                                                            <w:div w:id="1953970953">
                                                                                              <w:marLeft w:val="0"/>
                                                                                              <w:marRight w:val="0"/>
                                                                                              <w:marTop w:val="0"/>
                                                                                              <w:marBottom w:val="0"/>
                                                                                              <w:divBdr>
                                                                                                <w:top w:val="none" w:sz="0" w:space="0" w:color="auto"/>
                                                                                                <w:left w:val="none" w:sz="0" w:space="0" w:color="auto"/>
                                                                                                <w:bottom w:val="none" w:sz="0" w:space="0" w:color="auto"/>
                                                                                                <w:right w:val="none" w:sz="0" w:space="0" w:color="auto"/>
                                                                                              </w:divBdr>
                                                                                              <w:divsChild>
                                                                                                <w:div w:id="1600530805">
                                                                                                  <w:marLeft w:val="0"/>
                                                                                                  <w:marRight w:val="0"/>
                                                                                                  <w:marTop w:val="0"/>
                                                                                                  <w:marBottom w:val="0"/>
                                                                                                  <w:divBdr>
                                                                                                    <w:top w:val="none" w:sz="0" w:space="0" w:color="auto"/>
                                                                                                    <w:left w:val="none" w:sz="0" w:space="0" w:color="auto"/>
                                                                                                    <w:bottom w:val="none" w:sz="0" w:space="0" w:color="auto"/>
                                                                                                    <w:right w:val="none" w:sz="0" w:space="0" w:color="auto"/>
                                                                                                  </w:divBdr>
                                                                                                  <w:divsChild>
                                                                                                    <w:div w:id="12337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612930">
      <w:bodyDiv w:val="1"/>
      <w:marLeft w:val="0"/>
      <w:marRight w:val="0"/>
      <w:marTop w:val="0"/>
      <w:marBottom w:val="0"/>
      <w:divBdr>
        <w:top w:val="none" w:sz="0" w:space="0" w:color="auto"/>
        <w:left w:val="none" w:sz="0" w:space="0" w:color="auto"/>
        <w:bottom w:val="none" w:sz="0" w:space="0" w:color="auto"/>
        <w:right w:val="none" w:sz="0" w:space="0" w:color="auto"/>
      </w:divBdr>
      <w:divsChild>
        <w:div w:id="1358698081">
          <w:marLeft w:val="446"/>
          <w:marRight w:val="0"/>
          <w:marTop w:val="134"/>
          <w:marBottom w:val="0"/>
          <w:divBdr>
            <w:top w:val="none" w:sz="0" w:space="0" w:color="auto"/>
            <w:left w:val="none" w:sz="0" w:space="0" w:color="auto"/>
            <w:bottom w:val="none" w:sz="0" w:space="0" w:color="auto"/>
            <w:right w:val="none" w:sz="0" w:space="0" w:color="auto"/>
          </w:divBdr>
        </w:div>
        <w:div w:id="2066289629">
          <w:marLeft w:val="446"/>
          <w:marRight w:val="0"/>
          <w:marTop w:val="134"/>
          <w:marBottom w:val="0"/>
          <w:divBdr>
            <w:top w:val="none" w:sz="0" w:space="0" w:color="auto"/>
            <w:left w:val="none" w:sz="0" w:space="0" w:color="auto"/>
            <w:bottom w:val="none" w:sz="0" w:space="0" w:color="auto"/>
            <w:right w:val="none" w:sz="0" w:space="0" w:color="auto"/>
          </w:divBdr>
        </w:div>
      </w:divsChild>
    </w:div>
    <w:div w:id="571280800">
      <w:bodyDiv w:val="1"/>
      <w:marLeft w:val="0"/>
      <w:marRight w:val="0"/>
      <w:marTop w:val="0"/>
      <w:marBottom w:val="0"/>
      <w:divBdr>
        <w:top w:val="none" w:sz="0" w:space="0" w:color="auto"/>
        <w:left w:val="none" w:sz="0" w:space="0" w:color="auto"/>
        <w:bottom w:val="none" w:sz="0" w:space="0" w:color="auto"/>
        <w:right w:val="none" w:sz="0" w:space="0" w:color="auto"/>
      </w:divBdr>
    </w:div>
    <w:div w:id="579220013">
      <w:bodyDiv w:val="1"/>
      <w:marLeft w:val="0"/>
      <w:marRight w:val="0"/>
      <w:marTop w:val="0"/>
      <w:marBottom w:val="0"/>
      <w:divBdr>
        <w:top w:val="none" w:sz="0" w:space="0" w:color="auto"/>
        <w:left w:val="none" w:sz="0" w:space="0" w:color="auto"/>
        <w:bottom w:val="none" w:sz="0" w:space="0" w:color="auto"/>
        <w:right w:val="none" w:sz="0" w:space="0" w:color="auto"/>
      </w:divBdr>
    </w:div>
    <w:div w:id="610481096">
      <w:bodyDiv w:val="1"/>
      <w:marLeft w:val="0"/>
      <w:marRight w:val="0"/>
      <w:marTop w:val="0"/>
      <w:marBottom w:val="0"/>
      <w:divBdr>
        <w:top w:val="none" w:sz="0" w:space="0" w:color="auto"/>
        <w:left w:val="none" w:sz="0" w:space="0" w:color="auto"/>
        <w:bottom w:val="none" w:sz="0" w:space="0" w:color="auto"/>
        <w:right w:val="none" w:sz="0" w:space="0" w:color="auto"/>
      </w:divBdr>
    </w:div>
    <w:div w:id="1035690976">
      <w:bodyDiv w:val="1"/>
      <w:marLeft w:val="0"/>
      <w:marRight w:val="0"/>
      <w:marTop w:val="0"/>
      <w:marBottom w:val="0"/>
      <w:divBdr>
        <w:top w:val="none" w:sz="0" w:space="0" w:color="auto"/>
        <w:left w:val="none" w:sz="0" w:space="0" w:color="auto"/>
        <w:bottom w:val="none" w:sz="0" w:space="0" w:color="auto"/>
        <w:right w:val="none" w:sz="0" w:space="0" w:color="auto"/>
      </w:divBdr>
    </w:div>
    <w:div w:id="1111586233">
      <w:bodyDiv w:val="1"/>
      <w:marLeft w:val="0"/>
      <w:marRight w:val="0"/>
      <w:marTop w:val="0"/>
      <w:marBottom w:val="0"/>
      <w:divBdr>
        <w:top w:val="none" w:sz="0" w:space="0" w:color="auto"/>
        <w:left w:val="none" w:sz="0" w:space="0" w:color="auto"/>
        <w:bottom w:val="none" w:sz="0" w:space="0" w:color="auto"/>
        <w:right w:val="none" w:sz="0" w:space="0" w:color="auto"/>
      </w:divBdr>
    </w:div>
    <w:div w:id="1169254353">
      <w:bodyDiv w:val="1"/>
      <w:marLeft w:val="0"/>
      <w:marRight w:val="0"/>
      <w:marTop w:val="0"/>
      <w:marBottom w:val="0"/>
      <w:divBdr>
        <w:top w:val="none" w:sz="0" w:space="0" w:color="auto"/>
        <w:left w:val="none" w:sz="0" w:space="0" w:color="auto"/>
        <w:bottom w:val="none" w:sz="0" w:space="0" w:color="auto"/>
        <w:right w:val="none" w:sz="0" w:space="0" w:color="auto"/>
      </w:divBdr>
    </w:div>
    <w:div w:id="1178957525">
      <w:bodyDiv w:val="1"/>
      <w:marLeft w:val="0"/>
      <w:marRight w:val="0"/>
      <w:marTop w:val="0"/>
      <w:marBottom w:val="0"/>
      <w:divBdr>
        <w:top w:val="none" w:sz="0" w:space="0" w:color="auto"/>
        <w:left w:val="none" w:sz="0" w:space="0" w:color="auto"/>
        <w:bottom w:val="none" w:sz="0" w:space="0" w:color="auto"/>
        <w:right w:val="none" w:sz="0" w:space="0" w:color="auto"/>
      </w:divBdr>
    </w:div>
    <w:div w:id="1261068102">
      <w:bodyDiv w:val="1"/>
      <w:marLeft w:val="0"/>
      <w:marRight w:val="0"/>
      <w:marTop w:val="0"/>
      <w:marBottom w:val="0"/>
      <w:divBdr>
        <w:top w:val="none" w:sz="0" w:space="0" w:color="auto"/>
        <w:left w:val="none" w:sz="0" w:space="0" w:color="auto"/>
        <w:bottom w:val="none" w:sz="0" w:space="0" w:color="auto"/>
        <w:right w:val="none" w:sz="0" w:space="0" w:color="auto"/>
      </w:divBdr>
      <w:divsChild>
        <w:div w:id="364990877">
          <w:marLeft w:val="1166"/>
          <w:marRight w:val="0"/>
          <w:marTop w:val="115"/>
          <w:marBottom w:val="0"/>
          <w:divBdr>
            <w:top w:val="none" w:sz="0" w:space="0" w:color="auto"/>
            <w:left w:val="none" w:sz="0" w:space="0" w:color="auto"/>
            <w:bottom w:val="none" w:sz="0" w:space="0" w:color="auto"/>
            <w:right w:val="none" w:sz="0" w:space="0" w:color="auto"/>
          </w:divBdr>
        </w:div>
        <w:div w:id="696588017">
          <w:marLeft w:val="446"/>
          <w:marRight w:val="0"/>
          <w:marTop w:val="115"/>
          <w:marBottom w:val="0"/>
          <w:divBdr>
            <w:top w:val="none" w:sz="0" w:space="0" w:color="auto"/>
            <w:left w:val="none" w:sz="0" w:space="0" w:color="auto"/>
            <w:bottom w:val="none" w:sz="0" w:space="0" w:color="auto"/>
            <w:right w:val="none" w:sz="0" w:space="0" w:color="auto"/>
          </w:divBdr>
        </w:div>
        <w:div w:id="840314345">
          <w:marLeft w:val="1166"/>
          <w:marRight w:val="0"/>
          <w:marTop w:val="115"/>
          <w:marBottom w:val="0"/>
          <w:divBdr>
            <w:top w:val="none" w:sz="0" w:space="0" w:color="auto"/>
            <w:left w:val="none" w:sz="0" w:space="0" w:color="auto"/>
            <w:bottom w:val="none" w:sz="0" w:space="0" w:color="auto"/>
            <w:right w:val="none" w:sz="0" w:space="0" w:color="auto"/>
          </w:divBdr>
        </w:div>
        <w:div w:id="1473984210">
          <w:marLeft w:val="446"/>
          <w:marRight w:val="0"/>
          <w:marTop w:val="115"/>
          <w:marBottom w:val="0"/>
          <w:divBdr>
            <w:top w:val="none" w:sz="0" w:space="0" w:color="auto"/>
            <w:left w:val="none" w:sz="0" w:space="0" w:color="auto"/>
            <w:bottom w:val="none" w:sz="0" w:space="0" w:color="auto"/>
            <w:right w:val="none" w:sz="0" w:space="0" w:color="auto"/>
          </w:divBdr>
        </w:div>
        <w:div w:id="1869754407">
          <w:marLeft w:val="446"/>
          <w:marRight w:val="0"/>
          <w:marTop w:val="115"/>
          <w:marBottom w:val="0"/>
          <w:divBdr>
            <w:top w:val="none" w:sz="0" w:space="0" w:color="auto"/>
            <w:left w:val="none" w:sz="0" w:space="0" w:color="auto"/>
            <w:bottom w:val="none" w:sz="0" w:space="0" w:color="auto"/>
            <w:right w:val="none" w:sz="0" w:space="0" w:color="auto"/>
          </w:divBdr>
        </w:div>
      </w:divsChild>
    </w:div>
    <w:div w:id="1295910370">
      <w:bodyDiv w:val="1"/>
      <w:marLeft w:val="0"/>
      <w:marRight w:val="0"/>
      <w:marTop w:val="0"/>
      <w:marBottom w:val="0"/>
      <w:divBdr>
        <w:top w:val="none" w:sz="0" w:space="0" w:color="auto"/>
        <w:left w:val="none" w:sz="0" w:space="0" w:color="auto"/>
        <w:bottom w:val="none" w:sz="0" w:space="0" w:color="auto"/>
        <w:right w:val="none" w:sz="0" w:space="0" w:color="auto"/>
      </w:divBdr>
      <w:divsChild>
        <w:div w:id="86657693">
          <w:marLeft w:val="1166"/>
          <w:marRight w:val="0"/>
          <w:marTop w:val="115"/>
          <w:marBottom w:val="0"/>
          <w:divBdr>
            <w:top w:val="none" w:sz="0" w:space="0" w:color="auto"/>
            <w:left w:val="none" w:sz="0" w:space="0" w:color="auto"/>
            <w:bottom w:val="none" w:sz="0" w:space="0" w:color="auto"/>
            <w:right w:val="none" w:sz="0" w:space="0" w:color="auto"/>
          </w:divBdr>
        </w:div>
        <w:div w:id="193885438">
          <w:marLeft w:val="1166"/>
          <w:marRight w:val="0"/>
          <w:marTop w:val="115"/>
          <w:marBottom w:val="0"/>
          <w:divBdr>
            <w:top w:val="none" w:sz="0" w:space="0" w:color="auto"/>
            <w:left w:val="none" w:sz="0" w:space="0" w:color="auto"/>
            <w:bottom w:val="none" w:sz="0" w:space="0" w:color="auto"/>
            <w:right w:val="none" w:sz="0" w:space="0" w:color="auto"/>
          </w:divBdr>
        </w:div>
        <w:div w:id="589504626">
          <w:marLeft w:val="446"/>
          <w:marRight w:val="0"/>
          <w:marTop w:val="115"/>
          <w:marBottom w:val="0"/>
          <w:divBdr>
            <w:top w:val="none" w:sz="0" w:space="0" w:color="auto"/>
            <w:left w:val="none" w:sz="0" w:space="0" w:color="auto"/>
            <w:bottom w:val="none" w:sz="0" w:space="0" w:color="auto"/>
            <w:right w:val="none" w:sz="0" w:space="0" w:color="auto"/>
          </w:divBdr>
        </w:div>
        <w:div w:id="1495802370">
          <w:marLeft w:val="446"/>
          <w:marRight w:val="0"/>
          <w:marTop w:val="115"/>
          <w:marBottom w:val="0"/>
          <w:divBdr>
            <w:top w:val="none" w:sz="0" w:space="0" w:color="auto"/>
            <w:left w:val="none" w:sz="0" w:space="0" w:color="auto"/>
            <w:bottom w:val="none" w:sz="0" w:space="0" w:color="auto"/>
            <w:right w:val="none" w:sz="0" w:space="0" w:color="auto"/>
          </w:divBdr>
        </w:div>
        <w:div w:id="1999579654">
          <w:marLeft w:val="446"/>
          <w:marRight w:val="0"/>
          <w:marTop w:val="115"/>
          <w:marBottom w:val="0"/>
          <w:divBdr>
            <w:top w:val="none" w:sz="0" w:space="0" w:color="auto"/>
            <w:left w:val="none" w:sz="0" w:space="0" w:color="auto"/>
            <w:bottom w:val="none" w:sz="0" w:space="0" w:color="auto"/>
            <w:right w:val="none" w:sz="0" w:space="0" w:color="auto"/>
          </w:divBdr>
        </w:div>
        <w:div w:id="2078703380">
          <w:marLeft w:val="446"/>
          <w:marRight w:val="0"/>
          <w:marTop w:val="115"/>
          <w:marBottom w:val="0"/>
          <w:divBdr>
            <w:top w:val="none" w:sz="0" w:space="0" w:color="auto"/>
            <w:left w:val="none" w:sz="0" w:space="0" w:color="auto"/>
            <w:bottom w:val="none" w:sz="0" w:space="0" w:color="auto"/>
            <w:right w:val="none" w:sz="0" w:space="0" w:color="auto"/>
          </w:divBdr>
        </w:div>
        <w:div w:id="2131389943">
          <w:marLeft w:val="1166"/>
          <w:marRight w:val="0"/>
          <w:marTop w:val="115"/>
          <w:marBottom w:val="0"/>
          <w:divBdr>
            <w:top w:val="none" w:sz="0" w:space="0" w:color="auto"/>
            <w:left w:val="none" w:sz="0" w:space="0" w:color="auto"/>
            <w:bottom w:val="none" w:sz="0" w:space="0" w:color="auto"/>
            <w:right w:val="none" w:sz="0" w:space="0" w:color="auto"/>
          </w:divBdr>
        </w:div>
      </w:divsChild>
    </w:div>
    <w:div w:id="1463108915">
      <w:bodyDiv w:val="1"/>
      <w:marLeft w:val="0"/>
      <w:marRight w:val="0"/>
      <w:marTop w:val="0"/>
      <w:marBottom w:val="0"/>
      <w:divBdr>
        <w:top w:val="none" w:sz="0" w:space="0" w:color="auto"/>
        <w:left w:val="none" w:sz="0" w:space="0" w:color="auto"/>
        <w:bottom w:val="none" w:sz="0" w:space="0" w:color="auto"/>
        <w:right w:val="none" w:sz="0" w:space="0" w:color="auto"/>
      </w:divBdr>
      <w:divsChild>
        <w:div w:id="1469392410">
          <w:marLeft w:val="446"/>
          <w:marRight w:val="0"/>
          <w:marTop w:val="125"/>
          <w:marBottom w:val="0"/>
          <w:divBdr>
            <w:top w:val="none" w:sz="0" w:space="0" w:color="auto"/>
            <w:left w:val="none" w:sz="0" w:space="0" w:color="auto"/>
            <w:bottom w:val="none" w:sz="0" w:space="0" w:color="auto"/>
            <w:right w:val="none" w:sz="0" w:space="0" w:color="auto"/>
          </w:divBdr>
        </w:div>
        <w:div w:id="1516730005">
          <w:marLeft w:val="446"/>
          <w:marRight w:val="0"/>
          <w:marTop w:val="125"/>
          <w:marBottom w:val="0"/>
          <w:divBdr>
            <w:top w:val="none" w:sz="0" w:space="0" w:color="auto"/>
            <w:left w:val="none" w:sz="0" w:space="0" w:color="auto"/>
            <w:bottom w:val="none" w:sz="0" w:space="0" w:color="auto"/>
            <w:right w:val="none" w:sz="0" w:space="0" w:color="auto"/>
          </w:divBdr>
        </w:div>
        <w:div w:id="1994601422">
          <w:marLeft w:val="446"/>
          <w:marRight w:val="0"/>
          <w:marTop w:val="125"/>
          <w:marBottom w:val="0"/>
          <w:divBdr>
            <w:top w:val="none" w:sz="0" w:space="0" w:color="auto"/>
            <w:left w:val="none" w:sz="0" w:space="0" w:color="auto"/>
            <w:bottom w:val="none" w:sz="0" w:space="0" w:color="auto"/>
            <w:right w:val="none" w:sz="0" w:space="0" w:color="auto"/>
          </w:divBdr>
        </w:div>
        <w:div w:id="2077169797">
          <w:marLeft w:val="1166"/>
          <w:marRight w:val="0"/>
          <w:marTop w:val="125"/>
          <w:marBottom w:val="0"/>
          <w:divBdr>
            <w:top w:val="none" w:sz="0" w:space="0" w:color="auto"/>
            <w:left w:val="none" w:sz="0" w:space="0" w:color="auto"/>
            <w:bottom w:val="none" w:sz="0" w:space="0" w:color="auto"/>
            <w:right w:val="none" w:sz="0" w:space="0" w:color="auto"/>
          </w:divBdr>
        </w:div>
        <w:div w:id="2085881896">
          <w:marLeft w:val="1166"/>
          <w:marRight w:val="0"/>
          <w:marTop w:val="125"/>
          <w:marBottom w:val="0"/>
          <w:divBdr>
            <w:top w:val="none" w:sz="0" w:space="0" w:color="auto"/>
            <w:left w:val="none" w:sz="0" w:space="0" w:color="auto"/>
            <w:bottom w:val="none" w:sz="0" w:space="0" w:color="auto"/>
            <w:right w:val="none" w:sz="0" w:space="0" w:color="auto"/>
          </w:divBdr>
        </w:div>
      </w:divsChild>
    </w:div>
    <w:div w:id="1564294754">
      <w:bodyDiv w:val="1"/>
      <w:marLeft w:val="0"/>
      <w:marRight w:val="0"/>
      <w:marTop w:val="0"/>
      <w:marBottom w:val="0"/>
      <w:divBdr>
        <w:top w:val="none" w:sz="0" w:space="0" w:color="auto"/>
        <w:left w:val="none" w:sz="0" w:space="0" w:color="auto"/>
        <w:bottom w:val="none" w:sz="0" w:space="0" w:color="auto"/>
        <w:right w:val="none" w:sz="0" w:space="0" w:color="auto"/>
      </w:divBdr>
    </w:div>
    <w:div w:id="1574465879">
      <w:bodyDiv w:val="1"/>
      <w:marLeft w:val="0"/>
      <w:marRight w:val="0"/>
      <w:marTop w:val="0"/>
      <w:marBottom w:val="0"/>
      <w:divBdr>
        <w:top w:val="none" w:sz="0" w:space="0" w:color="auto"/>
        <w:left w:val="none" w:sz="0" w:space="0" w:color="auto"/>
        <w:bottom w:val="none" w:sz="0" w:space="0" w:color="auto"/>
        <w:right w:val="none" w:sz="0" w:space="0" w:color="auto"/>
      </w:divBdr>
      <w:divsChild>
        <w:div w:id="1126305">
          <w:marLeft w:val="1166"/>
          <w:marRight w:val="0"/>
          <w:marTop w:val="125"/>
          <w:marBottom w:val="0"/>
          <w:divBdr>
            <w:top w:val="none" w:sz="0" w:space="0" w:color="auto"/>
            <w:left w:val="none" w:sz="0" w:space="0" w:color="auto"/>
            <w:bottom w:val="none" w:sz="0" w:space="0" w:color="auto"/>
            <w:right w:val="none" w:sz="0" w:space="0" w:color="auto"/>
          </w:divBdr>
        </w:div>
        <w:div w:id="41713335">
          <w:marLeft w:val="446"/>
          <w:marRight w:val="0"/>
          <w:marTop w:val="125"/>
          <w:marBottom w:val="0"/>
          <w:divBdr>
            <w:top w:val="none" w:sz="0" w:space="0" w:color="auto"/>
            <w:left w:val="none" w:sz="0" w:space="0" w:color="auto"/>
            <w:bottom w:val="none" w:sz="0" w:space="0" w:color="auto"/>
            <w:right w:val="none" w:sz="0" w:space="0" w:color="auto"/>
          </w:divBdr>
        </w:div>
        <w:div w:id="44380076">
          <w:marLeft w:val="446"/>
          <w:marRight w:val="0"/>
          <w:marTop w:val="125"/>
          <w:marBottom w:val="0"/>
          <w:divBdr>
            <w:top w:val="none" w:sz="0" w:space="0" w:color="auto"/>
            <w:left w:val="none" w:sz="0" w:space="0" w:color="auto"/>
            <w:bottom w:val="none" w:sz="0" w:space="0" w:color="auto"/>
            <w:right w:val="none" w:sz="0" w:space="0" w:color="auto"/>
          </w:divBdr>
        </w:div>
        <w:div w:id="68354706">
          <w:marLeft w:val="446"/>
          <w:marRight w:val="0"/>
          <w:marTop w:val="125"/>
          <w:marBottom w:val="0"/>
          <w:divBdr>
            <w:top w:val="none" w:sz="0" w:space="0" w:color="auto"/>
            <w:left w:val="none" w:sz="0" w:space="0" w:color="auto"/>
            <w:bottom w:val="none" w:sz="0" w:space="0" w:color="auto"/>
            <w:right w:val="none" w:sz="0" w:space="0" w:color="auto"/>
          </w:divBdr>
        </w:div>
        <w:div w:id="86387816">
          <w:marLeft w:val="1166"/>
          <w:marRight w:val="0"/>
          <w:marTop w:val="125"/>
          <w:marBottom w:val="0"/>
          <w:divBdr>
            <w:top w:val="none" w:sz="0" w:space="0" w:color="auto"/>
            <w:left w:val="none" w:sz="0" w:space="0" w:color="auto"/>
            <w:bottom w:val="none" w:sz="0" w:space="0" w:color="auto"/>
            <w:right w:val="none" w:sz="0" w:space="0" w:color="auto"/>
          </w:divBdr>
        </w:div>
        <w:div w:id="139154710">
          <w:marLeft w:val="446"/>
          <w:marRight w:val="0"/>
          <w:marTop w:val="125"/>
          <w:marBottom w:val="0"/>
          <w:divBdr>
            <w:top w:val="none" w:sz="0" w:space="0" w:color="auto"/>
            <w:left w:val="none" w:sz="0" w:space="0" w:color="auto"/>
            <w:bottom w:val="none" w:sz="0" w:space="0" w:color="auto"/>
            <w:right w:val="none" w:sz="0" w:space="0" w:color="auto"/>
          </w:divBdr>
        </w:div>
        <w:div w:id="193152767">
          <w:marLeft w:val="446"/>
          <w:marRight w:val="0"/>
          <w:marTop w:val="125"/>
          <w:marBottom w:val="0"/>
          <w:divBdr>
            <w:top w:val="none" w:sz="0" w:space="0" w:color="auto"/>
            <w:left w:val="none" w:sz="0" w:space="0" w:color="auto"/>
            <w:bottom w:val="none" w:sz="0" w:space="0" w:color="auto"/>
            <w:right w:val="none" w:sz="0" w:space="0" w:color="auto"/>
          </w:divBdr>
        </w:div>
        <w:div w:id="195584159">
          <w:marLeft w:val="446"/>
          <w:marRight w:val="0"/>
          <w:marTop w:val="125"/>
          <w:marBottom w:val="0"/>
          <w:divBdr>
            <w:top w:val="none" w:sz="0" w:space="0" w:color="auto"/>
            <w:left w:val="none" w:sz="0" w:space="0" w:color="auto"/>
            <w:bottom w:val="none" w:sz="0" w:space="0" w:color="auto"/>
            <w:right w:val="none" w:sz="0" w:space="0" w:color="auto"/>
          </w:divBdr>
        </w:div>
        <w:div w:id="198587544">
          <w:marLeft w:val="446"/>
          <w:marRight w:val="0"/>
          <w:marTop w:val="125"/>
          <w:marBottom w:val="0"/>
          <w:divBdr>
            <w:top w:val="none" w:sz="0" w:space="0" w:color="auto"/>
            <w:left w:val="none" w:sz="0" w:space="0" w:color="auto"/>
            <w:bottom w:val="none" w:sz="0" w:space="0" w:color="auto"/>
            <w:right w:val="none" w:sz="0" w:space="0" w:color="auto"/>
          </w:divBdr>
        </w:div>
        <w:div w:id="211505048">
          <w:marLeft w:val="446"/>
          <w:marRight w:val="0"/>
          <w:marTop w:val="125"/>
          <w:marBottom w:val="0"/>
          <w:divBdr>
            <w:top w:val="none" w:sz="0" w:space="0" w:color="auto"/>
            <w:left w:val="none" w:sz="0" w:space="0" w:color="auto"/>
            <w:bottom w:val="none" w:sz="0" w:space="0" w:color="auto"/>
            <w:right w:val="none" w:sz="0" w:space="0" w:color="auto"/>
          </w:divBdr>
        </w:div>
        <w:div w:id="219025026">
          <w:marLeft w:val="446"/>
          <w:marRight w:val="0"/>
          <w:marTop w:val="125"/>
          <w:marBottom w:val="0"/>
          <w:divBdr>
            <w:top w:val="none" w:sz="0" w:space="0" w:color="auto"/>
            <w:left w:val="none" w:sz="0" w:space="0" w:color="auto"/>
            <w:bottom w:val="none" w:sz="0" w:space="0" w:color="auto"/>
            <w:right w:val="none" w:sz="0" w:space="0" w:color="auto"/>
          </w:divBdr>
        </w:div>
        <w:div w:id="247813143">
          <w:marLeft w:val="446"/>
          <w:marRight w:val="0"/>
          <w:marTop w:val="125"/>
          <w:marBottom w:val="0"/>
          <w:divBdr>
            <w:top w:val="none" w:sz="0" w:space="0" w:color="auto"/>
            <w:left w:val="none" w:sz="0" w:space="0" w:color="auto"/>
            <w:bottom w:val="none" w:sz="0" w:space="0" w:color="auto"/>
            <w:right w:val="none" w:sz="0" w:space="0" w:color="auto"/>
          </w:divBdr>
        </w:div>
        <w:div w:id="248082530">
          <w:marLeft w:val="446"/>
          <w:marRight w:val="0"/>
          <w:marTop w:val="125"/>
          <w:marBottom w:val="0"/>
          <w:divBdr>
            <w:top w:val="none" w:sz="0" w:space="0" w:color="auto"/>
            <w:left w:val="none" w:sz="0" w:space="0" w:color="auto"/>
            <w:bottom w:val="none" w:sz="0" w:space="0" w:color="auto"/>
            <w:right w:val="none" w:sz="0" w:space="0" w:color="auto"/>
          </w:divBdr>
        </w:div>
        <w:div w:id="254050096">
          <w:marLeft w:val="446"/>
          <w:marRight w:val="0"/>
          <w:marTop w:val="125"/>
          <w:marBottom w:val="0"/>
          <w:divBdr>
            <w:top w:val="none" w:sz="0" w:space="0" w:color="auto"/>
            <w:left w:val="none" w:sz="0" w:space="0" w:color="auto"/>
            <w:bottom w:val="none" w:sz="0" w:space="0" w:color="auto"/>
            <w:right w:val="none" w:sz="0" w:space="0" w:color="auto"/>
          </w:divBdr>
        </w:div>
        <w:div w:id="283772299">
          <w:marLeft w:val="1166"/>
          <w:marRight w:val="0"/>
          <w:marTop w:val="125"/>
          <w:marBottom w:val="0"/>
          <w:divBdr>
            <w:top w:val="none" w:sz="0" w:space="0" w:color="auto"/>
            <w:left w:val="none" w:sz="0" w:space="0" w:color="auto"/>
            <w:bottom w:val="none" w:sz="0" w:space="0" w:color="auto"/>
            <w:right w:val="none" w:sz="0" w:space="0" w:color="auto"/>
          </w:divBdr>
        </w:div>
        <w:div w:id="320353411">
          <w:marLeft w:val="446"/>
          <w:marRight w:val="0"/>
          <w:marTop w:val="125"/>
          <w:marBottom w:val="0"/>
          <w:divBdr>
            <w:top w:val="none" w:sz="0" w:space="0" w:color="auto"/>
            <w:left w:val="none" w:sz="0" w:space="0" w:color="auto"/>
            <w:bottom w:val="none" w:sz="0" w:space="0" w:color="auto"/>
            <w:right w:val="none" w:sz="0" w:space="0" w:color="auto"/>
          </w:divBdr>
        </w:div>
        <w:div w:id="375200720">
          <w:marLeft w:val="1166"/>
          <w:marRight w:val="0"/>
          <w:marTop w:val="0"/>
          <w:marBottom w:val="0"/>
          <w:divBdr>
            <w:top w:val="none" w:sz="0" w:space="0" w:color="auto"/>
            <w:left w:val="none" w:sz="0" w:space="0" w:color="auto"/>
            <w:bottom w:val="none" w:sz="0" w:space="0" w:color="auto"/>
            <w:right w:val="none" w:sz="0" w:space="0" w:color="auto"/>
          </w:divBdr>
        </w:div>
        <w:div w:id="390034920">
          <w:marLeft w:val="1166"/>
          <w:marRight w:val="0"/>
          <w:marTop w:val="125"/>
          <w:marBottom w:val="0"/>
          <w:divBdr>
            <w:top w:val="none" w:sz="0" w:space="0" w:color="auto"/>
            <w:left w:val="none" w:sz="0" w:space="0" w:color="auto"/>
            <w:bottom w:val="none" w:sz="0" w:space="0" w:color="auto"/>
            <w:right w:val="none" w:sz="0" w:space="0" w:color="auto"/>
          </w:divBdr>
        </w:div>
        <w:div w:id="407576641">
          <w:marLeft w:val="446"/>
          <w:marRight w:val="0"/>
          <w:marTop w:val="125"/>
          <w:marBottom w:val="0"/>
          <w:divBdr>
            <w:top w:val="none" w:sz="0" w:space="0" w:color="auto"/>
            <w:left w:val="none" w:sz="0" w:space="0" w:color="auto"/>
            <w:bottom w:val="none" w:sz="0" w:space="0" w:color="auto"/>
            <w:right w:val="none" w:sz="0" w:space="0" w:color="auto"/>
          </w:divBdr>
        </w:div>
        <w:div w:id="459304755">
          <w:marLeft w:val="446"/>
          <w:marRight w:val="0"/>
          <w:marTop w:val="125"/>
          <w:marBottom w:val="0"/>
          <w:divBdr>
            <w:top w:val="none" w:sz="0" w:space="0" w:color="auto"/>
            <w:left w:val="none" w:sz="0" w:space="0" w:color="auto"/>
            <w:bottom w:val="none" w:sz="0" w:space="0" w:color="auto"/>
            <w:right w:val="none" w:sz="0" w:space="0" w:color="auto"/>
          </w:divBdr>
        </w:div>
        <w:div w:id="494954912">
          <w:marLeft w:val="446"/>
          <w:marRight w:val="0"/>
          <w:marTop w:val="125"/>
          <w:marBottom w:val="0"/>
          <w:divBdr>
            <w:top w:val="none" w:sz="0" w:space="0" w:color="auto"/>
            <w:left w:val="none" w:sz="0" w:space="0" w:color="auto"/>
            <w:bottom w:val="none" w:sz="0" w:space="0" w:color="auto"/>
            <w:right w:val="none" w:sz="0" w:space="0" w:color="auto"/>
          </w:divBdr>
        </w:div>
        <w:div w:id="496649739">
          <w:marLeft w:val="446"/>
          <w:marRight w:val="0"/>
          <w:marTop w:val="125"/>
          <w:marBottom w:val="0"/>
          <w:divBdr>
            <w:top w:val="none" w:sz="0" w:space="0" w:color="auto"/>
            <w:left w:val="none" w:sz="0" w:space="0" w:color="auto"/>
            <w:bottom w:val="none" w:sz="0" w:space="0" w:color="auto"/>
            <w:right w:val="none" w:sz="0" w:space="0" w:color="auto"/>
          </w:divBdr>
        </w:div>
        <w:div w:id="519394702">
          <w:marLeft w:val="446"/>
          <w:marRight w:val="0"/>
          <w:marTop w:val="125"/>
          <w:marBottom w:val="0"/>
          <w:divBdr>
            <w:top w:val="none" w:sz="0" w:space="0" w:color="auto"/>
            <w:left w:val="none" w:sz="0" w:space="0" w:color="auto"/>
            <w:bottom w:val="none" w:sz="0" w:space="0" w:color="auto"/>
            <w:right w:val="none" w:sz="0" w:space="0" w:color="auto"/>
          </w:divBdr>
        </w:div>
        <w:div w:id="526678677">
          <w:marLeft w:val="1166"/>
          <w:marRight w:val="0"/>
          <w:marTop w:val="0"/>
          <w:marBottom w:val="0"/>
          <w:divBdr>
            <w:top w:val="none" w:sz="0" w:space="0" w:color="auto"/>
            <w:left w:val="none" w:sz="0" w:space="0" w:color="auto"/>
            <w:bottom w:val="none" w:sz="0" w:space="0" w:color="auto"/>
            <w:right w:val="none" w:sz="0" w:space="0" w:color="auto"/>
          </w:divBdr>
        </w:div>
        <w:div w:id="530916391">
          <w:marLeft w:val="446"/>
          <w:marRight w:val="0"/>
          <w:marTop w:val="125"/>
          <w:marBottom w:val="0"/>
          <w:divBdr>
            <w:top w:val="none" w:sz="0" w:space="0" w:color="auto"/>
            <w:left w:val="none" w:sz="0" w:space="0" w:color="auto"/>
            <w:bottom w:val="none" w:sz="0" w:space="0" w:color="auto"/>
            <w:right w:val="none" w:sz="0" w:space="0" w:color="auto"/>
          </w:divBdr>
        </w:div>
        <w:div w:id="546993484">
          <w:marLeft w:val="1166"/>
          <w:marRight w:val="0"/>
          <w:marTop w:val="125"/>
          <w:marBottom w:val="0"/>
          <w:divBdr>
            <w:top w:val="none" w:sz="0" w:space="0" w:color="auto"/>
            <w:left w:val="none" w:sz="0" w:space="0" w:color="auto"/>
            <w:bottom w:val="none" w:sz="0" w:space="0" w:color="auto"/>
            <w:right w:val="none" w:sz="0" w:space="0" w:color="auto"/>
          </w:divBdr>
        </w:div>
        <w:div w:id="547955018">
          <w:marLeft w:val="1166"/>
          <w:marRight w:val="0"/>
          <w:marTop w:val="0"/>
          <w:marBottom w:val="0"/>
          <w:divBdr>
            <w:top w:val="none" w:sz="0" w:space="0" w:color="auto"/>
            <w:left w:val="none" w:sz="0" w:space="0" w:color="auto"/>
            <w:bottom w:val="none" w:sz="0" w:space="0" w:color="auto"/>
            <w:right w:val="none" w:sz="0" w:space="0" w:color="auto"/>
          </w:divBdr>
        </w:div>
        <w:div w:id="547956682">
          <w:marLeft w:val="446"/>
          <w:marRight w:val="0"/>
          <w:marTop w:val="125"/>
          <w:marBottom w:val="0"/>
          <w:divBdr>
            <w:top w:val="none" w:sz="0" w:space="0" w:color="auto"/>
            <w:left w:val="none" w:sz="0" w:space="0" w:color="auto"/>
            <w:bottom w:val="none" w:sz="0" w:space="0" w:color="auto"/>
            <w:right w:val="none" w:sz="0" w:space="0" w:color="auto"/>
          </w:divBdr>
        </w:div>
        <w:div w:id="570314996">
          <w:marLeft w:val="446"/>
          <w:marRight w:val="0"/>
          <w:marTop w:val="125"/>
          <w:marBottom w:val="0"/>
          <w:divBdr>
            <w:top w:val="none" w:sz="0" w:space="0" w:color="auto"/>
            <w:left w:val="none" w:sz="0" w:space="0" w:color="auto"/>
            <w:bottom w:val="none" w:sz="0" w:space="0" w:color="auto"/>
            <w:right w:val="none" w:sz="0" w:space="0" w:color="auto"/>
          </w:divBdr>
        </w:div>
        <w:div w:id="581062858">
          <w:marLeft w:val="446"/>
          <w:marRight w:val="0"/>
          <w:marTop w:val="125"/>
          <w:marBottom w:val="0"/>
          <w:divBdr>
            <w:top w:val="none" w:sz="0" w:space="0" w:color="auto"/>
            <w:left w:val="none" w:sz="0" w:space="0" w:color="auto"/>
            <w:bottom w:val="none" w:sz="0" w:space="0" w:color="auto"/>
            <w:right w:val="none" w:sz="0" w:space="0" w:color="auto"/>
          </w:divBdr>
        </w:div>
        <w:div w:id="585262643">
          <w:marLeft w:val="446"/>
          <w:marRight w:val="0"/>
          <w:marTop w:val="125"/>
          <w:marBottom w:val="0"/>
          <w:divBdr>
            <w:top w:val="none" w:sz="0" w:space="0" w:color="auto"/>
            <w:left w:val="none" w:sz="0" w:space="0" w:color="auto"/>
            <w:bottom w:val="none" w:sz="0" w:space="0" w:color="auto"/>
            <w:right w:val="none" w:sz="0" w:space="0" w:color="auto"/>
          </w:divBdr>
        </w:div>
        <w:div w:id="587814897">
          <w:marLeft w:val="446"/>
          <w:marRight w:val="0"/>
          <w:marTop w:val="125"/>
          <w:marBottom w:val="0"/>
          <w:divBdr>
            <w:top w:val="none" w:sz="0" w:space="0" w:color="auto"/>
            <w:left w:val="none" w:sz="0" w:space="0" w:color="auto"/>
            <w:bottom w:val="none" w:sz="0" w:space="0" w:color="auto"/>
            <w:right w:val="none" w:sz="0" w:space="0" w:color="auto"/>
          </w:divBdr>
        </w:div>
        <w:div w:id="617033611">
          <w:marLeft w:val="1166"/>
          <w:marRight w:val="0"/>
          <w:marTop w:val="0"/>
          <w:marBottom w:val="0"/>
          <w:divBdr>
            <w:top w:val="none" w:sz="0" w:space="0" w:color="auto"/>
            <w:left w:val="none" w:sz="0" w:space="0" w:color="auto"/>
            <w:bottom w:val="none" w:sz="0" w:space="0" w:color="auto"/>
            <w:right w:val="none" w:sz="0" w:space="0" w:color="auto"/>
          </w:divBdr>
        </w:div>
        <w:div w:id="649672007">
          <w:marLeft w:val="1166"/>
          <w:marRight w:val="0"/>
          <w:marTop w:val="125"/>
          <w:marBottom w:val="0"/>
          <w:divBdr>
            <w:top w:val="none" w:sz="0" w:space="0" w:color="auto"/>
            <w:left w:val="none" w:sz="0" w:space="0" w:color="auto"/>
            <w:bottom w:val="none" w:sz="0" w:space="0" w:color="auto"/>
            <w:right w:val="none" w:sz="0" w:space="0" w:color="auto"/>
          </w:divBdr>
        </w:div>
        <w:div w:id="660886057">
          <w:marLeft w:val="1166"/>
          <w:marRight w:val="0"/>
          <w:marTop w:val="125"/>
          <w:marBottom w:val="0"/>
          <w:divBdr>
            <w:top w:val="none" w:sz="0" w:space="0" w:color="auto"/>
            <w:left w:val="none" w:sz="0" w:space="0" w:color="auto"/>
            <w:bottom w:val="none" w:sz="0" w:space="0" w:color="auto"/>
            <w:right w:val="none" w:sz="0" w:space="0" w:color="auto"/>
          </w:divBdr>
        </w:div>
        <w:div w:id="666055803">
          <w:marLeft w:val="1166"/>
          <w:marRight w:val="0"/>
          <w:marTop w:val="125"/>
          <w:marBottom w:val="0"/>
          <w:divBdr>
            <w:top w:val="none" w:sz="0" w:space="0" w:color="auto"/>
            <w:left w:val="none" w:sz="0" w:space="0" w:color="auto"/>
            <w:bottom w:val="none" w:sz="0" w:space="0" w:color="auto"/>
            <w:right w:val="none" w:sz="0" w:space="0" w:color="auto"/>
          </w:divBdr>
        </w:div>
        <w:div w:id="671373196">
          <w:marLeft w:val="446"/>
          <w:marRight w:val="0"/>
          <w:marTop w:val="125"/>
          <w:marBottom w:val="0"/>
          <w:divBdr>
            <w:top w:val="none" w:sz="0" w:space="0" w:color="auto"/>
            <w:left w:val="none" w:sz="0" w:space="0" w:color="auto"/>
            <w:bottom w:val="none" w:sz="0" w:space="0" w:color="auto"/>
            <w:right w:val="none" w:sz="0" w:space="0" w:color="auto"/>
          </w:divBdr>
        </w:div>
        <w:div w:id="683478735">
          <w:marLeft w:val="446"/>
          <w:marRight w:val="0"/>
          <w:marTop w:val="125"/>
          <w:marBottom w:val="0"/>
          <w:divBdr>
            <w:top w:val="none" w:sz="0" w:space="0" w:color="auto"/>
            <w:left w:val="none" w:sz="0" w:space="0" w:color="auto"/>
            <w:bottom w:val="none" w:sz="0" w:space="0" w:color="auto"/>
            <w:right w:val="none" w:sz="0" w:space="0" w:color="auto"/>
          </w:divBdr>
        </w:div>
        <w:div w:id="715200300">
          <w:marLeft w:val="1166"/>
          <w:marRight w:val="0"/>
          <w:marTop w:val="125"/>
          <w:marBottom w:val="0"/>
          <w:divBdr>
            <w:top w:val="none" w:sz="0" w:space="0" w:color="auto"/>
            <w:left w:val="none" w:sz="0" w:space="0" w:color="auto"/>
            <w:bottom w:val="none" w:sz="0" w:space="0" w:color="auto"/>
            <w:right w:val="none" w:sz="0" w:space="0" w:color="auto"/>
          </w:divBdr>
        </w:div>
        <w:div w:id="742525859">
          <w:marLeft w:val="446"/>
          <w:marRight w:val="0"/>
          <w:marTop w:val="125"/>
          <w:marBottom w:val="0"/>
          <w:divBdr>
            <w:top w:val="none" w:sz="0" w:space="0" w:color="auto"/>
            <w:left w:val="none" w:sz="0" w:space="0" w:color="auto"/>
            <w:bottom w:val="none" w:sz="0" w:space="0" w:color="auto"/>
            <w:right w:val="none" w:sz="0" w:space="0" w:color="auto"/>
          </w:divBdr>
        </w:div>
        <w:div w:id="763840750">
          <w:marLeft w:val="446"/>
          <w:marRight w:val="0"/>
          <w:marTop w:val="125"/>
          <w:marBottom w:val="0"/>
          <w:divBdr>
            <w:top w:val="none" w:sz="0" w:space="0" w:color="auto"/>
            <w:left w:val="none" w:sz="0" w:space="0" w:color="auto"/>
            <w:bottom w:val="none" w:sz="0" w:space="0" w:color="auto"/>
            <w:right w:val="none" w:sz="0" w:space="0" w:color="auto"/>
          </w:divBdr>
        </w:div>
        <w:div w:id="774327645">
          <w:marLeft w:val="446"/>
          <w:marRight w:val="0"/>
          <w:marTop w:val="125"/>
          <w:marBottom w:val="0"/>
          <w:divBdr>
            <w:top w:val="none" w:sz="0" w:space="0" w:color="auto"/>
            <w:left w:val="none" w:sz="0" w:space="0" w:color="auto"/>
            <w:bottom w:val="none" w:sz="0" w:space="0" w:color="auto"/>
            <w:right w:val="none" w:sz="0" w:space="0" w:color="auto"/>
          </w:divBdr>
        </w:div>
        <w:div w:id="837189429">
          <w:marLeft w:val="446"/>
          <w:marRight w:val="0"/>
          <w:marTop w:val="125"/>
          <w:marBottom w:val="0"/>
          <w:divBdr>
            <w:top w:val="none" w:sz="0" w:space="0" w:color="auto"/>
            <w:left w:val="none" w:sz="0" w:space="0" w:color="auto"/>
            <w:bottom w:val="none" w:sz="0" w:space="0" w:color="auto"/>
            <w:right w:val="none" w:sz="0" w:space="0" w:color="auto"/>
          </w:divBdr>
        </w:div>
        <w:div w:id="838084997">
          <w:marLeft w:val="446"/>
          <w:marRight w:val="0"/>
          <w:marTop w:val="125"/>
          <w:marBottom w:val="0"/>
          <w:divBdr>
            <w:top w:val="none" w:sz="0" w:space="0" w:color="auto"/>
            <w:left w:val="none" w:sz="0" w:space="0" w:color="auto"/>
            <w:bottom w:val="none" w:sz="0" w:space="0" w:color="auto"/>
            <w:right w:val="none" w:sz="0" w:space="0" w:color="auto"/>
          </w:divBdr>
        </w:div>
        <w:div w:id="865404657">
          <w:marLeft w:val="446"/>
          <w:marRight w:val="0"/>
          <w:marTop w:val="125"/>
          <w:marBottom w:val="0"/>
          <w:divBdr>
            <w:top w:val="none" w:sz="0" w:space="0" w:color="auto"/>
            <w:left w:val="none" w:sz="0" w:space="0" w:color="auto"/>
            <w:bottom w:val="none" w:sz="0" w:space="0" w:color="auto"/>
            <w:right w:val="none" w:sz="0" w:space="0" w:color="auto"/>
          </w:divBdr>
        </w:div>
        <w:div w:id="902443528">
          <w:marLeft w:val="446"/>
          <w:marRight w:val="0"/>
          <w:marTop w:val="125"/>
          <w:marBottom w:val="0"/>
          <w:divBdr>
            <w:top w:val="none" w:sz="0" w:space="0" w:color="auto"/>
            <w:left w:val="none" w:sz="0" w:space="0" w:color="auto"/>
            <w:bottom w:val="none" w:sz="0" w:space="0" w:color="auto"/>
            <w:right w:val="none" w:sz="0" w:space="0" w:color="auto"/>
          </w:divBdr>
        </w:div>
        <w:div w:id="915407348">
          <w:marLeft w:val="1166"/>
          <w:marRight w:val="0"/>
          <w:marTop w:val="0"/>
          <w:marBottom w:val="0"/>
          <w:divBdr>
            <w:top w:val="none" w:sz="0" w:space="0" w:color="auto"/>
            <w:left w:val="none" w:sz="0" w:space="0" w:color="auto"/>
            <w:bottom w:val="none" w:sz="0" w:space="0" w:color="auto"/>
            <w:right w:val="none" w:sz="0" w:space="0" w:color="auto"/>
          </w:divBdr>
        </w:div>
        <w:div w:id="947467193">
          <w:marLeft w:val="446"/>
          <w:marRight w:val="0"/>
          <w:marTop w:val="125"/>
          <w:marBottom w:val="0"/>
          <w:divBdr>
            <w:top w:val="none" w:sz="0" w:space="0" w:color="auto"/>
            <w:left w:val="none" w:sz="0" w:space="0" w:color="auto"/>
            <w:bottom w:val="none" w:sz="0" w:space="0" w:color="auto"/>
            <w:right w:val="none" w:sz="0" w:space="0" w:color="auto"/>
          </w:divBdr>
        </w:div>
        <w:div w:id="954170450">
          <w:marLeft w:val="446"/>
          <w:marRight w:val="0"/>
          <w:marTop w:val="125"/>
          <w:marBottom w:val="0"/>
          <w:divBdr>
            <w:top w:val="none" w:sz="0" w:space="0" w:color="auto"/>
            <w:left w:val="none" w:sz="0" w:space="0" w:color="auto"/>
            <w:bottom w:val="none" w:sz="0" w:space="0" w:color="auto"/>
            <w:right w:val="none" w:sz="0" w:space="0" w:color="auto"/>
          </w:divBdr>
        </w:div>
        <w:div w:id="956522756">
          <w:marLeft w:val="1166"/>
          <w:marRight w:val="0"/>
          <w:marTop w:val="125"/>
          <w:marBottom w:val="0"/>
          <w:divBdr>
            <w:top w:val="none" w:sz="0" w:space="0" w:color="auto"/>
            <w:left w:val="none" w:sz="0" w:space="0" w:color="auto"/>
            <w:bottom w:val="none" w:sz="0" w:space="0" w:color="auto"/>
            <w:right w:val="none" w:sz="0" w:space="0" w:color="auto"/>
          </w:divBdr>
        </w:div>
        <w:div w:id="975642920">
          <w:marLeft w:val="1166"/>
          <w:marRight w:val="0"/>
          <w:marTop w:val="125"/>
          <w:marBottom w:val="0"/>
          <w:divBdr>
            <w:top w:val="none" w:sz="0" w:space="0" w:color="auto"/>
            <w:left w:val="none" w:sz="0" w:space="0" w:color="auto"/>
            <w:bottom w:val="none" w:sz="0" w:space="0" w:color="auto"/>
            <w:right w:val="none" w:sz="0" w:space="0" w:color="auto"/>
          </w:divBdr>
        </w:div>
        <w:div w:id="1015813606">
          <w:marLeft w:val="1166"/>
          <w:marRight w:val="0"/>
          <w:marTop w:val="0"/>
          <w:marBottom w:val="0"/>
          <w:divBdr>
            <w:top w:val="none" w:sz="0" w:space="0" w:color="auto"/>
            <w:left w:val="none" w:sz="0" w:space="0" w:color="auto"/>
            <w:bottom w:val="none" w:sz="0" w:space="0" w:color="auto"/>
            <w:right w:val="none" w:sz="0" w:space="0" w:color="auto"/>
          </w:divBdr>
        </w:div>
        <w:div w:id="1027221010">
          <w:marLeft w:val="446"/>
          <w:marRight w:val="0"/>
          <w:marTop w:val="125"/>
          <w:marBottom w:val="0"/>
          <w:divBdr>
            <w:top w:val="none" w:sz="0" w:space="0" w:color="auto"/>
            <w:left w:val="none" w:sz="0" w:space="0" w:color="auto"/>
            <w:bottom w:val="none" w:sz="0" w:space="0" w:color="auto"/>
            <w:right w:val="none" w:sz="0" w:space="0" w:color="auto"/>
          </w:divBdr>
        </w:div>
        <w:div w:id="1037698983">
          <w:marLeft w:val="446"/>
          <w:marRight w:val="0"/>
          <w:marTop w:val="125"/>
          <w:marBottom w:val="0"/>
          <w:divBdr>
            <w:top w:val="none" w:sz="0" w:space="0" w:color="auto"/>
            <w:left w:val="none" w:sz="0" w:space="0" w:color="auto"/>
            <w:bottom w:val="none" w:sz="0" w:space="0" w:color="auto"/>
            <w:right w:val="none" w:sz="0" w:space="0" w:color="auto"/>
          </w:divBdr>
        </w:div>
        <w:div w:id="1048146191">
          <w:marLeft w:val="446"/>
          <w:marRight w:val="0"/>
          <w:marTop w:val="125"/>
          <w:marBottom w:val="0"/>
          <w:divBdr>
            <w:top w:val="none" w:sz="0" w:space="0" w:color="auto"/>
            <w:left w:val="none" w:sz="0" w:space="0" w:color="auto"/>
            <w:bottom w:val="none" w:sz="0" w:space="0" w:color="auto"/>
            <w:right w:val="none" w:sz="0" w:space="0" w:color="auto"/>
          </w:divBdr>
        </w:div>
        <w:div w:id="1109468971">
          <w:marLeft w:val="446"/>
          <w:marRight w:val="0"/>
          <w:marTop w:val="125"/>
          <w:marBottom w:val="0"/>
          <w:divBdr>
            <w:top w:val="none" w:sz="0" w:space="0" w:color="auto"/>
            <w:left w:val="none" w:sz="0" w:space="0" w:color="auto"/>
            <w:bottom w:val="none" w:sz="0" w:space="0" w:color="auto"/>
            <w:right w:val="none" w:sz="0" w:space="0" w:color="auto"/>
          </w:divBdr>
        </w:div>
        <w:div w:id="1110471471">
          <w:marLeft w:val="446"/>
          <w:marRight w:val="0"/>
          <w:marTop w:val="125"/>
          <w:marBottom w:val="0"/>
          <w:divBdr>
            <w:top w:val="none" w:sz="0" w:space="0" w:color="auto"/>
            <w:left w:val="none" w:sz="0" w:space="0" w:color="auto"/>
            <w:bottom w:val="none" w:sz="0" w:space="0" w:color="auto"/>
            <w:right w:val="none" w:sz="0" w:space="0" w:color="auto"/>
          </w:divBdr>
        </w:div>
        <w:div w:id="1132089291">
          <w:marLeft w:val="1166"/>
          <w:marRight w:val="0"/>
          <w:marTop w:val="125"/>
          <w:marBottom w:val="0"/>
          <w:divBdr>
            <w:top w:val="none" w:sz="0" w:space="0" w:color="auto"/>
            <w:left w:val="none" w:sz="0" w:space="0" w:color="auto"/>
            <w:bottom w:val="none" w:sz="0" w:space="0" w:color="auto"/>
            <w:right w:val="none" w:sz="0" w:space="0" w:color="auto"/>
          </w:divBdr>
        </w:div>
        <w:div w:id="1181578752">
          <w:marLeft w:val="1166"/>
          <w:marRight w:val="0"/>
          <w:marTop w:val="0"/>
          <w:marBottom w:val="120"/>
          <w:divBdr>
            <w:top w:val="none" w:sz="0" w:space="0" w:color="auto"/>
            <w:left w:val="none" w:sz="0" w:space="0" w:color="auto"/>
            <w:bottom w:val="none" w:sz="0" w:space="0" w:color="auto"/>
            <w:right w:val="none" w:sz="0" w:space="0" w:color="auto"/>
          </w:divBdr>
        </w:div>
        <w:div w:id="1186407001">
          <w:marLeft w:val="446"/>
          <w:marRight w:val="0"/>
          <w:marTop w:val="125"/>
          <w:marBottom w:val="0"/>
          <w:divBdr>
            <w:top w:val="none" w:sz="0" w:space="0" w:color="auto"/>
            <w:left w:val="none" w:sz="0" w:space="0" w:color="auto"/>
            <w:bottom w:val="none" w:sz="0" w:space="0" w:color="auto"/>
            <w:right w:val="none" w:sz="0" w:space="0" w:color="auto"/>
          </w:divBdr>
        </w:div>
        <w:div w:id="1242981041">
          <w:marLeft w:val="446"/>
          <w:marRight w:val="0"/>
          <w:marTop w:val="125"/>
          <w:marBottom w:val="0"/>
          <w:divBdr>
            <w:top w:val="none" w:sz="0" w:space="0" w:color="auto"/>
            <w:left w:val="none" w:sz="0" w:space="0" w:color="auto"/>
            <w:bottom w:val="none" w:sz="0" w:space="0" w:color="auto"/>
            <w:right w:val="none" w:sz="0" w:space="0" w:color="auto"/>
          </w:divBdr>
        </w:div>
        <w:div w:id="1275359420">
          <w:marLeft w:val="446"/>
          <w:marRight w:val="0"/>
          <w:marTop w:val="125"/>
          <w:marBottom w:val="0"/>
          <w:divBdr>
            <w:top w:val="none" w:sz="0" w:space="0" w:color="auto"/>
            <w:left w:val="none" w:sz="0" w:space="0" w:color="auto"/>
            <w:bottom w:val="none" w:sz="0" w:space="0" w:color="auto"/>
            <w:right w:val="none" w:sz="0" w:space="0" w:color="auto"/>
          </w:divBdr>
        </w:div>
        <w:div w:id="1299842863">
          <w:marLeft w:val="1166"/>
          <w:marRight w:val="0"/>
          <w:marTop w:val="0"/>
          <w:marBottom w:val="0"/>
          <w:divBdr>
            <w:top w:val="none" w:sz="0" w:space="0" w:color="auto"/>
            <w:left w:val="none" w:sz="0" w:space="0" w:color="auto"/>
            <w:bottom w:val="none" w:sz="0" w:space="0" w:color="auto"/>
            <w:right w:val="none" w:sz="0" w:space="0" w:color="auto"/>
          </w:divBdr>
        </w:div>
        <w:div w:id="1302345247">
          <w:marLeft w:val="1166"/>
          <w:marRight w:val="0"/>
          <w:marTop w:val="125"/>
          <w:marBottom w:val="0"/>
          <w:divBdr>
            <w:top w:val="none" w:sz="0" w:space="0" w:color="auto"/>
            <w:left w:val="none" w:sz="0" w:space="0" w:color="auto"/>
            <w:bottom w:val="none" w:sz="0" w:space="0" w:color="auto"/>
            <w:right w:val="none" w:sz="0" w:space="0" w:color="auto"/>
          </w:divBdr>
        </w:div>
        <w:div w:id="1303923629">
          <w:marLeft w:val="446"/>
          <w:marRight w:val="0"/>
          <w:marTop w:val="125"/>
          <w:marBottom w:val="0"/>
          <w:divBdr>
            <w:top w:val="none" w:sz="0" w:space="0" w:color="auto"/>
            <w:left w:val="none" w:sz="0" w:space="0" w:color="auto"/>
            <w:bottom w:val="none" w:sz="0" w:space="0" w:color="auto"/>
            <w:right w:val="none" w:sz="0" w:space="0" w:color="auto"/>
          </w:divBdr>
        </w:div>
        <w:div w:id="1314260973">
          <w:marLeft w:val="446"/>
          <w:marRight w:val="0"/>
          <w:marTop w:val="125"/>
          <w:marBottom w:val="0"/>
          <w:divBdr>
            <w:top w:val="none" w:sz="0" w:space="0" w:color="auto"/>
            <w:left w:val="none" w:sz="0" w:space="0" w:color="auto"/>
            <w:bottom w:val="none" w:sz="0" w:space="0" w:color="auto"/>
            <w:right w:val="none" w:sz="0" w:space="0" w:color="auto"/>
          </w:divBdr>
        </w:div>
        <w:div w:id="1333415218">
          <w:marLeft w:val="1166"/>
          <w:marRight w:val="0"/>
          <w:marTop w:val="125"/>
          <w:marBottom w:val="0"/>
          <w:divBdr>
            <w:top w:val="none" w:sz="0" w:space="0" w:color="auto"/>
            <w:left w:val="none" w:sz="0" w:space="0" w:color="auto"/>
            <w:bottom w:val="none" w:sz="0" w:space="0" w:color="auto"/>
            <w:right w:val="none" w:sz="0" w:space="0" w:color="auto"/>
          </w:divBdr>
        </w:div>
        <w:div w:id="1360013311">
          <w:marLeft w:val="446"/>
          <w:marRight w:val="0"/>
          <w:marTop w:val="125"/>
          <w:marBottom w:val="0"/>
          <w:divBdr>
            <w:top w:val="none" w:sz="0" w:space="0" w:color="auto"/>
            <w:left w:val="none" w:sz="0" w:space="0" w:color="auto"/>
            <w:bottom w:val="none" w:sz="0" w:space="0" w:color="auto"/>
            <w:right w:val="none" w:sz="0" w:space="0" w:color="auto"/>
          </w:divBdr>
        </w:div>
        <w:div w:id="1364941127">
          <w:marLeft w:val="1166"/>
          <w:marRight w:val="0"/>
          <w:marTop w:val="125"/>
          <w:marBottom w:val="0"/>
          <w:divBdr>
            <w:top w:val="none" w:sz="0" w:space="0" w:color="auto"/>
            <w:left w:val="none" w:sz="0" w:space="0" w:color="auto"/>
            <w:bottom w:val="none" w:sz="0" w:space="0" w:color="auto"/>
            <w:right w:val="none" w:sz="0" w:space="0" w:color="auto"/>
          </w:divBdr>
        </w:div>
        <w:div w:id="1401904357">
          <w:marLeft w:val="446"/>
          <w:marRight w:val="0"/>
          <w:marTop w:val="125"/>
          <w:marBottom w:val="0"/>
          <w:divBdr>
            <w:top w:val="none" w:sz="0" w:space="0" w:color="auto"/>
            <w:left w:val="none" w:sz="0" w:space="0" w:color="auto"/>
            <w:bottom w:val="none" w:sz="0" w:space="0" w:color="auto"/>
            <w:right w:val="none" w:sz="0" w:space="0" w:color="auto"/>
          </w:divBdr>
        </w:div>
        <w:div w:id="1452284413">
          <w:marLeft w:val="1166"/>
          <w:marRight w:val="0"/>
          <w:marTop w:val="125"/>
          <w:marBottom w:val="0"/>
          <w:divBdr>
            <w:top w:val="none" w:sz="0" w:space="0" w:color="auto"/>
            <w:left w:val="none" w:sz="0" w:space="0" w:color="auto"/>
            <w:bottom w:val="none" w:sz="0" w:space="0" w:color="auto"/>
            <w:right w:val="none" w:sz="0" w:space="0" w:color="auto"/>
          </w:divBdr>
        </w:div>
        <w:div w:id="1462458309">
          <w:marLeft w:val="1166"/>
          <w:marRight w:val="0"/>
          <w:marTop w:val="125"/>
          <w:marBottom w:val="0"/>
          <w:divBdr>
            <w:top w:val="none" w:sz="0" w:space="0" w:color="auto"/>
            <w:left w:val="none" w:sz="0" w:space="0" w:color="auto"/>
            <w:bottom w:val="none" w:sz="0" w:space="0" w:color="auto"/>
            <w:right w:val="none" w:sz="0" w:space="0" w:color="auto"/>
          </w:divBdr>
        </w:div>
        <w:div w:id="1465810838">
          <w:marLeft w:val="446"/>
          <w:marRight w:val="0"/>
          <w:marTop w:val="125"/>
          <w:marBottom w:val="0"/>
          <w:divBdr>
            <w:top w:val="none" w:sz="0" w:space="0" w:color="auto"/>
            <w:left w:val="none" w:sz="0" w:space="0" w:color="auto"/>
            <w:bottom w:val="none" w:sz="0" w:space="0" w:color="auto"/>
            <w:right w:val="none" w:sz="0" w:space="0" w:color="auto"/>
          </w:divBdr>
        </w:div>
        <w:div w:id="1468161327">
          <w:marLeft w:val="1166"/>
          <w:marRight w:val="0"/>
          <w:marTop w:val="125"/>
          <w:marBottom w:val="0"/>
          <w:divBdr>
            <w:top w:val="none" w:sz="0" w:space="0" w:color="auto"/>
            <w:left w:val="none" w:sz="0" w:space="0" w:color="auto"/>
            <w:bottom w:val="none" w:sz="0" w:space="0" w:color="auto"/>
            <w:right w:val="none" w:sz="0" w:space="0" w:color="auto"/>
          </w:divBdr>
        </w:div>
        <w:div w:id="1494370235">
          <w:marLeft w:val="446"/>
          <w:marRight w:val="0"/>
          <w:marTop w:val="125"/>
          <w:marBottom w:val="0"/>
          <w:divBdr>
            <w:top w:val="none" w:sz="0" w:space="0" w:color="auto"/>
            <w:left w:val="none" w:sz="0" w:space="0" w:color="auto"/>
            <w:bottom w:val="none" w:sz="0" w:space="0" w:color="auto"/>
            <w:right w:val="none" w:sz="0" w:space="0" w:color="auto"/>
          </w:divBdr>
        </w:div>
        <w:div w:id="1512525927">
          <w:marLeft w:val="446"/>
          <w:marRight w:val="0"/>
          <w:marTop w:val="125"/>
          <w:marBottom w:val="0"/>
          <w:divBdr>
            <w:top w:val="none" w:sz="0" w:space="0" w:color="auto"/>
            <w:left w:val="none" w:sz="0" w:space="0" w:color="auto"/>
            <w:bottom w:val="none" w:sz="0" w:space="0" w:color="auto"/>
            <w:right w:val="none" w:sz="0" w:space="0" w:color="auto"/>
          </w:divBdr>
        </w:div>
        <w:div w:id="1514223742">
          <w:marLeft w:val="446"/>
          <w:marRight w:val="0"/>
          <w:marTop w:val="125"/>
          <w:marBottom w:val="0"/>
          <w:divBdr>
            <w:top w:val="none" w:sz="0" w:space="0" w:color="auto"/>
            <w:left w:val="none" w:sz="0" w:space="0" w:color="auto"/>
            <w:bottom w:val="none" w:sz="0" w:space="0" w:color="auto"/>
            <w:right w:val="none" w:sz="0" w:space="0" w:color="auto"/>
          </w:divBdr>
        </w:div>
        <w:div w:id="1664812865">
          <w:marLeft w:val="446"/>
          <w:marRight w:val="0"/>
          <w:marTop w:val="125"/>
          <w:marBottom w:val="0"/>
          <w:divBdr>
            <w:top w:val="none" w:sz="0" w:space="0" w:color="auto"/>
            <w:left w:val="none" w:sz="0" w:space="0" w:color="auto"/>
            <w:bottom w:val="none" w:sz="0" w:space="0" w:color="auto"/>
            <w:right w:val="none" w:sz="0" w:space="0" w:color="auto"/>
          </w:divBdr>
        </w:div>
        <w:div w:id="1727218515">
          <w:marLeft w:val="446"/>
          <w:marRight w:val="0"/>
          <w:marTop w:val="125"/>
          <w:marBottom w:val="0"/>
          <w:divBdr>
            <w:top w:val="none" w:sz="0" w:space="0" w:color="auto"/>
            <w:left w:val="none" w:sz="0" w:space="0" w:color="auto"/>
            <w:bottom w:val="none" w:sz="0" w:space="0" w:color="auto"/>
            <w:right w:val="none" w:sz="0" w:space="0" w:color="auto"/>
          </w:divBdr>
        </w:div>
        <w:div w:id="1732194886">
          <w:marLeft w:val="446"/>
          <w:marRight w:val="0"/>
          <w:marTop w:val="125"/>
          <w:marBottom w:val="0"/>
          <w:divBdr>
            <w:top w:val="none" w:sz="0" w:space="0" w:color="auto"/>
            <w:left w:val="none" w:sz="0" w:space="0" w:color="auto"/>
            <w:bottom w:val="none" w:sz="0" w:space="0" w:color="auto"/>
            <w:right w:val="none" w:sz="0" w:space="0" w:color="auto"/>
          </w:divBdr>
        </w:div>
        <w:div w:id="1734741919">
          <w:marLeft w:val="1166"/>
          <w:marRight w:val="0"/>
          <w:marTop w:val="125"/>
          <w:marBottom w:val="0"/>
          <w:divBdr>
            <w:top w:val="none" w:sz="0" w:space="0" w:color="auto"/>
            <w:left w:val="none" w:sz="0" w:space="0" w:color="auto"/>
            <w:bottom w:val="none" w:sz="0" w:space="0" w:color="auto"/>
            <w:right w:val="none" w:sz="0" w:space="0" w:color="auto"/>
          </w:divBdr>
        </w:div>
        <w:div w:id="1755665429">
          <w:marLeft w:val="446"/>
          <w:marRight w:val="0"/>
          <w:marTop w:val="125"/>
          <w:marBottom w:val="0"/>
          <w:divBdr>
            <w:top w:val="none" w:sz="0" w:space="0" w:color="auto"/>
            <w:left w:val="none" w:sz="0" w:space="0" w:color="auto"/>
            <w:bottom w:val="none" w:sz="0" w:space="0" w:color="auto"/>
            <w:right w:val="none" w:sz="0" w:space="0" w:color="auto"/>
          </w:divBdr>
        </w:div>
        <w:div w:id="1763913527">
          <w:marLeft w:val="446"/>
          <w:marRight w:val="0"/>
          <w:marTop w:val="125"/>
          <w:marBottom w:val="0"/>
          <w:divBdr>
            <w:top w:val="none" w:sz="0" w:space="0" w:color="auto"/>
            <w:left w:val="none" w:sz="0" w:space="0" w:color="auto"/>
            <w:bottom w:val="none" w:sz="0" w:space="0" w:color="auto"/>
            <w:right w:val="none" w:sz="0" w:space="0" w:color="auto"/>
          </w:divBdr>
        </w:div>
        <w:div w:id="1804611704">
          <w:marLeft w:val="446"/>
          <w:marRight w:val="0"/>
          <w:marTop w:val="125"/>
          <w:marBottom w:val="0"/>
          <w:divBdr>
            <w:top w:val="none" w:sz="0" w:space="0" w:color="auto"/>
            <w:left w:val="none" w:sz="0" w:space="0" w:color="auto"/>
            <w:bottom w:val="none" w:sz="0" w:space="0" w:color="auto"/>
            <w:right w:val="none" w:sz="0" w:space="0" w:color="auto"/>
          </w:divBdr>
        </w:div>
        <w:div w:id="1818303515">
          <w:marLeft w:val="1166"/>
          <w:marRight w:val="0"/>
          <w:marTop w:val="125"/>
          <w:marBottom w:val="0"/>
          <w:divBdr>
            <w:top w:val="none" w:sz="0" w:space="0" w:color="auto"/>
            <w:left w:val="none" w:sz="0" w:space="0" w:color="auto"/>
            <w:bottom w:val="none" w:sz="0" w:space="0" w:color="auto"/>
            <w:right w:val="none" w:sz="0" w:space="0" w:color="auto"/>
          </w:divBdr>
        </w:div>
        <w:div w:id="1822622550">
          <w:marLeft w:val="446"/>
          <w:marRight w:val="0"/>
          <w:marTop w:val="125"/>
          <w:marBottom w:val="0"/>
          <w:divBdr>
            <w:top w:val="none" w:sz="0" w:space="0" w:color="auto"/>
            <w:left w:val="none" w:sz="0" w:space="0" w:color="auto"/>
            <w:bottom w:val="none" w:sz="0" w:space="0" w:color="auto"/>
            <w:right w:val="none" w:sz="0" w:space="0" w:color="auto"/>
          </w:divBdr>
        </w:div>
        <w:div w:id="1842040926">
          <w:marLeft w:val="446"/>
          <w:marRight w:val="0"/>
          <w:marTop w:val="125"/>
          <w:marBottom w:val="0"/>
          <w:divBdr>
            <w:top w:val="none" w:sz="0" w:space="0" w:color="auto"/>
            <w:left w:val="none" w:sz="0" w:space="0" w:color="auto"/>
            <w:bottom w:val="none" w:sz="0" w:space="0" w:color="auto"/>
            <w:right w:val="none" w:sz="0" w:space="0" w:color="auto"/>
          </w:divBdr>
        </w:div>
        <w:div w:id="1857770744">
          <w:marLeft w:val="446"/>
          <w:marRight w:val="0"/>
          <w:marTop w:val="125"/>
          <w:marBottom w:val="0"/>
          <w:divBdr>
            <w:top w:val="none" w:sz="0" w:space="0" w:color="auto"/>
            <w:left w:val="none" w:sz="0" w:space="0" w:color="auto"/>
            <w:bottom w:val="none" w:sz="0" w:space="0" w:color="auto"/>
            <w:right w:val="none" w:sz="0" w:space="0" w:color="auto"/>
          </w:divBdr>
        </w:div>
        <w:div w:id="1886872826">
          <w:marLeft w:val="446"/>
          <w:marRight w:val="0"/>
          <w:marTop w:val="125"/>
          <w:marBottom w:val="0"/>
          <w:divBdr>
            <w:top w:val="none" w:sz="0" w:space="0" w:color="auto"/>
            <w:left w:val="none" w:sz="0" w:space="0" w:color="auto"/>
            <w:bottom w:val="none" w:sz="0" w:space="0" w:color="auto"/>
            <w:right w:val="none" w:sz="0" w:space="0" w:color="auto"/>
          </w:divBdr>
        </w:div>
        <w:div w:id="1912499400">
          <w:marLeft w:val="446"/>
          <w:marRight w:val="0"/>
          <w:marTop w:val="125"/>
          <w:marBottom w:val="0"/>
          <w:divBdr>
            <w:top w:val="none" w:sz="0" w:space="0" w:color="auto"/>
            <w:left w:val="none" w:sz="0" w:space="0" w:color="auto"/>
            <w:bottom w:val="none" w:sz="0" w:space="0" w:color="auto"/>
            <w:right w:val="none" w:sz="0" w:space="0" w:color="auto"/>
          </w:divBdr>
        </w:div>
        <w:div w:id="1960145006">
          <w:marLeft w:val="446"/>
          <w:marRight w:val="0"/>
          <w:marTop w:val="125"/>
          <w:marBottom w:val="0"/>
          <w:divBdr>
            <w:top w:val="none" w:sz="0" w:space="0" w:color="auto"/>
            <w:left w:val="none" w:sz="0" w:space="0" w:color="auto"/>
            <w:bottom w:val="none" w:sz="0" w:space="0" w:color="auto"/>
            <w:right w:val="none" w:sz="0" w:space="0" w:color="auto"/>
          </w:divBdr>
        </w:div>
        <w:div w:id="1970549355">
          <w:marLeft w:val="1166"/>
          <w:marRight w:val="0"/>
          <w:marTop w:val="0"/>
          <w:marBottom w:val="0"/>
          <w:divBdr>
            <w:top w:val="none" w:sz="0" w:space="0" w:color="auto"/>
            <w:left w:val="none" w:sz="0" w:space="0" w:color="auto"/>
            <w:bottom w:val="none" w:sz="0" w:space="0" w:color="auto"/>
            <w:right w:val="none" w:sz="0" w:space="0" w:color="auto"/>
          </w:divBdr>
        </w:div>
        <w:div w:id="1983806437">
          <w:marLeft w:val="1166"/>
          <w:marRight w:val="0"/>
          <w:marTop w:val="0"/>
          <w:marBottom w:val="0"/>
          <w:divBdr>
            <w:top w:val="none" w:sz="0" w:space="0" w:color="auto"/>
            <w:left w:val="none" w:sz="0" w:space="0" w:color="auto"/>
            <w:bottom w:val="none" w:sz="0" w:space="0" w:color="auto"/>
            <w:right w:val="none" w:sz="0" w:space="0" w:color="auto"/>
          </w:divBdr>
        </w:div>
        <w:div w:id="1999188678">
          <w:marLeft w:val="446"/>
          <w:marRight w:val="0"/>
          <w:marTop w:val="125"/>
          <w:marBottom w:val="0"/>
          <w:divBdr>
            <w:top w:val="none" w:sz="0" w:space="0" w:color="auto"/>
            <w:left w:val="none" w:sz="0" w:space="0" w:color="auto"/>
            <w:bottom w:val="none" w:sz="0" w:space="0" w:color="auto"/>
            <w:right w:val="none" w:sz="0" w:space="0" w:color="auto"/>
          </w:divBdr>
        </w:div>
        <w:div w:id="2003771446">
          <w:marLeft w:val="1166"/>
          <w:marRight w:val="0"/>
          <w:marTop w:val="0"/>
          <w:marBottom w:val="0"/>
          <w:divBdr>
            <w:top w:val="none" w:sz="0" w:space="0" w:color="auto"/>
            <w:left w:val="none" w:sz="0" w:space="0" w:color="auto"/>
            <w:bottom w:val="none" w:sz="0" w:space="0" w:color="auto"/>
            <w:right w:val="none" w:sz="0" w:space="0" w:color="auto"/>
          </w:divBdr>
        </w:div>
        <w:div w:id="2004116481">
          <w:marLeft w:val="446"/>
          <w:marRight w:val="0"/>
          <w:marTop w:val="125"/>
          <w:marBottom w:val="0"/>
          <w:divBdr>
            <w:top w:val="none" w:sz="0" w:space="0" w:color="auto"/>
            <w:left w:val="none" w:sz="0" w:space="0" w:color="auto"/>
            <w:bottom w:val="none" w:sz="0" w:space="0" w:color="auto"/>
            <w:right w:val="none" w:sz="0" w:space="0" w:color="auto"/>
          </w:divBdr>
        </w:div>
        <w:div w:id="2004354993">
          <w:marLeft w:val="1166"/>
          <w:marRight w:val="0"/>
          <w:marTop w:val="0"/>
          <w:marBottom w:val="0"/>
          <w:divBdr>
            <w:top w:val="none" w:sz="0" w:space="0" w:color="auto"/>
            <w:left w:val="none" w:sz="0" w:space="0" w:color="auto"/>
            <w:bottom w:val="none" w:sz="0" w:space="0" w:color="auto"/>
            <w:right w:val="none" w:sz="0" w:space="0" w:color="auto"/>
          </w:divBdr>
        </w:div>
        <w:div w:id="2041471243">
          <w:marLeft w:val="446"/>
          <w:marRight w:val="0"/>
          <w:marTop w:val="125"/>
          <w:marBottom w:val="0"/>
          <w:divBdr>
            <w:top w:val="none" w:sz="0" w:space="0" w:color="auto"/>
            <w:left w:val="none" w:sz="0" w:space="0" w:color="auto"/>
            <w:bottom w:val="none" w:sz="0" w:space="0" w:color="auto"/>
            <w:right w:val="none" w:sz="0" w:space="0" w:color="auto"/>
          </w:divBdr>
        </w:div>
        <w:div w:id="2069575161">
          <w:marLeft w:val="446"/>
          <w:marRight w:val="0"/>
          <w:marTop w:val="125"/>
          <w:marBottom w:val="0"/>
          <w:divBdr>
            <w:top w:val="none" w:sz="0" w:space="0" w:color="auto"/>
            <w:left w:val="none" w:sz="0" w:space="0" w:color="auto"/>
            <w:bottom w:val="none" w:sz="0" w:space="0" w:color="auto"/>
            <w:right w:val="none" w:sz="0" w:space="0" w:color="auto"/>
          </w:divBdr>
        </w:div>
        <w:div w:id="2089963708">
          <w:marLeft w:val="446"/>
          <w:marRight w:val="0"/>
          <w:marTop w:val="125"/>
          <w:marBottom w:val="0"/>
          <w:divBdr>
            <w:top w:val="none" w:sz="0" w:space="0" w:color="auto"/>
            <w:left w:val="none" w:sz="0" w:space="0" w:color="auto"/>
            <w:bottom w:val="none" w:sz="0" w:space="0" w:color="auto"/>
            <w:right w:val="none" w:sz="0" w:space="0" w:color="auto"/>
          </w:divBdr>
        </w:div>
        <w:div w:id="2109547058">
          <w:marLeft w:val="446"/>
          <w:marRight w:val="0"/>
          <w:marTop w:val="125"/>
          <w:marBottom w:val="0"/>
          <w:divBdr>
            <w:top w:val="none" w:sz="0" w:space="0" w:color="auto"/>
            <w:left w:val="none" w:sz="0" w:space="0" w:color="auto"/>
            <w:bottom w:val="none" w:sz="0" w:space="0" w:color="auto"/>
            <w:right w:val="none" w:sz="0" w:space="0" w:color="auto"/>
          </w:divBdr>
        </w:div>
        <w:div w:id="2114787172">
          <w:marLeft w:val="446"/>
          <w:marRight w:val="0"/>
          <w:marTop w:val="125"/>
          <w:marBottom w:val="0"/>
          <w:divBdr>
            <w:top w:val="none" w:sz="0" w:space="0" w:color="auto"/>
            <w:left w:val="none" w:sz="0" w:space="0" w:color="auto"/>
            <w:bottom w:val="none" w:sz="0" w:space="0" w:color="auto"/>
            <w:right w:val="none" w:sz="0" w:space="0" w:color="auto"/>
          </w:divBdr>
        </w:div>
        <w:div w:id="2144540396">
          <w:marLeft w:val="1166"/>
          <w:marRight w:val="0"/>
          <w:marTop w:val="0"/>
          <w:marBottom w:val="120"/>
          <w:divBdr>
            <w:top w:val="none" w:sz="0" w:space="0" w:color="auto"/>
            <w:left w:val="none" w:sz="0" w:space="0" w:color="auto"/>
            <w:bottom w:val="none" w:sz="0" w:space="0" w:color="auto"/>
            <w:right w:val="none" w:sz="0" w:space="0" w:color="auto"/>
          </w:divBdr>
        </w:div>
      </w:divsChild>
    </w:div>
    <w:div w:id="1650162919">
      <w:bodyDiv w:val="1"/>
      <w:marLeft w:val="0"/>
      <w:marRight w:val="0"/>
      <w:marTop w:val="0"/>
      <w:marBottom w:val="0"/>
      <w:divBdr>
        <w:top w:val="none" w:sz="0" w:space="0" w:color="auto"/>
        <w:left w:val="none" w:sz="0" w:space="0" w:color="auto"/>
        <w:bottom w:val="none" w:sz="0" w:space="0" w:color="auto"/>
        <w:right w:val="none" w:sz="0" w:space="0" w:color="auto"/>
      </w:divBdr>
    </w:div>
    <w:div w:id="1699427595">
      <w:bodyDiv w:val="1"/>
      <w:marLeft w:val="0"/>
      <w:marRight w:val="0"/>
      <w:marTop w:val="0"/>
      <w:marBottom w:val="0"/>
      <w:divBdr>
        <w:top w:val="none" w:sz="0" w:space="0" w:color="auto"/>
        <w:left w:val="none" w:sz="0" w:space="0" w:color="auto"/>
        <w:bottom w:val="none" w:sz="0" w:space="0" w:color="auto"/>
        <w:right w:val="none" w:sz="0" w:space="0" w:color="auto"/>
      </w:divBdr>
    </w:div>
    <w:div w:id="1705790489">
      <w:bodyDiv w:val="1"/>
      <w:marLeft w:val="0"/>
      <w:marRight w:val="0"/>
      <w:marTop w:val="0"/>
      <w:marBottom w:val="0"/>
      <w:divBdr>
        <w:top w:val="none" w:sz="0" w:space="0" w:color="auto"/>
        <w:left w:val="none" w:sz="0" w:space="0" w:color="auto"/>
        <w:bottom w:val="none" w:sz="0" w:space="0" w:color="auto"/>
        <w:right w:val="none" w:sz="0" w:space="0" w:color="auto"/>
      </w:divBdr>
    </w:div>
    <w:div w:id="1765607342">
      <w:bodyDiv w:val="1"/>
      <w:marLeft w:val="0"/>
      <w:marRight w:val="0"/>
      <w:marTop w:val="0"/>
      <w:marBottom w:val="0"/>
      <w:divBdr>
        <w:top w:val="none" w:sz="0" w:space="0" w:color="auto"/>
        <w:left w:val="none" w:sz="0" w:space="0" w:color="auto"/>
        <w:bottom w:val="none" w:sz="0" w:space="0" w:color="auto"/>
        <w:right w:val="none" w:sz="0" w:space="0" w:color="auto"/>
      </w:divBdr>
    </w:div>
    <w:div w:id="1864976932">
      <w:bodyDiv w:val="1"/>
      <w:marLeft w:val="0"/>
      <w:marRight w:val="0"/>
      <w:marTop w:val="0"/>
      <w:marBottom w:val="0"/>
      <w:divBdr>
        <w:top w:val="none" w:sz="0" w:space="0" w:color="auto"/>
        <w:left w:val="none" w:sz="0" w:space="0" w:color="auto"/>
        <w:bottom w:val="none" w:sz="0" w:space="0" w:color="auto"/>
        <w:right w:val="none" w:sz="0" w:space="0" w:color="auto"/>
      </w:divBdr>
    </w:div>
    <w:div w:id="1962297426">
      <w:bodyDiv w:val="1"/>
      <w:marLeft w:val="0"/>
      <w:marRight w:val="0"/>
      <w:marTop w:val="0"/>
      <w:marBottom w:val="0"/>
      <w:divBdr>
        <w:top w:val="none" w:sz="0" w:space="0" w:color="auto"/>
        <w:left w:val="none" w:sz="0" w:space="0" w:color="auto"/>
        <w:bottom w:val="none" w:sz="0" w:space="0" w:color="auto"/>
        <w:right w:val="none" w:sz="0" w:space="0" w:color="auto"/>
      </w:divBdr>
    </w:div>
    <w:div w:id="1981764285">
      <w:bodyDiv w:val="1"/>
      <w:marLeft w:val="0"/>
      <w:marRight w:val="0"/>
      <w:marTop w:val="0"/>
      <w:marBottom w:val="0"/>
      <w:divBdr>
        <w:top w:val="none" w:sz="0" w:space="0" w:color="auto"/>
        <w:left w:val="none" w:sz="0" w:space="0" w:color="auto"/>
        <w:bottom w:val="none" w:sz="0" w:space="0" w:color="auto"/>
        <w:right w:val="none" w:sz="0" w:space="0" w:color="auto"/>
      </w:divBdr>
    </w:div>
    <w:div w:id="1986886145">
      <w:bodyDiv w:val="1"/>
      <w:marLeft w:val="0"/>
      <w:marRight w:val="0"/>
      <w:marTop w:val="0"/>
      <w:marBottom w:val="0"/>
      <w:divBdr>
        <w:top w:val="none" w:sz="0" w:space="0" w:color="auto"/>
        <w:left w:val="none" w:sz="0" w:space="0" w:color="auto"/>
        <w:bottom w:val="none" w:sz="0" w:space="0" w:color="auto"/>
        <w:right w:val="none" w:sz="0" w:space="0" w:color="auto"/>
      </w:divBdr>
    </w:div>
    <w:div w:id="1994992037">
      <w:bodyDiv w:val="1"/>
      <w:marLeft w:val="0"/>
      <w:marRight w:val="0"/>
      <w:marTop w:val="0"/>
      <w:marBottom w:val="0"/>
      <w:divBdr>
        <w:top w:val="none" w:sz="0" w:space="0" w:color="auto"/>
        <w:left w:val="none" w:sz="0" w:space="0" w:color="auto"/>
        <w:bottom w:val="none" w:sz="0" w:space="0" w:color="auto"/>
        <w:right w:val="none" w:sz="0" w:space="0" w:color="auto"/>
      </w:divBdr>
      <w:divsChild>
        <w:div w:id="605429792">
          <w:marLeft w:val="446"/>
          <w:marRight w:val="0"/>
          <w:marTop w:val="134"/>
          <w:marBottom w:val="0"/>
          <w:divBdr>
            <w:top w:val="none" w:sz="0" w:space="0" w:color="auto"/>
            <w:left w:val="none" w:sz="0" w:space="0" w:color="auto"/>
            <w:bottom w:val="none" w:sz="0" w:space="0" w:color="auto"/>
            <w:right w:val="none" w:sz="0" w:space="0" w:color="auto"/>
          </w:divBdr>
        </w:div>
      </w:divsChild>
    </w:div>
    <w:div w:id="1995837801">
      <w:bodyDiv w:val="1"/>
      <w:marLeft w:val="0"/>
      <w:marRight w:val="0"/>
      <w:marTop w:val="0"/>
      <w:marBottom w:val="0"/>
      <w:divBdr>
        <w:top w:val="none" w:sz="0" w:space="0" w:color="auto"/>
        <w:left w:val="none" w:sz="0" w:space="0" w:color="auto"/>
        <w:bottom w:val="none" w:sz="0" w:space="0" w:color="auto"/>
        <w:right w:val="none" w:sz="0" w:space="0" w:color="auto"/>
      </w:divBdr>
    </w:div>
    <w:div w:id="2090930142">
      <w:bodyDiv w:val="1"/>
      <w:marLeft w:val="0"/>
      <w:marRight w:val="0"/>
      <w:marTop w:val="0"/>
      <w:marBottom w:val="0"/>
      <w:divBdr>
        <w:top w:val="none" w:sz="0" w:space="0" w:color="auto"/>
        <w:left w:val="none" w:sz="0" w:space="0" w:color="auto"/>
        <w:bottom w:val="none" w:sz="0" w:space="0" w:color="auto"/>
        <w:right w:val="none" w:sz="0" w:space="0" w:color="auto"/>
      </w:divBdr>
    </w:div>
    <w:div w:id="214723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creativeclass.com/rfcgdb/articles/GlaeserReview.pdf"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7.emf"/><Relationship Id="rId38" Type="http://schemas.openxmlformats.org/officeDocument/2006/relationships/hyperlink" Target="http://www.cci.edu.au/node/1349"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hyperlink" Target="http://www.tbr.co.uk/" TargetMode="External"/><Relationship Id="rId40" Type="http://schemas.openxmlformats.org/officeDocument/2006/relationships/hyperlink" Target="http://www.druid.dk"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5.xml"/><Relationship Id="rId28" Type="http://schemas.openxmlformats.org/officeDocument/2006/relationships/image" Target="media/image12.png"/><Relationship Id="rId36" Type="http://schemas.openxmlformats.org/officeDocument/2006/relationships/hyperlink" Target="http://www.culture24.org.uk/home"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yperlink" Target="http://cic.org.uk/services/the-design-quality-indicator-dqi.php" TargetMode="External"/><Relationship Id="rId30" Type="http://schemas.openxmlformats.org/officeDocument/2006/relationships/image" Target="media/image14.png"/><Relationship Id="rId35" Type="http://schemas.openxmlformats.org/officeDocument/2006/relationships/hyperlink" Target="https://www.activeplacespower.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utureoflondon.org.uk/futureoflondon/wp-content/uploads/downloads/2011/10/Future-of-London-Knowledge-Economy.pdf" TargetMode="External"/><Relationship Id="rId2" Type="http://schemas.openxmlformats.org/officeDocument/2006/relationships/hyperlink" Target="http://www.oecd.org/science/sci-tech/2087188.pdf" TargetMode="External"/><Relationship Id="rId1" Type="http://schemas.openxmlformats.org/officeDocument/2006/relationships/hyperlink" Target="https://www.gov.uk/government/statistics/creative-industries-economic-estimates-january-2015" TargetMode="External"/><Relationship Id="rId6" Type="http://schemas.openxmlformats.org/officeDocument/2006/relationships/hyperlink" Target="https://www.gov.uk/government/publications/growth-is-our-business-professional-and-business-services-strategy" TargetMode="External"/><Relationship Id="rId5" Type="http://schemas.openxmlformats.org/officeDocument/2006/relationships/hyperlink" Target="http://www.ons.gov.uk/ons/guide-method/method-quality/specific/economy/economic-value-of-tourism/measuring-tourism-locally/2012/note-1/measuring-tourism-locally-v2-2012-guidance-note-1--definitions-of-tourism-.pdf" TargetMode="External"/><Relationship Id="rId4" Type="http://schemas.openxmlformats.org/officeDocument/2006/relationships/hyperlink" Target="https://www.ons.gov.uk/methodology/classificationsandstandards/ukstandardindustrialclassificationofeconomicactivities/uksic200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0210\Desktop\Report%20template%20CASE%20program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8087E01C1E994DA6B89C79ADAB0F61" ma:contentTypeVersion="0" ma:contentTypeDescription="Create a new document." ma:contentTypeScope="" ma:versionID="9a1102ef4433ff273603c12c13211550">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DED26-E0BD-43E0-A944-27EA898848AA}">
  <ds:schemaRefs>
    <ds:schemaRef ds:uri="http://schemas.microsoft.com/sharepoint/v3/contenttype/forms"/>
  </ds:schemaRefs>
</ds:datastoreItem>
</file>

<file path=customXml/itemProps2.xml><?xml version="1.0" encoding="utf-8"?>
<ds:datastoreItem xmlns:ds="http://schemas.openxmlformats.org/officeDocument/2006/customXml" ds:itemID="{135477F5-E7B8-48B7-BC4D-A41D77B55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549CB9C-E402-4500-9F15-4EC4A701A7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E61466-D823-4A83-8CE8-DD2CE7987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CASE programme.dotx</Template>
  <TotalTime>1</TotalTime>
  <Pages>1</Pages>
  <Words>43333</Words>
  <Characters>246999</Characters>
  <Application>Microsoft Office Word</Application>
  <DocSecurity>0</DocSecurity>
  <Lines>2058</Lines>
  <Paragraphs>579</Paragraphs>
  <ScaleCrop>false</ScaleCrop>
  <HeadingPairs>
    <vt:vector size="2" baseType="variant">
      <vt:variant>
        <vt:lpstr>Title</vt:lpstr>
      </vt:variant>
      <vt:variant>
        <vt:i4>1</vt:i4>
      </vt:variant>
    </vt:vector>
  </HeadingPairs>
  <TitlesOfParts>
    <vt:vector size="1" baseType="lpstr">
      <vt:lpstr/>
    </vt:vector>
  </TitlesOfParts>
  <Company>Department for Culture, Media and Sport</Company>
  <LinksUpToDate>false</LinksUpToDate>
  <CharactersWithSpaces>289753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GLAZEBROOK, Lucy</dc:creator>
  <cp:lastModifiedBy>Home</cp:lastModifiedBy>
  <cp:revision>4</cp:revision>
  <cp:lastPrinted>2016-10-14T09:53:00Z</cp:lastPrinted>
  <dcterms:created xsi:type="dcterms:W3CDTF">2016-12-02T11:19:00Z</dcterms:created>
  <dcterms:modified xsi:type="dcterms:W3CDTF">2018-05-17T15:11:00Z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0x010100368087E01C1E994DA6B89C79ADAB0F61</vt:lpwstr>
  </property>
</Properties>
</file>