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343" w:rsidRPr="00D76343" w:rsidRDefault="00D76343" w:rsidP="00D76343">
      <w:pPr>
        <w:shd w:val="clear" w:color="auto" w:fill="FFFFFF"/>
        <w:spacing w:after="150" w:line="240" w:lineRule="auto"/>
        <w:outlineLvl w:val="1"/>
        <w:rPr>
          <w:rFonts w:ascii="Helvetica" w:eastAsia="Times New Roman" w:hAnsi="Helvetica" w:cs="Times New Roman"/>
          <w:b/>
          <w:bCs/>
          <w:color w:val="333333"/>
          <w:sz w:val="32"/>
          <w:szCs w:val="32"/>
          <w:lang w:eastAsia="en-GB"/>
        </w:rPr>
      </w:pPr>
      <w:r w:rsidRPr="00D76343">
        <w:rPr>
          <w:rFonts w:ascii="Helvetica" w:eastAsia="Times New Roman" w:hAnsi="Helvetica" w:cs="Times New Roman"/>
          <w:b/>
          <w:bCs/>
          <w:color w:val="333333"/>
          <w:sz w:val="32"/>
          <w:szCs w:val="32"/>
          <w:lang w:eastAsia="en-GB"/>
        </w:rPr>
        <w:t>Creative solutions: What can art and design pedagogy bring to social prescribing programmes?</w:t>
      </w:r>
    </w:p>
    <w:p w:rsidR="00D76343" w:rsidRDefault="00D76343" w:rsidP="00D76343">
      <w:pPr>
        <w:shd w:val="clear" w:color="auto" w:fill="FFFFFF"/>
        <w:spacing w:after="150" w:line="240" w:lineRule="auto"/>
        <w:rPr>
          <w:rFonts w:ascii="Helvetica" w:eastAsia="Times New Roman" w:hAnsi="Helvetica" w:cs="Times New Roman"/>
          <w:b/>
          <w:bCs/>
          <w:color w:val="333333"/>
          <w:sz w:val="21"/>
          <w:szCs w:val="21"/>
          <w:lang w:eastAsia="en-GB"/>
        </w:rPr>
      </w:pPr>
      <w:r w:rsidRPr="00D76343">
        <w:rPr>
          <w:rFonts w:ascii="Helvetica" w:eastAsia="Times New Roman" w:hAnsi="Helvetica" w:cs="Times New Roman"/>
          <w:b/>
          <w:bCs/>
          <w:color w:val="333333"/>
          <w:sz w:val="21"/>
          <w:szCs w:val="21"/>
          <w:lang w:eastAsia="en-GB"/>
        </w:rPr>
        <w:t xml:space="preserve">Judy Willcocks, Head of the Central Saint </w:t>
      </w:r>
      <w:proofErr w:type="spellStart"/>
      <w:r w:rsidRPr="00D76343">
        <w:rPr>
          <w:rFonts w:ascii="Helvetica" w:eastAsia="Times New Roman" w:hAnsi="Helvetica" w:cs="Times New Roman"/>
          <w:b/>
          <w:bCs/>
          <w:color w:val="333333"/>
          <w:sz w:val="21"/>
          <w:szCs w:val="21"/>
          <w:lang w:eastAsia="en-GB"/>
        </w:rPr>
        <w:t>Martins</w:t>
      </w:r>
      <w:proofErr w:type="spellEnd"/>
      <w:r w:rsidRPr="00D76343">
        <w:rPr>
          <w:rFonts w:ascii="Helvetica" w:eastAsia="Times New Roman" w:hAnsi="Helvetica" w:cs="Times New Roman"/>
          <w:b/>
          <w:bCs/>
          <w:color w:val="333333"/>
          <w:sz w:val="21"/>
          <w:szCs w:val="21"/>
          <w:lang w:eastAsia="en-GB"/>
        </w:rPr>
        <w:t xml:space="preserve"> Museum </w:t>
      </w:r>
      <w:r>
        <w:rPr>
          <w:rFonts w:ascii="Helvetica" w:eastAsia="Times New Roman" w:hAnsi="Helvetica" w:cs="Times New Roman"/>
          <w:b/>
          <w:bCs/>
          <w:color w:val="333333"/>
          <w:sz w:val="21"/>
          <w:szCs w:val="21"/>
          <w:lang w:eastAsia="en-GB"/>
        </w:rPr>
        <w:t>&amp;</w:t>
      </w:r>
      <w:r w:rsidRPr="00D76343">
        <w:rPr>
          <w:rFonts w:ascii="Helvetica" w:eastAsia="Times New Roman" w:hAnsi="Helvetica" w:cs="Times New Roman"/>
          <w:b/>
          <w:bCs/>
          <w:color w:val="333333"/>
          <w:sz w:val="21"/>
          <w:szCs w:val="21"/>
          <w:lang w:eastAsia="en-GB"/>
        </w:rPr>
        <w:t xml:space="preserve"> Study Collection</w:t>
      </w:r>
    </w:p>
    <w:p w:rsidR="00D76343" w:rsidRPr="00D76343" w:rsidRDefault="00D76343" w:rsidP="00D76343">
      <w:pPr>
        <w:pStyle w:val="Heading1"/>
        <w:shd w:val="clear" w:color="auto" w:fill="FFFFFF"/>
        <w:spacing w:before="300" w:after="150"/>
        <w:rPr>
          <w:rFonts w:ascii="Helvetica" w:hAnsi="Helvetica" w:cs="Helvetica"/>
          <w:color w:val="333333"/>
          <w:sz w:val="21"/>
          <w:szCs w:val="21"/>
        </w:rPr>
      </w:pPr>
      <w:r w:rsidRPr="00D76343">
        <w:rPr>
          <w:rFonts w:ascii="Helvetica" w:hAnsi="Helvetica" w:cs="Helvetica"/>
          <w:color w:val="333333"/>
          <w:sz w:val="21"/>
          <w:szCs w:val="21"/>
        </w:rPr>
        <w:t xml:space="preserve">Spark: UAL Creative Teaching and Learning Journal, Vol. 2, no. </w:t>
      </w:r>
      <w:r w:rsidRPr="00D76343">
        <w:rPr>
          <w:rFonts w:ascii="Helvetica" w:hAnsi="Helvetica" w:cs="Helvetica"/>
          <w:color w:val="333333"/>
          <w:sz w:val="21"/>
          <w:szCs w:val="21"/>
        </w:rPr>
        <w:t>1</w:t>
      </w:r>
      <w:r w:rsidRPr="00D76343">
        <w:rPr>
          <w:rFonts w:ascii="Helvetica" w:hAnsi="Helvetica" w:cs="Helvetica"/>
          <w:color w:val="333333"/>
          <w:sz w:val="21"/>
          <w:szCs w:val="21"/>
        </w:rPr>
        <w:t>, 2017</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hyperlink r:id="rId4" w:history="1">
        <w:r w:rsidRPr="00D76343">
          <w:rPr>
            <w:rStyle w:val="Hyperlink"/>
            <w:rFonts w:ascii="Helvetica" w:eastAsia="Times New Roman" w:hAnsi="Helvetica" w:cs="Times New Roman"/>
            <w:sz w:val="21"/>
            <w:szCs w:val="21"/>
            <w:lang w:eastAsia="en-GB"/>
          </w:rPr>
          <w:t>https://sparkjournal.arts.ac.uk/index.php/spark/article/view/26/60</w:t>
        </w:r>
      </w:hyperlink>
      <w:r w:rsidRPr="00D76343">
        <w:rPr>
          <w:rFonts w:ascii="Helvetica" w:eastAsia="Times New Roman" w:hAnsi="Helvetica" w:cs="Times New Roman"/>
          <w:color w:val="333333"/>
          <w:sz w:val="21"/>
          <w:szCs w:val="21"/>
          <w:lang w:eastAsia="en-GB"/>
        </w:rPr>
        <w:t xml:space="preserve"> </w:t>
      </w:r>
    </w:p>
    <w:p w:rsidR="00D76343" w:rsidRPr="00D76343" w:rsidRDefault="00D76343" w:rsidP="00D76343">
      <w:pPr>
        <w:shd w:val="clear" w:color="auto" w:fill="FFFFFF"/>
        <w:spacing w:before="300" w:after="150" w:line="240" w:lineRule="auto"/>
        <w:outlineLvl w:val="2"/>
        <w:rPr>
          <w:rFonts w:ascii="Helvetica" w:eastAsia="Times New Roman" w:hAnsi="Helvetica" w:cs="Times New Roman"/>
          <w:b/>
          <w:bCs/>
          <w:color w:val="333333"/>
          <w:sz w:val="32"/>
          <w:szCs w:val="32"/>
          <w:lang w:eastAsia="en-GB"/>
        </w:rPr>
      </w:pPr>
      <w:r w:rsidRPr="00D76343">
        <w:rPr>
          <w:rFonts w:ascii="Helvetica" w:eastAsia="Times New Roman" w:hAnsi="Helvetica" w:cs="Times New Roman"/>
          <w:b/>
          <w:bCs/>
          <w:color w:val="333333"/>
          <w:sz w:val="32"/>
          <w:szCs w:val="32"/>
          <w:lang w:eastAsia="en-GB"/>
        </w:rPr>
        <w:t>Abstract</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This case study describes the contribution made by the Central Saint </w:t>
      </w:r>
      <w:proofErr w:type="spellStart"/>
      <w:r w:rsidRPr="00D76343">
        <w:rPr>
          <w:rFonts w:ascii="Helvetica" w:eastAsia="Times New Roman" w:hAnsi="Helvetica" w:cs="Times New Roman"/>
          <w:color w:val="333333"/>
          <w:sz w:val="21"/>
          <w:szCs w:val="21"/>
          <w:lang w:eastAsia="en-GB"/>
        </w:rPr>
        <w:t>Martins</w:t>
      </w:r>
      <w:proofErr w:type="spellEnd"/>
      <w:r w:rsidRPr="00D76343">
        <w:rPr>
          <w:rFonts w:ascii="Helvetica" w:eastAsia="Times New Roman" w:hAnsi="Helvetica" w:cs="Times New Roman"/>
          <w:color w:val="333333"/>
          <w:sz w:val="21"/>
          <w:szCs w:val="21"/>
          <w:lang w:eastAsia="en-GB"/>
        </w:rPr>
        <w:t xml:space="preserve"> Museum and Study Collection (UAL) to the Museums on Prescription research project, which explores the value and role of museums in ‘social prescribing’. A means of connecting patients with non-medical resources, socially prescribed activities are a low-cost alternative to medication or therapy, offering opportunities to take part in creative, physical or learning activities that improve physical or mental well-being. This article argues that the pedagogic approaches used in art and design, particularly when coupled with a </w:t>
      </w:r>
      <w:proofErr w:type="spellStart"/>
      <w:r w:rsidRPr="00D76343">
        <w:rPr>
          <w:rFonts w:ascii="Helvetica" w:eastAsia="Times New Roman" w:hAnsi="Helvetica" w:cs="Times New Roman"/>
          <w:color w:val="333333"/>
          <w:sz w:val="21"/>
          <w:szCs w:val="21"/>
          <w:lang w:eastAsia="en-GB"/>
        </w:rPr>
        <w:t>museological</w:t>
      </w:r>
      <w:proofErr w:type="spellEnd"/>
      <w:r w:rsidRPr="00D76343">
        <w:rPr>
          <w:rFonts w:ascii="Helvetica" w:eastAsia="Times New Roman" w:hAnsi="Helvetica" w:cs="Times New Roman"/>
          <w:color w:val="333333"/>
          <w:sz w:val="21"/>
          <w:szCs w:val="21"/>
          <w:lang w:eastAsia="en-GB"/>
        </w:rPr>
        <w:t xml:space="preserve"> approach to ‘object-based learning’ (Paris, 2002), present an ideal basis for social prescribing as the activities it involves challenge participants, encourage self-reflection and create opportunities for emotional engagement.</w:t>
      </w:r>
    </w:p>
    <w:p w:rsidR="00D76343" w:rsidRPr="00D76343" w:rsidRDefault="00D76343" w:rsidP="00D76343">
      <w:pPr>
        <w:shd w:val="clear" w:color="auto" w:fill="FFFFFF"/>
        <w:spacing w:before="300" w:after="150" w:line="240" w:lineRule="auto"/>
        <w:outlineLvl w:val="2"/>
        <w:rPr>
          <w:rFonts w:ascii="Helvetica" w:eastAsia="Times New Roman" w:hAnsi="Helvetica" w:cs="Times New Roman"/>
          <w:b/>
          <w:bCs/>
          <w:color w:val="333333"/>
          <w:sz w:val="32"/>
          <w:szCs w:val="32"/>
          <w:lang w:eastAsia="en-GB"/>
        </w:rPr>
      </w:pPr>
      <w:r w:rsidRPr="00D76343">
        <w:rPr>
          <w:rFonts w:ascii="Helvetica" w:eastAsia="Times New Roman" w:hAnsi="Helvetica" w:cs="Times New Roman"/>
          <w:b/>
          <w:bCs/>
          <w:color w:val="333333"/>
          <w:sz w:val="32"/>
          <w:szCs w:val="32"/>
          <w:lang w:eastAsia="en-GB"/>
        </w:rPr>
        <w:t>Keywords</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object-based learning; social prescribing; museology; well-being</w:t>
      </w:r>
    </w:p>
    <w:p w:rsidR="00D76343" w:rsidRPr="00D76343" w:rsidRDefault="00D76343" w:rsidP="00D76343">
      <w:pPr>
        <w:shd w:val="clear" w:color="auto" w:fill="FFFFFF"/>
        <w:spacing w:before="300" w:after="150" w:line="240" w:lineRule="auto"/>
        <w:outlineLvl w:val="2"/>
        <w:rPr>
          <w:rFonts w:ascii="Helvetica" w:eastAsia="Times New Roman" w:hAnsi="Helvetica" w:cs="Times New Roman"/>
          <w:b/>
          <w:bCs/>
          <w:color w:val="333333"/>
          <w:sz w:val="32"/>
          <w:szCs w:val="32"/>
          <w:lang w:eastAsia="en-GB"/>
        </w:rPr>
      </w:pPr>
      <w:r w:rsidRPr="00D76343">
        <w:rPr>
          <w:rFonts w:ascii="Helvetica" w:eastAsia="Times New Roman" w:hAnsi="Helvetica" w:cs="Times New Roman"/>
          <w:b/>
          <w:bCs/>
          <w:color w:val="333333"/>
          <w:sz w:val="32"/>
          <w:szCs w:val="32"/>
          <w:lang w:eastAsia="en-GB"/>
        </w:rPr>
        <w:t>Introduction</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Health and illness are significant themes that are rooted in society and influenced by the environment in which people live. Within this environment cultural encounters can bring ‘tangible health and well-being outcomes’ and, as argued by Chatterjee and Noble, cultural institutions such as museums, should be seen as assets for enhancing health and well-being </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 xml:space="preserve"> with the potential to make a considerable contribution to public health (2016, p.2). Yet, as Silverman notes, key audiences within this context, </w:t>
      </w:r>
      <w:r w:rsidRPr="00D76343">
        <w:rPr>
          <w:rFonts w:ascii="Helvetica" w:eastAsia="Times New Roman" w:hAnsi="Helvetica" w:cs="Helvetica"/>
          <w:color w:val="333333"/>
          <w:sz w:val="21"/>
          <w:szCs w:val="21"/>
          <w:lang w:eastAsia="en-GB"/>
        </w:rPr>
        <w:t>‘</w:t>
      </w:r>
      <w:r w:rsidRPr="00D76343">
        <w:rPr>
          <w:rFonts w:ascii="Helvetica" w:eastAsia="Times New Roman" w:hAnsi="Helvetica" w:cs="Times New Roman"/>
          <w:color w:val="333333"/>
          <w:sz w:val="21"/>
          <w:szCs w:val="21"/>
          <w:lang w:eastAsia="en-GB"/>
        </w:rPr>
        <w:t>those with depression or coping with the onset of old age and related losses of function’ are seldom reached by museums (2002, p.69).</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Museums on Prescription (</w:t>
      </w:r>
      <w:proofErr w:type="spellStart"/>
      <w:r w:rsidRPr="00D76343">
        <w:rPr>
          <w:rFonts w:ascii="Helvetica" w:eastAsia="Times New Roman" w:hAnsi="Helvetica" w:cs="Times New Roman"/>
          <w:color w:val="333333"/>
          <w:sz w:val="21"/>
          <w:szCs w:val="21"/>
          <w:lang w:eastAsia="en-GB"/>
        </w:rPr>
        <w:t>MoP</w:t>
      </w:r>
      <w:proofErr w:type="spellEnd"/>
      <w:r w:rsidRPr="00D76343">
        <w:rPr>
          <w:rFonts w:ascii="Helvetica" w:eastAsia="Times New Roman" w:hAnsi="Helvetica" w:cs="Times New Roman"/>
          <w:color w:val="333333"/>
          <w:sz w:val="21"/>
          <w:szCs w:val="21"/>
          <w:lang w:eastAsia="en-GB"/>
        </w:rPr>
        <w:t xml:space="preserve">) is a three year research project (2014 </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 xml:space="preserve"> 2017) exploring the value and role of museums and galleries in </w:t>
      </w:r>
      <w:r w:rsidRPr="00D76343">
        <w:rPr>
          <w:rFonts w:ascii="Helvetica" w:eastAsia="Times New Roman" w:hAnsi="Helvetica" w:cs="Helvetica"/>
          <w:color w:val="333333"/>
          <w:sz w:val="21"/>
          <w:szCs w:val="21"/>
          <w:lang w:eastAsia="en-GB"/>
        </w:rPr>
        <w:t>‘</w:t>
      </w:r>
      <w:r w:rsidRPr="00D76343">
        <w:rPr>
          <w:rFonts w:ascii="Helvetica" w:eastAsia="Times New Roman" w:hAnsi="Helvetica" w:cs="Times New Roman"/>
          <w:color w:val="333333"/>
          <w:sz w:val="21"/>
          <w:szCs w:val="21"/>
          <w:lang w:eastAsia="en-GB"/>
        </w:rPr>
        <w:t>social prescribing</w:t>
      </w:r>
      <w:r w:rsidRPr="00D76343">
        <w:rPr>
          <w:rFonts w:ascii="Helvetica" w:eastAsia="Times New Roman" w:hAnsi="Helvetica" w:cs="Helvetica"/>
          <w:color w:val="333333"/>
          <w:sz w:val="21"/>
          <w:szCs w:val="21"/>
          <w:lang w:eastAsia="en-GB"/>
        </w:rPr>
        <w:t>’</w:t>
      </w:r>
      <w:r w:rsidRPr="00D76343">
        <w:rPr>
          <w:rFonts w:ascii="Helvetica" w:eastAsia="Times New Roman" w:hAnsi="Helvetica" w:cs="Times New Roman"/>
          <w:color w:val="333333"/>
          <w:sz w:val="21"/>
          <w:szCs w:val="21"/>
          <w:lang w:eastAsia="en-GB"/>
        </w:rPr>
        <w:t xml:space="preserve"> for older audiences. Social prescribing is ‘a mechanism for linking patients with non-medical sources of support within the community’ (</w:t>
      </w:r>
      <w:proofErr w:type="spellStart"/>
      <w:r w:rsidRPr="00D76343">
        <w:rPr>
          <w:rFonts w:ascii="Helvetica" w:eastAsia="Times New Roman" w:hAnsi="Helvetica" w:cs="Times New Roman"/>
          <w:color w:val="333333"/>
          <w:sz w:val="21"/>
          <w:szCs w:val="21"/>
          <w:lang w:eastAsia="en-GB"/>
        </w:rPr>
        <w:t>CentreForum</w:t>
      </w:r>
      <w:proofErr w:type="spellEnd"/>
      <w:r w:rsidRPr="00D76343">
        <w:rPr>
          <w:rFonts w:ascii="Helvetica" w:eastAsia="Times New Roman" w:hAnsi="Helvetica" w:cs="Times New Roman"/>
          <w:color w:val="333333"/>
          <w:sz w:val="21"/>
          <w:szCs w:val="21"/>
          <w:lang w:eastAsia="en-GB"/>
        </w:rPr>
        <w:t xml:space="preserve">, 2014, p.6). The </w:t>
      </w:r>
      <w:proofErr w:type="spellStart"/>
      <w:r w:rsidRPr="00D76343">
        <w:rPr>
          <w:rFonts w:ascii="Helvetica" w:eastAsia="Times New Roman" w:hAnsi="Helvetica" w:cs="Times New Roman"/>
          <w:color w:val="333333"/>
          <w:sz w:val="21"/>
          <w:szCs w:val="21"/>
          <w:lang w:eastAsia="en-GB"/>
        </w:rPr>
        <w:t>MoP</w:t>
      </w:r>
      <w:proofErr w:type="spellEnd"/>
      <w:r w:rsidRPr="00D76343">
        <w:rPr>
          <w:rFonts w:ascii="Helvetica" w:eastAsia="Times New Roman" w:hAnsi="Helvetica" w:cs="Times New Roman"/>
          <w:color w:val="333333"/>
          <w:sz w:val="21"/>
          <w:szCs w:val="21"/>
          <w:lang w:eastAsia="en-GB"/>
        </w:rPr>
        <w:t xml:space="preserve"> project is led by Professor Helen Chatterjee (Principal Investigator), Professor Paul </w:t>
      </w:r>
      <w:proofErr w:type="spellStart"/>
      <w:r w:rsidRPr="00D76343">
        <w:rPr>
          <w:rFonts w:ascii="Helvetica" w:eastAsia="Times New Roman" w:hAnsi="Helvetica" w:cs="Times New Roman"/>
          <w:color w:val="333333"/>
          <w:sz w:val="21"/>
          <w:szCs w:val="21"/>
          <w:lang w:eastAsia="en-GB"/>
        </w:rPr>
        <w:t>Camic</w:t>
      </w:r>
      <w:proofErr w:type="spellEnd"/>
      <w:r w:rsidRPr="00D76343">
        <w:rPr>
          <w:rFonts w:ascii="Helvetica" w:eastAsia="Times New Roman" w:hAnsi="Helvetica" w:cs="Times New Roman"/>
          <w:color w:val="333333"/>
          <w:sz w:val="21"/>
          <w:szCs w:val="21"/>
          <w:lang w:eastAsia="en-GB"/>
        </w:rPr>
        <w:t xml:space="preserve"> (Co-Investigator) and Dr Linda Thomson (Senior Research Associate) and funded by the Arts and Humanities Research Council (AH/L012987/1). The research specialisms within this team encompass psychology, cultural value, health, well-being and museology.</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A report compiled by the </w:t>
      </w:r>
      <w:proofErr w:type="spellStart"/>
      <w:r w:rsidRPr="00D76343">
        <w:rPr>
          <w:rFonts w:ascii="Helvetica" w:eastAsia="Times New Roman" w:hAnsi="Helvetica" w:cs="Times New Roman"/>
          <w:color w:val="333333"/>
          <w:sz w:val="21"/>
          <w:szCs w:val="21"/>
          <w:lang w:eastAsia="en-GB"/>
        </w:rPr>
        <w:t>MoP</w:t>
      </w:r>
      <w:proofErr w:type="spellEnd"/>
      <w:r w:rsidRPr="00D76343">
        <w:rPr>
          <w:rFonts w:ascii="Helvetica" w:eastAsia="Times New Roman" w:hAnsi="Helvetica" w:cs="Times New Roman"/>
          <w:color w:val="333333"/>
          <w:sz w:val="21"/>
          <w:szCs w:val="21"/>
          <w:lang w:eastAsia="en-GB"/>
        </w:rPr>
        <w:t xml:space="preserve"> team, </w:t>
      </w:r>
      <w:r w:rsidRPr="00D76343">
        <w:rPr>
          <w:rFonts w:ascii="Helvetica" w:eastAsia="Times New Roman" w:hAnsi="Helvetica" w:cs="Times New Roman"/>
          <w:i/>
          <w:iCs/>
          <w:color w:val="333333"/>
          <w:sz w:val="21"/>
          <w:szCs w:val="21"/>
          <w:lang w:eastAsia="en-GB"/>
        </w:rPr>
        <w:t>Social Prescribing: A Review of Community Referral Schemes</w:t>
      </w:r>
      <w:r w:rsidRPr="00D76343">
        <w:rPr>
          <w:rFonts w:ascii="Helvetica" w:eastAsia="Times New Roman" w:hAnsi="Helvetica" w:cs="Times New Roman"/>
          <w:color w:val="333333"/>
          <w:sz w:val="21"/>
          <w:szCs w:val="21"/>
          <w:lang w:eastAsia="en-GB"/>
        </w:rPr>
        <w:t xml:space="preserve"> (Thomson, </w:t>
      </w:r>
      <w:proofErr w:type="spellStart"/>
      <w:r w:rsidRPr="00D76343">
        <w:rPr>
          <w:rFonts w:ascii="Helvetica" w:eastAsia="Times New Roman" w:hAnsi="Helvetica" w:cs="Times New Roman"/>
          <w:color w:val="333333"/>
          <w:sz w:val="21"/>
          <w:szCs w:val="21"/>
          <w:lang w:eastAsia="en-GB"/>
        </w:rPr>
        <w:t>Camic</w:t>
      </w:r>
      <w:proofErr w:type="spellEnd"/>
      <w:r w:rsidRPr="00D76343">
        <w:rPr>
          <w:rFonts w:ascii="Helvetica" w:eastAsia="Times New Roman" w:hAnsi="Helvetica" w:cs="Times New Roman"/>
          <w:color w:val="333333"/>
          <w:sz w:val="21"/>
          <w:szCs w:val="21"/>
          <w:lang w:eastAsia="en-GB"/>
        </w:rPr>
        <w:t xml:space="preserve"> and Chatterjee, 2015), details how social prescribing is on the rise as a result of the decentralisation of healthcare and a growing emphasis on prevention rather than cure. Successful schemes include Art, Books, Education and Exercise on Prescription, with referrals made by GPs, practice nurses and social workers. Social prescribing can be useful in its own right and is recommended in support of medical and psychological therapies. Evaluation of social prescribing schemes in the UK shows positive outcomes for participants including improved self-esteem, increased sociability, a sense of empowerment and improved psychological well-being. Socially prescribed activities can also reduce symptoms of anxiety and depression, contributing to a reduction in GP visits and healthcare referrals.</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Importantly, the benefits of social prescribing ‘have been particularly pronounced for marginalised groups such as mental health service users and older adults at risk of social </w:t>
      </w:r>
      <w:r w:rsidRPr="00D76343">
        <w:rPr>
          <w:rFonts w:ascii="Helvetica" w:eastAsia="Times New Roman" w:hAnsi="Helvetica" w:cs="Times New Roman"/>
          <w:color w:val="333333"/>
          <w:sz w:val="21"/>
          <w:szCs w:val="21"/>
          <w:lang w:eastAsia="en-GB"/>
        </w:rPr>
        <w:lastRenderedPageBreak/>
        <w:t>isolation’ (Thompson </w:t>
      </w:r>
      <w:r w:rsidRPr="00D76343">
        <w:rPr>
          <w:rFonts w:ascii="Helvetica" w:eastAsia="Times New Roman" w:hAnsi="Helvetica" w:cs="Times New Roman"/>
          <w:i/>
          <w:iCs/>
          <w:color w:val="333333"/>
          <w:sz w:val="21"/>
          <w:szCs w:val="21"/>
          <w:lang w:eastAsia="en-GB"/>
        </w:rPr>
        <w:t>et al.,</w:t>
      </w:r>
      <w:r w:rsidRPr="00D76343">
        <w:rPr>
          <w:rFonts w:ascii="Helvetica" w:eastAsia="Times New Roman" w:hAnsi="Helvetica" w:cs="Times New Roman"/>
          <w:color w:val="333333"/>
          <w:sz w:val="21"/>
          <w:szCs w:val="21"/>
          <w:lang w:eastAsia="en-GB"/>
        </w:rPr>
        <w:t xml:space="preserve"> 2015, p.5). Focussing on the latter group, the </w:t>
      </w:r>
      <w:proofErr w:type="spellStart"/>
      <w:r w:rsidRPr="00D76343">
        <w:rPr>
          <w:rFonts w:ascii="Helvetica" w:eastAsia="Times New Roman" w:hAnsi="Helvetica" w:cs="Times New Roman"/>
          <w:color w:val="333333"/>
          <w:sz w:val="21"/>
          <w:szCs w:val="21"/>
          <w:lang w:eastAsia="en-GB"/>
        </w:rPr>
        <w:t>MoP</w:t>
      </w:r>
      <w:proofErr w:type="spellEnd"/>
      <w:r w:rsidRPr="00D76343">
        <w:rPr>
          <w:rFonts w:ascii="Helvetica" w:eastAsia="Times New Roman" w:hAnsi="Helvetica" w:cs="Times New Roman"/>
          <w:color w:val="333333"/>
          <w:sz w:val="21"/>
          <w:szCs w:val="21"/>
          <w:lang w:eastAsia="en-GB"/>
        </w:rPr>
        <w:t xml:space="preserve"> programme aims to connect socially isolated, vulnerable and lonely older people to partner museums in London and Kent. The programme tests the extent to which creative engagement with museums and their collections can improve participants’ sense of well-being, by employing a combination of qualitative and quantitative methods from the social sciences, psychology and health sciences to assess the impact of the scheme on those who take part. As one of six museum partners involved with the </w:t>
      </w:r>
      <w:proofErr w:type="spellStart"/>
      <w:r w:rsidRPr="00D76343">
        <w:rPr>
          <w:rFonts w:ascii="Helvetica" w:eastAsia="Times New Roman" w:hAnsi="Helvetica" w:cs="Times New Roman"/>
          <w:color w:val="333333"/>
          <w:sz w:val="21"/>
          <w:szCs w:val="21"/>
          <w:lang w:eastAsia="en-GB"/>
        </w:rPr>
        <w:t>MoP</w:t>
      </w:r>
      <w:proofErr w:type="spellEnd"/>
      <w:r w:rsidRPr="00D76343">
        <w:rPr>
          <w:rFonts w:ascii="Helvetica" w:eastAsia="Times New Roman" w:hAnsi="Helvetica" w:cs="Times New Roman"/>
          <w:color w:val="333333"/>
          <w:sz w:val="21"/>
          <w:szCs w:val="21"/>
          <w:lang w:eastAsia="en-GB"/>
        </w:rPr>
        <w:t xml:space="preserve"> project, the Central Saint </w:t>
      </w:r>
      <w:proofErr w:type="spellStart"/>
      <w:r w:rsidRPr="00D76343">
        <w:rPr>
          <w:rFonts w:ascii="Helvetica" w:eastAsia="Times New Roman" w:hAnsi="Helvetica" w:cs="Times New Roman"/>
          <w:color w:val="333333"/>
          <w:sz w:val="21"/>
          <w:szCs w:val="21"/>
          <w:lang w:eastAsia="en-GB"/>
        </w:rPr>
        <w:t>Martins</w:t>
      </w:r>
      <w:proofErr w:type="spellEnd"/>
      <w:r w:rsidRPr="00D76343">
        <w:rPr>
          <w:rFonts w:ascii="Helvetica" w:eastAsia="Times New Roman" w:hAnsi="Helvetica" w:cs="Times New Roman"/>
          <w:color w:val="333333"/>
          <w:sz w:val="21"/>
          <w:szCs w:val="21"/>
          <w:lang w:eastAsia="en-GB"/>
        </w:rPr>
        <w:t xml:space="preserve"> Museum and Study Collection (M&amp;SC) has delivered a series of ten weekly workshops to older people (11 participants, aged 65 to 94) from the London Boroughs of Camden and Islington.</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It has been suggested that museums can provide a sense of community cohesion and connection to others as well as well as opportunities for self-reflection, relaxation and emotional engagement (Silverman, 2002). In addition to fostering these qualities, the M&amp;SC has brought to the project its unique position as a museum situated within UAL, one of the largest and most comprehensive art and design institutions in the UK. This position has also generated a parallel research interest and opportunity to explore ‘object-based learning’ (Paris, 2002), the practice of facilitating learning through objects.</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The particular contribution provided by the M&amp;SC arises from the knowledge of the staff and their experiences delivering object-based learning workshops to a broad variety of audiences. Several members of the M&amp;SC team have undertaken a Postgraduate Certificate in Academic Practice </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 xml:space="preserve"> effectively a teacher training qualification for Higher Education. As a result, art and design pedagogy shapes the way collections engagements are framed, and has led staff to move away from a traditional museum model of the ‘expert curator’ to a model more focussed on co-creation and co-production with workshop participants.</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As a project working with vulnerable adults, there have been a number of ethical issues to consider in running these workshops. These related to staff training as well as carefully managing the relationship with workshop participants. M&amp;SC staff attended a training day with the </w:t>
      </w:r>
      <w:proofErr w:type="spellStart"/>
      <w:r w:rsidRPr="00D76343">
        <w:rPr>
          <w:rFonts w:ascii="Helvetica" w:eastAsia="Times New Roman" w:hAnsi="Helvetica" w:cs="Times New Roman"/>
          <w:color w:val="333333"/>
          <w:sz w:val="21"/>
          <w:szCs w:val="21"/>
          <w:lang w:eastAsia="en-GB"/>
        </w:rPr>
        <w:t>MoP</w:t>
      </w:r>
      <w:proofErr w:type="spellEnd"/>
      <w:r w:rsidRPr="00D76343">
        <w:rPr>
          <w:rFonts w:ascii="Helvetica" w:eastAsia="Times New Roman" w:hAnsi="Helvetica" w:cs="Times New Roman"/>
          <w:color w:val="333333"/>
          <w:sz w:val="21"/>
          <w:szCs w:val="21"/>
          <w:lang w:eastAsia="en-GB"/>
        </w:rPr>
        <w:t xml:space="preserve"> team and other museum professionals with experience of social prescribing to discuss potential problems and how to address them. Staff also undertook a course in safeguarding vulnerable adults run by the local Borough Council. Contact with the workshop participants was managed by our project partners, the research team at University College London (UCL) and a trained psychologist sat in on all sessions, with full ethics approval from the UCL Research Ethics Committee (REC </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 xml:space="preserve"> Project ID: 4526/001).</w:t>
      </w:r>
    </w:p>
    <w:p w:rsidR="00D76343" w:rsidRPr="00D76343" w:rsidRDefault="00D76343" w:rsidP="00D76343">
      <w:pPr>
        <w:shd w:val="clear" w:color="auto" w:fill="FFFFFF"/>
        <w:spacing w:before="300" w:after="150" w:line="240" w:lineRule="auto"/>
        <w:outlineLvl w:val="2"/>
        <w:rPr>
          <w:rFonts w:ascii="Helvetica" w:eastAsia="Times New Roman" w:hAnsi="Helvetica" w:cs="Times New Roman"/>
          <w:b/>
          <w:bCs/>
          <w:color w:val="333333"/>
          <w:sz w:val="32"/>
          <w:szCs w:val="32"/>
          <w:lang w:eastAsia="en-GB"/>
        </w:rPr>
      </w:pPr>
      <w:r w:rsidRPr="00D76343">
        <w:rPr>
          <w:rFonts w:ascii="Helvetica" w:eastAsia="Times New Roman" w:hAnsi="Helvetica" w:cs="Times New Roman"/>
          <w:b/>
          <w:bCs/>
          <w:color w:val="333333"/>
          <w:sz w:val="32"/>
          <w:szCs w:val="32"/>
          <w:lang w:eastAsia="en-GB"/>
        </w:rPr>
        <w:t>What can art and design pedagogy bring to social prescribing programmes?</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Many of the therapies used to treat mental health are outcome focussed, seeking to construct or change ‘knowledge, attitudes, values, skills’ and other attributes. Silverman argues that for museums to fulfil their potential as ‘therapeutic tools’ they need to adopt a similar approach (2002, p.75). An emphasis on outcomes is also used within art and design pedagogy, where activities are aligned to contribute towards pre-defined learning outcomes and the acquisition of certain skills (Biggs and Tang, 2011).</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In keeping with this outcome focussed methodology, the M&amp;SC developed a series of ten workshops for the </w:t>
      </w:r>
      <w:proofErr w:type="spellStart"/>
      <w:r w:rsidRPr="00D76343">
        <w:rPr>
          <w:rFonts w:ascii="Helvetica" w:eastAsia="Times New Roman" w:hAnsi="Helvetica" w:cs="Times New Roman"/>
          <w:color w:val="333333"/>
          <w:sz w:val="21"/>
          <w:szCs w:val="21"/>
          <w:lang w:eastAsia="en-GB"/>
        </w:rPr>
        <w:t>MoP</w:t>
      </w:r>
      <w:proofErr w:type="spellEnd"/>
      <w:r w:rsidRPr="00D76343">
        <w:rPr>
          <w:rFonts w:ascii="Helvetica" w:eastAsia="Times New Roman" w:hAnsi="Helvetica" w:cs="Times New Roman"/>
          <w:color w:val="333333"/>
          <w:sz w:val="21"/>
          <w:szCs w:val="21"/>
          <w:lang w:eastAsia="en-GB"/>
        </w:rPr>
        <w:t xml:space="preserve"> programme. At the end of these workshops it was intended that participants should be able to: describe different art and design practices and their historical contexts; articulate emotional responses to objects; exhibit a broad spectrum of making skills; communicate a range of imaginative ideas to their peers. </w:t>
      </w:r>
      <w:proofErr w:type="spellStart"/>
      <w:r w:rsidRPr="00D76343">
        <w:rPr>
          <w:rFonts w:ascii="Helvetica" w:eastAsia="Times New Roman" w:hAnsi="Helvetica" w:cs="Times New Roman"/>
          <w:color w:val="333333"/>
          <w:sz w:val="21"/>
          <w:szCs w:val="21"/>
          <w:lang w:eastAsia="en-GB"/>
        </w:rPr>
        <w:t>Shreeve</w:t>
      </w:r>
      <w:proofErr w:type="spellEnd"/>
      <w:r w:rsidRPr="00D76343">
        <w:rPr>
          <w:rFonts w:ascii="Helvetica" w:eastAsia="Times New Roman" w:hAnsi="Helvetica" w:cs="Times New Roman"/>
          <w:color w:val="333333"/>
          <w:sz w:val="21"/>
          <w:szCs w:val="21"/>
          <w:lang w:eastAsia="en-GB"/>
        </w:rPr>
        <w:t xml:space="preserve">, Waring and Drew list some of the skills encouraged by art and design teaching practice including adaptability, emotional intelligence, confidence, resourcefulness and team working (2009, p.355). In developing the workshops, it was recognised that all of these skills might prove useful to older people suffering from social isolation or mental health issues, and while it was not possible to fully develop all of them in a short series of sessions, it was hoped that participants’ confidence levels and team working skills would be improved. Each workshop was designed to start with a handling session based on objects held within the M&amp;SC, before moving into a variety of activities including </w:t>
      </w:r>
      <w:r w:rsidRPr="00D76343">
        <w:rPr>
          <w:rFonts w:ascii="Helvetica" w:eastAsia="Times New Roman" w:hAnsi="Helvetica" w:cs="Times New Roman"/>
          <w:color w:val="333333"/>
          <w:sz w:val="21"/>
          <w:szCs w:val="21"/>
          <w:lang w:eastAsia="en-GB"/>
        </w:rPr>
        <w:lastRenderedPageBreak/>
        <w:t>printmaking, collage, weaving, guided gallery tours, interactions with students and informal discussions.</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The way the object handling element of each session was framed set the tone for the workshops. Art and design education involves not just cerebral activity but the emotions and senses (</w:t>
      </w:r>
      <w:proofErr w:type="spellStart"/>
      <w:r w:rsidRPr="00D76343">
        <w:rPr>
          <w:rFonts w:ascii="Helvetica" w:eastAsia="Times New Roman" w:hAnsi="Helvetica" w:cs="Times New Roman"/>
          <w:color w:val="333333"/>
          <w:sz w:val="21"/>
          <w:szCs w:val="21"/>
          <w:lang w:eastAsia="en-GB"/>
        </w:rPr>
        <w:t>Shreeve</w:t>
      </w:r>
      <w:proofErr w:type="spellEnd"/>
      <w:r w:rsidRPr="00D76343">
        <w:rPr>
          <w:rFonts w:ascii="Helvetica" w:eastAsia="Times New Roman" w:hAnsi="Helvetica" w:cs="Times New Roman"/>
          <w:color w:val="333333"/>
          <w:sz w:val="21"/>
          <w:szCs w:val="21"/>
          <w:lang w:eastAsia="en-GB"/>
        </w:rPr>
        <w:t xml:space="preserve">, Sims and </w:t>
      </w:r>
      <w:proofErr w:type="spellStart"/>
      <w:r w:rsidRPr="00D76343">
        <w:rPr>
          <w:rFonts w:ascii="Helvetica" w:eastAsia="Times New Roman" w:hAnsi="Helvetica" w:cs="Times New Roman"/>
          <w:color w:val="333333"/>
          <w:sz w:val="21"/>
          <w:szCs w:val="21"/>
          <w:lang w:eastAsia="en-GB"/>
        </w:rPr>
        <w:t>Trowler</w:t>
      </w:r>
      <w:proofErr w:type="spellEnd"/>
      <w:r w:rsidRPr="00D76343">
        <w:rPr>
          <w:rFonts w:ascii="Helvetica" w:eastAsia="Times New Roman" w:hAnsi="Helvetica" w:cs="Times New Roman"/>
          <w:color w:val="333333"/>
          <w:sz w:val="21"/>
          <w:szCs w:val="21"/>
          <w:lang w:eastAsia="en-GB"/>
        </w:rPr>
        <w:t xml:space="preserve">, 2010) and learning is seen as a partnership activity or exchange of ideas with students where outcomes are ambiguous and uncertain. Accordingly, the </w:t>
      </w:r>
      <w:proofErr w:type="spellStart"/>
      <w:r w:rsidRPr="00D76343">
        <w:rPr>
          <w:rFonts w:ascii="Helvetica" w:eastAsia="Times New Roman" w:hAnsi="Helvetica" w:cs="Times New Roman"/>
          <w:color w:val="333333"/>
          <w:sz w:val="21"/>
          <w:szCs w:val="21"/>
          <w:lang w:eastAsia="en-GB"/>
        </w:rPr>
        <w:t>MoP</w:t>
      </w:r>
      <w:proofErr w:type="spellEnd"/>
      <w:r w:rsidRPr="00D76343">
        <w:rPr>
          <w:rFonts w:ascii="Helvetica" w:eastAsia="Times New Roman" w:hAnsi="Helvetica" w:cs="Times New Roman"/>
          <w:color w:val="333333"/>
          <w:sz w:val="21"/>
          <w:szCs w:val="21"/>
          <w:lang w:eastAsia="en-GB"/>
        </w:rPr>
        <w:t xml:space="preserve"> sessions assumed that there was no expert in the room. Rather, museum objects were offered as a point of meaning-making and self-reflection, allowing participants the space to explore their own responses. Direct handing of the object was also encouraged.</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Brookfield observes that, unless teaching practice is critically self-reflective, the classroom can ‘mirror the structures and inequalities of the wider society’ (1995, p.266). In order to prevent further entrenchment of the issues experienced by workshop participants (such as loneliness or social isolation) the initial </w:t>
      </w:r>
      <w:proofErr w:type="spellStart"/>
      <w:r w:rsidRPr="00D76343">
        <w:rPr>
          <w:rFonts w:ascii="Helvetica" w:eastAsia="Times New Roman" w:hAnsi="Helvetica" w:cs="Times New Roman"/>
          <w:color w:val="333333"/>
          <w:sz w:val="21"/>
          <w:szCs w:val="21"/>
          <w:lang w:eastAsia="en-GB"/>
        </w:rPr>
        <w:t>MoP</w:t>
      </w:r>
      <w:proofErr w:type="spellEnd"/>
      <w:r w:rsidRPr="00D76343">
        <w:rPr>
          <w:rFonts w:ascii="Helvetica" w:eastAsia="Times New Roman" w:hAnsi="Helvetica" w:cs="Times New Roman"/>
          <w:color w:val="333333"/>
          <w:sz w:val="21"/>
          <w:szCs w:val="21"/>
          <w:lang w:eastAsia="en-GB"/>
        </w:rPr>
        <w:t xml:space="preserve"> session was structured in a way that enabled facilitators to find out about the skills base and mental well-being of the group. Working in partnership with the psychologist from UCL who sat in on the workshops it was discovered that participants came from a broad social spectrum including long time carers, and older men and women from a diverse range of socio-economic and cultural backgrounds. The group also encompassed a number of disabilities including mobility issues, impaired motor skills and deafness.</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Practices that aim to widen participation are particularly well embedded in art and design pedagogy. For the </w:t>
      </w:r>
      <w:proofErr w:type="spellStart"/>
      <w:r w:rsidRPr="00D76343">
        <w:rPr>
          <w:rFonts w:ascii="Helvetica" w:eastAsia="Times New Roman" w:hAnsi="Helvetica" w:cs="Times New Roman"/>
          <w:color w:val="333333"/>
          <w:sz w:val="21"/>
          <w:szCs w:val="21"/>
          <w:lang w:eastAsia="en-GB"/>
        </w:rPr>
        <w:t>MoP</w:t>
      </w:r>
      <w:proofErr w:type="spellEnd"/>
      <w:r w:rsidRPr="00D76343">
        <w:rPr>
          <w:rFonts w:ascii="Helvetica" w:eastAsia="Times New Roman" w:hAnsi="Helvetica" w:cs="Times New Roman"/>
          <w:color w:val="333333"/>
          <w:sz w:val="21"/>
          <w:szCs w:val="21"/>
          <w:lang w:eastAsia="en-GB"/>
        </w:rPr>
        <w:t xml:space="preserve"> workshops M&amp;SC staff were able to draw on their experience of working with so-called ‘non-traditional’ groups in this context. </w:t>
      </w:r>
      <w:proofErr w:type="spellStart"/>
      <w:r w:rsidRPr="00D76343">
        <w:rPr>
          <w:rFonts w:ascii="Helvetica" w:eastAsia="Times New Roman" w:hAnsi="Helvetica" w:cs="Times New Roman"/>
          <w:color w:val="333333"/>
          <w:sz w:val="21"/>
          <w:szCs w:val="21"/>
          <w:lang w:eastAsia="en-GB"/>
        </w:rPr>
        <w:t>Bhagat</w:t>
      </w:r>
      <w:proofErr w:type="spellEnd"/>
      <w:r w:rsidRPr="00D76343">
        <w:rPr>
          <w:rFonts w:ascii="Helvetica" w:eastAsia="Times New Roman" w:hAnsi="Helvetica" w:cs="Times New Roman"/>
          <w:color w:val="333333"/>
          <w:sz w:val="21"/>
          <w:szCs w:val="21"/>
          <w:lang w:eastAsia="en-GB"/>
        </w:rPr>
        <w:t xml:space="preserve"> and O’Neill note the importance of not ‘othering’ or </w:t>
      </w:r>
      <w:proofErr w:type="spellStart"/>
      <w:r w:rsidRPr="00D76343">
        <w:rPr>
          <w:rFonts w:ascii="Helvetica" w:eastAsia="Times New Roman" w:hAnsi="Helvetica" w:cs="Times New Roman"/>
          <w:color w:val="333333"/>
          <w:sz w:val="21"/>
          <w:szCs w:val="21"/>
          <w:lang w:eastAsia="en-GB"/>
        </w:rPr>
        <w:t>problematising</w:t>
      </w:r>
      <w:proofErr w:type="spellEnd"/>
      <w:r w:rsidRPr="00D76343">
        <w:rPr>
          <w:rFonts w:ascii="Helvetica" w:eastAsia="Times New Roman" w:hAnsi="Helvetica" w:cs="Times New Roman"/>
          <w:color w:val="333333"/>
          <w:sz w:val="21"/>
          <w:szCs w:val="21"/>
          <w:lang w:eastAsia="en-GB"/>
        </w:rPr>
        <w:t xml:space="preserve"> those who sit outside the assumed norm (2011, p.22). The art and design pedagogic system is structured to be accessible to all and traverse normative assumptions, creating spaces where learners’ own ‘narratives or subjective experiences’ can be expressed and valued (</w:t>
      </w:r>
      <w:proofErr w:type="spellStart"/>
      <w:r w:rsidRPr="00D76343">
        <w:rPr>
          <w:rFonts w:ascii="Helvetica" w:eastAsia="Times New Roman" w:hAnsi="Helvetica" w:cs="Times New Roman"/>
          <w:color w:val="333333"/>
          <w:sz w:val="21"/>
          <w:szCs w:val="21"/>
          <w:lang w:eastAsia="en-GB"/>
        </w:rPr>
        <w:t>Bhagat</w:t>
      </w:r>
      <w:proofErr w:type="spellEnd"/>
      <w:r w:rsidRPr="00D76343">
        <w:rPr>
          <w:rFonts w:ascii="Helvetica" w:eastAsia="Times New Roman" w:hAnsi="Helvetica" w:cs="Times New Roman"/>
          <w:color w:val="333333"/>
          <w:sz w:val="21"/>
          <w:szCs w:val="21"/>
          <w:lang w:eastAsia="en-GB"/>
        </w:rPr>
        <w:t xml:space="preserve"> and O’Neill, 2011, p.140). Museum staff brought to </w:t>
      </w:r>
      <w:proofErr w:type="spellStart"/>
      <w:r w:rsidRPr="00D76343">
        <w:rPr>
          <w:rFonts w:ascii="Helvetica" w:eastAsia="Times New Roman" w:hAnsi="Helvetica" w:cs="Times New Roman"/>
          <w:color w:val="333333"/>
          <w:sz w:val="21"/>
          <w:szCs w:val="21"/>
          <w:lang w:eastAsia="en-GB"/>
        </w:rPr>
        <w:t>MoP</w:t>
      </w:r>
      <w:proofErr w:type="spellEnd"/>
      <w:r w:rsidRPr="00D76343">
        <w:rPr>
          <w:rFonts w:ascii="Helvetica" w:eastAsia="Times New Roman" w:hAnsi="Helvetica" w:cs="Times New Roman"/>
          <w:color w:val="333333"/>
          <w:sz w:val="21"/>
          <w:szCs w:val="21"/>
          <w:lang w:eastAsia="en-GB"/>
        </w:rPr>
        <w:t xml:space="preserve"> the confidence to deal with language barriers, disability, learning difference and issues of self-confidence.</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Conversations with participants revealed that they had a much higher level of prior knowledge and understanding of art and design than had initially been anticipated, with many of them being makers themselves. Subsequent sessions were modified accordingly to reflect these levels of interest and experience. Participants were encouraged to bring in work of their own and many brought in drawings, photographs and even short films, which they shared with the group.</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Shared experience and exchange of ideas quickly emerged as an important and valued part of the workshops. ‘Peer to peer’ learning is a central element in art and design pedagogy and the ‘</w:t>
      </w:r>
      <w:proofErr w:type="spellStart"/>
      <w:r w:rsidRPr="00D76343">
        <w:rPr>
          <w:rFonts w:ascii="Helvetica" w:eastAsia="Times New Roman" w:hAnsi="Helvetica" w:cs="Times New Roman"/>
          <w:color w:val="333333"/>
          <w:sz w:val="21"/>
          <w:szCs w:val="21"/>
          <w:lang w:eastAsia="en-GB"/>
        </w:rPr>
        <w:t>crit</w:t>
      </w:r>
      <w:proofErr w:type="spellEnd"/>
      <w:r w:rsidRPr="00D76343">
        <w:rPr>
          <w:rFonts w:ascii="Helvetica" w:eastAsia="Times New Roman" w:hAnsi="Helvetica" w:cs="Times New Roman"/>
          <w:color w:val="333333"/>
          <w:sz w:val="21"/>
          <w:szCs w:val="21"/>
          <w:lang w:eastAsia="en-GB"/>
        </w:rPr>
        <w:t>’ or critique is a common way of managing group participation (</w:t>
      </w:r>
      <w:proofErr w:type="spellStart"/>
      <w:r w:rsidRPr="00D76343">
        <w:rPr>
          <w:rFonts w:ascii="Helvetica" w:eastAsia="Times New Roman" w:hAnsi="Helvetica" w:cs="Times New Roman"/>
          <w:color w:val="333333"/>
          <w:sz w:val="21"/>
          <w:szCs w:val="21"/>
          <w:lang w:eastAsia="en-GB"/>
        </w:rPr>
        <w:t>Shreeve</w:t>
      </w:r>
      <w:proofErr w:type="spellEnd"/>
      <w:r w:rsidRPr="00D76343">
        <w:rPr>
          <w:rFonts w:ascii="Helvetica" w:eastAsia="Times New Roman" w:hAnsi="Helvetica" w:cs="Times New Roman"/>
          <w:color w:val="333333"/>
          <w:sz w:val="21"/>
          <w:szCs w:val="21"/>
          <w:lang w:eastAsia="en-GB"/>
        </w:rPr>
        <w:t xml:space="preserve">, Waring and Drew, 2009). A successful </w:t>
      </w:r>
      <w:proofErr w:type="spellStart"/>
      <w:r w:rsidRPr="00D76343">
        <w:rPr>
          <w:rFonts w:ascii="Helvetica" w:eastAsia="Times New Roman" w:hAnsi="Helvetica" w:cs="Times New Roman"/>
          <w:color w:val="333333"/>
          <w:sz w:val="21"/>
          <w:szCs w:val="21"/>
          <w:lang w:eastAsia="en-GB"/>
        </w:rPr>
        <w:t>crit</w:t>
      </w:r>
      <w:proofErr w:type="spellEnd"/>
      <w:r w:rsidRPr="00D76343">
        <w:rPr>
          <w:rFonts w:ascii="Helvetica" w:eastAsia="Times New Roman" w:hAnsi="Helvetica" w:cs="Times New Roman"/>
          <w:color w:val="333333"/>
          <w:sz w:val="21"/>
          <w:szCs w:val="21"/>
          <w:lang w:eastAsia="en-GB"/>
        </w:rPr>
        <w:t xml:space="preserve"> </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 xml:space="preserve"> which may involve storytelling or personal narrative (</w:t>
      </w:r>
      <w:proofErr w:type="spellStart"/>
      <w:r w:rsidRPr="00D76343">
        <w:rPr>
          <w:rFonts w:ascii="Helvetica" w:eastAsia="Times New Roman" w:hAnsi="Helvetica" w:cs="Times New Roman"/>
          <w:color w:val="333333"/>
          <w:sz w:val="21"/>
          <w:szCs w:val="21"/>
          <w:lang w:eastAsia="en-GB"/>
        </w:rPr>
        <w:t>Shreeve</w:t>
      </w:r>
      <w:proofErr w:type="spellEnd"/>
      <w:r w:rsidRPr="00D76343">
        <w:rPr>
          <w:rFonts w:ascii="Helvetica" w:eastAsia="Times New Roman" w:hAnsi="Helvetica" w:cs="Times New Roman"/>
          <w:color w:val="333333"/>
          <w:sz w:val="21"/>
          <w:szCs w:val="21"/>
          <w:lang w:eastAsia="en-GB"/>
        </w:rPr>
        <w:t xml:space="preserve">, Sims and </w:t>
      </w:r>
      <w:proofErr w:type="spellStart"/>
      <w:r w:rsidRPr="00D76343">
        <w:rPr>
          <w:rFonts w:ascii="Helvetica" w:eastAsia="Times New Roman" w:hAnsi="Helvetica" w:cs="Times New Roman"/>
          <w:color w:val="333333"/>
          <w:sz w:val="21"/>
          <w:szCs w:val="21"/>
          <w:lang w:eastAsia="en-GB"/>
        </w:rPr>
        <w:t>Trowler</w:t>
      </w:r>
      <w:proofErr w:type="spellEnd"/>
      <w:r w:rsidRPr="00D76343">
        <w:rPr>
          <w:rFonts w:ascii="Helvetica" w:eastAsia="Times New Roman" w:hAnsi="Helvetica" w:cs="Times New Roman"/>
          <w:color w:val="333333"/>
          <w:sz w:val="21"/>
          <w:szCs w:val="21"/>
          <w:lang w:eastAsia="en-GB"/>
        </w:rPr>
        <w:t xml:space="preserve">, 2010) </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 xml:space="preserve"> involves the creation of a supportive environment where participants feel heard and have the confidence to challenge the opinions of others. This requires an awareness of the power dynamics in the classroom and tutors are required to resist the temptation to lead the discussion.</w:t>
      </w:r>
    </w:p>
    <w:p w:rsid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proofErr w:type="spellStart"/>
      <w:r w:rsidRPr="00D76343">
        <w:rPr>
          <w:rFonts w:ascii="Helvetica" w:eastAsia="Times New Roman" w:hAnsi="Helvetica" w:cs="Times New Roman"/>
          <w:color w:val="333333"/>
          <w:sz w:val="21"/>
          <w:szCs w:val="21"/>
          <w:lang w:eastAsia="en-GB"/>
        </w:rPr>
        <w:t>MoP</w:t>
      </w:r>
      <w:proofErr w:type="spellEnd"/>
      <w:r w:rsidRPr="00D76343">
        <w:rPr>
          <w:rFonts w:ascii="Helvetica" w:eastAsia="Times New Roman" w:hAnsi="Helvetica" w:cs="Times New Roman"/>
          <w:color w:val="333333"/>
          <w:sz w:val="21"/>
          <w:szCs w:val="21"/>
          <w:lang w:eastAsia="en-GB"/>
        </w:rPr>
        <w:t xml:space="preserve"> workshop sessions employed the techniques of a </w:t>
      </w:r>
      <w:proofErr w:type="spellStart"/>
      <w:r w:rsidRPr="00D76343">
        <w:rPr>
          <w:rFonts w:ascii="Helvetica" w:eastAsia="Times New Roman" w:hAnsi="Helvetica" w:cs="Times New Roman"/>
          <w:color w:val="333333"/>
          <w:sz w:val="21"/>
          <w:szCs w:val="21"/>
          <w:lang w:eastAsia="en-GB"/>
        </w:rPr>
        <w:t>crit</w:t>
      </w:r>
      <w:proofErr w:type="spellEnd"/>
      <w:r w:rsidRPr="00D76343">
        <w:rPr>
          <w:rFonts w:ascii="Helvetica" w:eastAsia="Times New Roman" w:hAnsi="Helvetica" w:cs="Times New Roman"/>
          <w:color w:val="333333"/>
          <w:sz w:val="21"/>
          <w:szCs w:val="21"/>
          <w:lang w:eastAsia="en-GB"/>
        </w:rPr>
        <w:t xml:space="preserve"> to draw participants into conversation with the wider group. Each session provided an opportunity for sharing personal experiences, discussing participants’ own creative practice or swapping tips about other places one might go for intellectual stimulation and social activity </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 xml:space="preserve"> something that seemed to be lacking in many of the participants’ lives. It could be argued that this approach represents a benign version of the </w:t>
      </w:r>
      <w:proofErr w:type="spellStart"/>
      <w:r w:rsidRPr="00D76343">
        <w:rPr>
          <w:rFonts w:ascii="Helvetica" w:eastAsia="Times New Roman" w:hAnsi="Helvetica" w:cs="Times New Roman"/>
          <w:color w:val="333333"/>
          <w:sz w:val="21"/>
          <w:szCs w:val="21"/>
          <w:lang w:eastAsia="en-GB"/>
        </w:rPr>
        <w:t>crit</w:t>
      </w:r>
      <w:proofErr w:type="spellEnd"/>
      <w:r w:rsidRPr="00D76343">
        <w:rPr>
          <w:rFonts w:ascii="Helvetica" w:eastAsia="Times New Roman" w:hAnsi="Helvetica" w:cs="Times New Roman"/>
          <w:color w:val="333333"/>
          <w:sz w:val="21"/>
          <w:szCs w:val="21"/>
          <w:lang w:eastAsia="en-GB"/>
        </w:rPr>
        <w:t>, which can be problematic as it can cause anxiety among students (</w:t>
      </w:r>
      <w:proofErr w:type="spellStart"/>
      <w:r w:rsidRPr="00D76343">
        <w:rPr>
          <w:rFonts w:ascii="Helvetica" w:eastAsia="Times New Roman" w:hAnsi="Helvetica" w:cs="Times New Roman"/>
          <w:color w:val="333333"/>
          <w:sz w:val="21"/>
          <w:szCs w:val="21"/>
          <w:lang w:eastAsia="en-GB"/>
        </w:rPr>
        <w:t>Shreeve</w:t>
      </w:r>
      <w:proofErr w:type="spellEnd"/>
      <w:r w:rsidRPr="00D76343">
        <w:rPr>
          <w:rFonts w:ascii="Helvetica" w:eastAsia="Times New Roman" w:hAnsi="Helvetica" w:cs="Times New Roman"/>
          <w:color w:val="333333"/>
          <w:sz w:val="21"/>
          <w:szCs w:val="21"/>
          <w:lang w:eastAsia="en-GB"/>
        </w:rPr>
        <w:t xml:space="preserve">, Waring and Drew, 2009). However, given that this was an informal rather than a formal learning setting, working with potentially vulnerable participants, a more gentle adaptation of the </w:t>
      </w:r>
      <w:proofErr w:type="spellStart"/>
      <w:r w:rsidRPr="00D76343">
        <w:rPr>
          <w:rFonts w:ascii="Helvetica" w:eastAsia="Times New Roman" w:hAnsi="Helvetica" w:cs="Times New Roman"/>
          <w:color w:val="333333"/>
          <w:sz w:val="21"/>
          <w:szCs w:val="21"/>
          <w:lang w:eastAsia="en-GB"/>
        </w:rPr>
        <w:t>crit</w:t>
      </w:r>
      <w:proofErr w:type="spellEnd"/>
      <w:r w:rsidRPr="00D76343">
        <w:rPr>
          <w:rFonts w:ascii="Helvetica" w:eastAsia="Times New Roman" w:hAnsi="Helvetica" w:cs="Times New Roman"/>
          <w:color w:val="333333"/>
          <w:sz w:val="21"/>
          <w:szCs w:val="21"/>
          <w:lang w:eastAsia="en-GB"/>
        </w:rPr>
        <w:t xml:space="preserve"> format seemed to best serve the context.</w:t>
      </w:r>
    </w:p>
    <w:p w:rsid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p>
    <w:p w:rsidR="00D76343" w:rsidRPr="00D76343" w:rsidRDefault="00D76343" w:rsidP="00D76343">
      <w:pPr>
        <w:shd w:val="clear" w:color="auto" w:fill="FFFFFF"/>
        <w:spacing w:before="300" w:after="150" w:line="240" w:lineRule="auto"/>
        <w:outlineLvl w:val="2"/>
        <w:rPr>
          <w:rFonts w:ascii="Helvetica" w:eastAsia="Times New Roman" w:hAnsi="Helvetica" w:cs="Times New Roman"/>
          <w:b/>
          <w:bCs/>
          <w:color w:val="333333"/>
          <w:sz w:val="32"/>
          <w:szCs w:val="32"/>
          <w:lang w:eastAsia="en-GB"/>
        </w:rPr>
      </w:pPr>
      <w:r w:rsidRPr="00D76343">
        <w:rPr>
          <w:rFonts w:ascii="Helvetica" w:eastAsia="Times New Roman" w:hAnsi="Helvetica" w:cs="Times New Roman"/>
          <w:b/>
          <w:bCs/>
          <w:color w:val="333333"/>
          <w:sz w:val="32"/>
          <w:szCs w:val="32"/>
          <w:lang w:eastAsia="en-GB"/>
        </w:rPr>
        <w:lastRenderedPageBreak/>
        <w:t>How will the programme be evaluated?</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Evaluation of the </w:t>
      </w:r>
      <w:proofErr w:type="spellStart"/>
      <w:r w:rsidRPr="00D76343">
        <w:rPr>
          <w:rFonts w:ascii="Helvetica" w:eastAsia="Times New Roman" w:hAnsi="Helvetica" w:cs="Times New Roman"/>
          <w:color w:val="333333"/>
          <w:sz w:val="21"/>
          <w:szCs w:val="21"/>
          <w:lang w:eastAsia="en-GB"/>
        </w:rPr>
        <w:t>MoP</w:t>
      </w:r>
      <w:proofErr w:type="spellEnd"/>
      <w:r w:rsidRPr="00D76343">
        <w:rPr>
          <w:rFonts w:ascii="Helvetica" w:eastAsia="Times New Roman" w:hAnsi="Helvetica" w:cs="Times New Roman"/>
          <w:color w:val="333333"/>
          <w:sz w:val="21"/>
          <w:szCs w:val="21"/>
          <w:lang w:eastAsia="en-GB"/>
        </w:rPr>
        <w:t xml:space="preserve"> programme is on-going and not due to be completed until 2017. However, preliminary assessment of feedback from participants and workshop facilitators indicates a number of positive outcomes from the M&amp;SC programme of activities.</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The mood, mental well-being and social inclusion of participants were evaluated qualitatively and quantitatively at the beginning, middle and end of the programme (in weeks 1, 5 and 10). The evaluation used several measures comprising: the ‘Positive Well-being Umbrella (Older Adult)’ from the UCL Museum Well-being Measures Toolkit, which measured psychological well-being (Thomson and Chatterjee, 2014, p.2015); the ‘Warwick-Edinburgh Mental Well-being Scale’ (WEMWBS) to gauge mental well-being (Tennant </w:t>
      </w:r>
      <w:r w:rsidRPr="00D76343">
        <w:rPr>
          <w:rFonts w:ascii="Helvetica" w:eastAsia="Times New Roman" w:hAnsi="Helvetica" w:cs="Times New Roman"/>
          <w:i/>
          <w:iCs/>
          <w:color w:val="333333"/>
          <w:sz w:val="21"/>
          <w:szCs w:val="21"/>
          <w:lang w:eastAsia="en-GB"/>
        </w:rPr>
        <w:t>et al.,</w:t>
      </w:r>
      <w:r w:rsidRPr="00D76343">
        <w:rPr>
          <w:rFonts w:ascii="Helvetica" w:eastAsia="Times New Roman" w:hAnsi="Helvetica" w:cs="Times New Roman"/>
          <w:color w:val="333333"/>
          <w:sz w:val="21"/>
          <w:szCs w:val="21"/>
          <w:lang w:eastAsia="en-GB"/>
        </w:rPr>
        <w:t xml:space="preserve"> 2007); and the ‘Revised UCLA Loneliness Scale’ (R-UCLA) to determine loneliness and social isolation (Russell, </w:t>
      </w:r>
      <w:proofErr w:type="spellStart"/>
      <w:r w:rsidRPr="00D76343">
        <w:rPr>
          <w:rFonts w:ascii="Helvetica" w:eastAsia="Times New Roman" w:hAnsi="Helvetica" w:cs="Times New Roman"/>
          <w:color w:val="333333"/>
          <w:sz w:val="21"/>
          <w:szCs w:val="21"/>
          <w:lang w:eastAsia="en-GB"/>
        </w:rPr>
        <w:t>Peplau</w:t>
      </w:r>
      <w:proofErr w:type="spellEnd"/>
      <w:r w:rsidRPr="00D76343">
        <w:rPr>
          <w:rFonts w:ascii="Helvetica" w:eastAsia="Times New Roman" w:hAnsi="Helvetica" w:cs="Times New Roman"/>
          <w:color w:val="333333"/>
          <w:sz w:val="21"/>
          <w:szCs w:val="21"/>
          <w:lang w:eastAsia="en-GB"/>
        </w:rPr>
        <w:t xml:space="preserve"> and </w:t>
      </w:r>
      <w:proofErr w:type="spellStart"/>
      <w:r w:rsidRPr="00D76343">
        <w:rPr>
          <w:rFonts w:ascii="Helvetica" w:eastAsia="Times New Roman" w:hAnsi="Helvetica" w:cs="Times New Roman"/>
          <w:color w:val="333333"/>
          <w:sz w:val="21"/>
          <w:szCs w:val="21"/>
          <w:lang w:eastAsia="en-GB"/>
        </w:rPr>
        <w:t>Cutrona</w:t>
      </w:r>
      <w:proofErr w:type="spellEnd"/>
      <w:r w:rsidRPr="00D76343">
        <w:rPr>
          <w:rFonts w:ascii="Helvetica" w:eastAsia="Times New Roman" w:hAnsi="Helvetica" w:cs="Times New Roman"/>
          <w:color w:val="333333"/>
          <w:sz w:val="21"/>
          <w:szCs w:val="21"/>
          <w:lang w:eastAsia="en-GB"/>
        </w:rPr>
        <w:t xml:space="preserve">, 1980). Participants and facilitators were interviewed at programme-end and took part in follow-up interviews with the UCL psychologist at intervals of three and six months after the programme had ended. These interviews used shortened versions of the measures, comprising the ‘3-item Loneliness Scale’ (Hughes, Waite, </w:t>
      </w:r>
      <w:proofErr w:type="spellStart"/>
      <w:r w:rsidRPr="00D76343">
        <w:rPr>
          <w:rFonts w:ascii="Helvetica" w:eastAsia="Times New Roman" w:hAnsi="Helvetica" w:cs="Times New Roman"/>
          <w:color w:val="333333"/>
          <w:sz w:val="21"/>
          <w:szCs w:val="21"/>
          <w:lang w:eastAsia="en-GB"/>
        </w:rPr>
        <w:t>Hawkley</w:t>
      </w:r>
      <w:proofErr w:type="spellEnd"/>
      <w:r w:rsidRPr="00D76343">
        <w:rPr>
          <w:rFonts w:ascii="Helvetica" w:eastAsia="Times New Roman" w:hAnsi="Helvetica" w:cs="Times New Roman"/>
          <w:color w:val="333333"/>
          <w:sz w:val="21"/>
          <w:szCs w:val="21"/>
          <w:lang w:eastAsia="en-GB"/>
        </w:rPr>
        <w:t xml:space="preserve"> and </w:t>
      </w:r>
      <w:proofErr w:type="spellStart"/>
      <w:r w:rsidRPr="00D76343">
        <w:rPr>
          <w:rFonts w:ascii="Helvetica" w:eastAsia="Times New Roman" w:hAnsi="Helvetica" w:cs="Times New Roman"/>
          <w:color w:val="333333"/>
          <w:sz w:val="21"/>
          <w:szCs w:val="21"/>
          <w:lang w:eastAsia="en-GB"/>
        </w:rPr>
        <w:t>Cacioppo</w:t>
      </w:r>
      <w:proofErr w:type="spellEnd"/>
      <w:r w:rsidRPr="00D76343">
        <w:rPr>
          <w:rFonts w:ascii="Helvetica" w:eastAsia="Times New Roman" w:hAnsi="Helvetica" w:cs="Times New Roman"/>
          <w:color w:val="333333"/>
          <w:sz w:val="21"/>
          <w:szCs w:val="21"/>
          <w:lang w:eastAsia="en-GB"/>
        </w:rPr>
        <w:t>, 2004) and the ‘Shortened WEMWBS’ (Stewart-Brown </w:t>
      </w:r>
      <w:r w:rsidRPr="00D76343">
        <w:rPr>
          <w:rFonts w:ascii="Helvetica" w:eastAsia="Times New Roman" w:hAnsi="Helvetica" w:cs="Times New Roman"/>
          <w:i/>
          <w:iCs/>
          <w:color w:val="333333"/>
          <w:sz w:val="21"/>
          <w:szCs w:val="21"/>
          <w:lang w:eastAsia="en-GB"/>
        </w:rPr>
        <w:t>et al.</w:t>
      </w:r>
      <w:r w:rsidRPr="00D76343">
        <w:rPr>
          <w:rFonts w:ascii="Helvetica" w:eastAsia="Times New Roman" w:hAnsi="Helvetica" w:cs="Times New Roman"/>
          <w:color w:val="333333"/>
          <w:sz w:val="21"/>
          <w:szCs w:val="21"/>
          <w:lang w:eastAsia="en-GB"/>
        </w:rPr>
        <w:t>,</w:t>
      </w:r>
      <w:r w:rsidRPr="00D76343">
        <w:rPr>
          <w:rFonts w:ascii="Helvetica" w:eastAsia="Times New Roman" w:hAnsi="Helvetica" w:cs="Times New Roman"/>
          <w:i/>
          <w:iCs/>
          <w:color w:val="333333"/>
          <w:sz w:val="21"/>
          <w:szCs w:val="21"/>
          <w:lang w:eastAsia="en-GB"/>
        </w:rPr>
        <w:t> </w:t>
      </w:r>
      <w:r w:rsidRPr="00D76343">
        <w:rPr>
          <w:rFonts w:ascii="Helvetica" w:eastAsia="Times New Roman" w:hAnsi="Helvetica" w:cs="Times New Roman"/>
          <w:color w:val="333333"/>
          <w:sz w:val="21"/>
          <w:szCs w:val="21"/>
          <w:lang w:eastAsia="en-GB"/>
        </w:rPr>
        <w:t>2009). Participants, carers, workshop facilitators and observers also kept weekly diaries recording their experiences of the workshops. These were shared with the UCL research team and formed part of the evaluative process .</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The UCL Positive Well-being Umbrella is a custom-designed measure, specifically developed at UCL to assess the changes in psychological well-being derived from these museum sessions. The findings from the M&amp;SC workshops evidenced a general improvement in mood and well-being across participants as the programme progressed. Loneliness and well-being </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 xml:space="preserve"> as assessed by the WEMWBS and R-UCLA scales </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 xml:space="preserve"> was less clear-cut, however, data is being recorded from over 100 participants across all the museum partners involved in the </w:t>
      </w:r>
      <w:proofErr w:type="spellStart"/>
      <w:r w:rsidRPr="00D76343">
        <w:rPr>
          <w:rFonts w:ascii="Helvetica" w:eastAsia="Times New Roman" w:hAnsi="Helvetica" w:cs="Times New Roman"/>
          <w:color w:val="333333"/>
          <w:sz w:val="21"/>
          <w:szCs w:val="21"/>
          <w:lang w:eastAsia="en-GB"/>
        </w:rPr>
        <w:t>MoP</w:t>
      </w:r>
      <w:proofErr w:type="spellEnd"/>
      <w:r w:rsidRPr="00D76343">
        <w:rPr>
          <w:rFonts w:ascii="Helvetica" w:eastAsia="Times New Roman" w:hAnsi="Helvetica" w:cs="Times New Roman"/>
          <w:color w:val="333333"/>
          <w:sz w:val="21"/>
          <w:szCs w:val="21"/>
          <w:lang w:eastAsia="en-GB"/>
        </w:rPr>
        <w:t xml:space="preserve"> project, which taken as a whole, may prove more revealing in the longer term.</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Facilitator diaries noted how participants became increasingly connected with one another as the 10 week programme of M&amp;SC workshop activities progressed. Participants became less self-contained and more engaged with making activities. Sessions that involved ‘privileged’ access to rare or precious museum objects were particularly successful, drawing more reluctant participants to connect with the wider group.</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In general, participants responded positively to the way that sessions were structured and seemed keen to share their ideas, memories and experiences. They described sessions as ‘inspiring’, ‘invigorating’ and ‘stimulating’ and noted the importance of facilitators ‘listening to our ideas’. Participants felt it was important that they were intellectually challenged by the workshops and particularly welcomed opportunities to engage with students from Central Saint Martins who led creative activities and gave talks about their work. Almost all of the workshop participants reported how much they enjoyed meeting young people and hearing about their creative approaches.</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Intelligence gathered at the three-month follow up event (attended by 7 of the 11 participants) was particularly useful in obtaining an overview of thoughts and feelings about the sessions. One participant reported that since taking part in the programme they felt ‘more positive about my life and health and more determined to keep up my practice of photography and painting’. Another reported visiting museums or galleries six times in the past three months, despite not being a frequent user before. A third had joined an art class and some of the participants had stayed in touch with one another after the programme ended.</w:t>
      </w:r>
    </w:p>
    <w:p w:rsidR="00D76343" w:rsidRPr="00D76343" w:rsidRDefault="00D76343" w:rsidP="00D76343">
      <w:pPr>
        <w:shd w:val="clear" w:color="auto" w:fill="FFFFFF"/>
        <w:spacing w:before="300" w:after="150" w:line="240" w:lineRule="auto"/>
        <w:outlineLvl w:val="2"/>
        <w:rPr>
          <w:rFonts w:ascii="Helvetica" w:eastAsia="Times New Roman" w:hAnsi="Helvetica" w:cs="Times New Roman"/>
          <w:b/>
          <w:bCs/>
          <w:color w:val="333333"/>
          <w:sz w:val="32"/>
          <w:szCs w:val="32"/>
          <w:lang w:eastAsia="en-GB"/>
        </w:rPr>
      </w:pPr>
      <w:r w:rsidRPr="00D76343">
        <w:rPr>
          <w:rFonts w:ascii="Helvetica" w:eastAsia="Times New Roman" w:hAnsi="Helvetica" w:cs="Times New Roman"/>
          <w:b/>
          <w:bCs/>
          <w:color w:val="333333"/>
          <w:sz w:val="32"/>
          <w:szCs w:val="32"/>
          <w:lang w:eastAsia="en-GB"/>
        </w:rPr>
        <w:t>In conclusion</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The short series of </w:t>
      </w:r>
      <w:proofErr w:type="spellStart"/>
      <w:r w:rsidRPr="00D76343">
        <w:rPr>
          <w:rFonts w:ascii="Helvetica" w:eastAsia="Times New Roman" w:hAnsi="Helvetica" w:cs="Times New Roman"/>
          <w:color w:val="333333"/>
          <w:sz w:val="21"/>
          <w:szCs w:val="21"/>
          <w:lang w:eastAsia="en-GB"/>
        </w:rPr>
        <w:t>MoP</w:t>
      </w:r>
      <w:proofErr w:type="spellEnd"/>
      <w:r w:rsidRPr="00D76343">
        <w:rPr>
          <w:rFonts w:ascii="Helvetica" w:eastAsia="Times New Roman" w:hAnsi="Helvetica" w:cs="Times New Roman"/>
          <w:color w:val="333333"/>
          <w:sz w:val="21"/>
          <w:szCs w:val="21"/>
          <w:lang w:eastAsia="en-GB"/>
        </w:rPr>
        <w:t xml:space="preserve"> workshops staged by the M&amp;SC represent a temporary intervention in the lives of a small number of people. Though claims beyond this small-scale intervention are difficult to surmise, the wider </w:t>
      </w:r>
      <w:proofErr w:type="spellStart"/>
      <w:r w:rsidRPr="00D76343">
        <w:rPr>
          <w:rFonts w:ascii="Helvetica" w:eastAsia="Times New Roman" w:hAnsi="Helvetica" w:cs="Times New Roman"/>
          <w:color w:val="333333"/>
          <w:sz w:val="21"/>
          <w:szCs w:val="21"/>
          <w:lang w:eastAsia="en-GB"/>
        </w:rPr>
        <w:t>MoP</w:t>
      </w:r>
      <w:proofErr w:type="spellEnd"/>
      <w:r w:rsidRPr="00D76343">
        <w:rPr>
          <w:rFonts w:ascii="Helvetica" w:eastAsia="Times New Roman" w:hAnsi="Helvetica" w:cs="Times New Roman"/>
          <w:color w:val="333333"/>
          <w:sz w:val="21"/>
          <w:szCs w:val="21"/>
          <w:lang w:eastAsia="en-GB"/>
        </w:rPr>
        <w:t xml:space="preserve"> project is building upon the success of this and previous social prescribing programmes to gather a body of evidence on how cultural engagement can improve mood, self-confidence and a sense of belonging. Social prescribing has already been shown to </w:t>
      </w:r>
      <w:r w:rsidRPr="00D76343">
        <w:rPr>
          <w:rFonts w:ascii="Helvetica" w:eastAsia="Times New Roman" w:hAnsi="Helvetica" w:cs="Times New Roman"/>
          <w:color w:val="333333"/>
          <w:sz w:val="21"/>
          <w:szCs w:val="21"/>
          <w:lang w:eastAsia="en-GB"/>
        </w:rPr>
        <w:lastRenderedPageBreak/>
        <w:t>have positive outcomes for older people at risk of social exclusion, helping to counter the anxiety and depression that are precursors of dementia. Art and design teaching practice adds another dimension to socially prescribed activities, further benefiting participants through an emphasis on self-awareness, self-confidence and an exchange of ideas.</w:t>
      </w:r>
    </w:p>
    <w:p w:rsidR="00D76343" w:rsidRPr="00D76343" w:rsidRDefault="00D76343" w:rsidP="00D76343">
      <w:pPr>
        <w:shd w:val="clear" w:color="auto" w:fill="FFFFFF"/>
        <w:spacing w:before="300" w:after="150" w:line="240" w:lineRule="auto"/>
        <w:outlineLvl w:val="2"/>
        <w:rPr>
          <w:rFonts w:ascii="Helvetica" w:eastAsia="Times New Roman" w:hAnsi="Helvetica" w:cs="Times New Roman"/>
          <w:b/>
          <w:bCs/>
          <w:color w:val="333333"/>
          <w:sz w:val="32"/>
          <w:szCs w:val="32"/>
          <w:lang w:eastAsia="en-GB"/>
        </w:rPr>
      </w:pPr>
      <w:r w:rsidRPr="00D76343">
        <w:rPr>
          <w:rFonts w:ascii="Helvetica" w:eastAsia="Times New Roman" w:hAnsi="Helvetica" w:cs="Times New Roman"/>
          <w:b/>
          <w:bCs/>
          <w:color w:val="333333"/>
          <w:sz w:val="32"/>
          <w:szCs w:val="32"/>
          <w:lang w:eastAsia="en-GB"/>
        </w:rPr>
        <w:t>References</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proofErr w:type="spellStart"/>
      <w:r w:rsidRPr="00D76343">
        <w:rPr>
          <w:rFonts w:ascii="Helvetica" w:eastAsia="Times New Roman" w:hAnsi="Helvetica" w:cs="Times New Roman"/>
          <w:color w:val="333333"/>
          <w:sz w:val="21"/>
          <w:szCs w:val="21"/>
          <w:lang w:eastAsia="en-GB"/>
        </w:rPr>
        <w:t>Bhagat</w:t>
      </w:r>
      <w:proofErr w:type="spellEnd"/>
      <w:r w:rsidRPr="00D76343">
        <w:rPr>
          <w:rFonts w:ascii="Helvetica" w:eastAsia="Times New Roman" w:hAnsi="Helvetica" w:cs="Times New Roman"/>
          <w:color w:val="333333"/>
          <w:sz w:val="21"/>
          <w:szCs w:val="21"/>
          <w:lang w:eastAsia="en-GB"/>
        </w:rPr>
        <w:t>, D. and O’Neill, P. (2011) </w:t>
      </w:r>
      <w:r w:rsidRPr="00D76343">
        <w:rPr>
          <w:rFonts w:ascii="Helvetica" w:eastAsia="Times New Roman" w:hAnsi="Helvetica" w:cs="Times New Roman"/>
          <w:i/>
          <w:iCs/>
          <w:color w:val="333333"/>
          <w:sz w:val="21"/>
          <w:szCs w:val="21"/>
          <w:lang w:eastAsia="en-GB"/>
        </w:rPr>
        <w:t>Inclusive practices, inclusive pedagogies: learning from widening participation research in art and design higher education</w:t>
      </w:r>
      <w:r w:rsidRPr="00D76343">
        <w:rPr>
          <w:rFonts w:ascii="Helvetica" w:eastAsia="Times New Roman" w:hAnsi="Helvetica" w:cs="Times New Roman"/>
          <w:color w:val="333333"/>
          <w:sz w:val="21"/>
          <w:szCs w:val="21"/>
          <w:lang w:eastAsia="en-GB"/>
        </w:rPr>
        <w:t>. Croydon: Council for Higher Education in Art and Design.</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Biggs, J. and Tang, C. (2011) </w:t>
      </w:r>
      <w:r w:rsidRPr="00D76343">
        <w:rPr>
          <w:rFonts w:ascii="Helvetica" w:eastAsia="Times New Roman" w:hAnsi="Helvetica" w:cs="Times New Roman"/>
          <w:i/>
          <w:iCs/>
          <w:color w:val="333333"/>
          <w:sz w:val="21"/>
          <w:szCs w:val="21"/>
          <w:lang w:eastAsia="en-GB"/>
        </w:rPr>
        <w:t>Teaching for quality learning at university: what the student does</w:t>
      </w:r>
      <w:r w:rsidRPr="00D76343">
        <w:rPr>
          <w:rFonts w:ascii="Helvetica" w:eastAsia="Times New Roman" w:hAnsi="Helvetica" w:cs="Times New Roman"/>
          <w:color w:val="333333"/>
          <w:sz w:val="21"/>
          <w:szCs w:val="21"/>
          <w:lang w:eastAsia="en-GB"/>
        </w:rPr>
        <w:t xml:space="preserve">. 4th </w:t>
      </w:r>
      <w:proofErr w:type="spellStart"/>
      <w:r w:rsidRPr="00D76343">
        <w:rPr>
          <w:rFonts w:ascii="Helvetica" w:eastAsia="Times New Roman" w:hAnsi="Helvetica" w:cs="Times New Roman"/>
          <w:color w:val="333333"/>
          <w:sz w:val="21"/>
          <w:szCs w:val="21"/>
          <w:lang w:eastAsia="en-GB"/>
        </w:rPr>
        <w:t>edn</w:t>
      </w:r>
      <w:proofErr w:type="spellEnd"/>
      <w:r w:rsidRPr="00D76343">
        <w:rPr>
          <w:rFonts w:ascii="Helvetica" w:eastAsia="Times New Roman" w:hAnsi="Helvetica" w:cs="Times New Roman"/>
          <w:color w:val="333333"/>
          <w:sz w:val="21"/>
          <w:szCs w:val="21"/>
          <w:lang w:eastAsia="en-GB"/>
        </w:rPr>
        <w:t>. Maidenhead: The Society for Research into Higher Education and Open Univ</w:t>
      </w:r>
      <w:bookmarkStart w:id="0" w:name="_GoBack"/>
      <w:bookmarkEnd w:id="0"/>
      <w:r w:rsidRPr="00D76343">
        <w:rPr>
          <w:rFonts w:ascii="Helvetica" w:eastAsia="Times New Roman" w:hAnsi="Helvetica" w:cs="Times New Roman"/>
          <w:color w:val="333333"/>
          <w:sz w:val="21"/>
          <w:szCs w:val="21"/>
          <w:lang w:eastAsia="en-GB"/>
        </w:rPr>
        <w:t>ersity Press.</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Brookfield, S. D. (1995) </w:t>
      </w:r>
      <w:r w:rsidRPr="00D76343">
        <w:rPr>
          <w:rFonts w:ascii="Helvetica" w:eastAsia="Times New Roman" w:hAnsi="Helvetica" w:cs="Times New Roman"/>
          <w:i/>
          <w:iCs/>
          <w:color w:val="333333"/>
          <w:sz w:val="21"/>
          <w:szCs w:val="21"/>
          <w:lang w:eastAsia="en-GB"/>
        </w:rPr>
        <w:t>Becoming a critically reflective teacher</w:t>
      </w:r>
      <w:r w:rsidRPr="00D76343">
        <w:rPr>
          <w:rFonts w:ascii="Helvetica" w:eastAsia="Times New Roman" w:hAnsi="Helvetica" w:cs="Times New Roman"/>
          <w:color w:val="333333"/>
          <w:sz w:val="21"/>
          <w:szCs w:val="21"/>
          <w:lang w:eastAsia="en-GB"/>
        </w:rPr>
        <w:t xml:space="preserve">. San Francisco: </w:t>
      </w:r>
      <w:proofErr w:type="spellStart"/>
      <w:r w:rsidRPr="00D76343">
        <w:rPr>
          <w:rFonts w:ascii="Helvetica" w:eastAsia="Times New Roman" w:hAnsi="Helvetica" w:cs="Times New Roman"/>
          <w:color w:val="333333"/>
          <w:sz w:val="21"/>
          <w:szCs w:val="21"/>
          <w:lang w:eastAsia="en-GB"/>
        </w:rPr>
        <w:t>Jossey</w:t>
      </w:r>
      <w:proofErr w:type="spellEnd"/>
      <w:r w:rsidRPr="00D76343">
        <w:rPr>
          <w:rFonts w:ascii="Helvetica" w:eastAsia="Times New Roman" w:hAnsi="Helvetica" w:cs="Times New Roman"/>
          <w:color w:val="333333"/>
          <w:sz w:val="21"/>
          <w:szCs w:val="21"/>
          <w:lang w:eastAsia="en-GB"/>
        </w:rPr>
        <w:t xml:space="preserve"> Bass.</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proofErr w:type="spellStart"/>
      <w:r w:rsidRPr="00D76343">
        <w:rPr>
          <w:rFonts w:ascii="Helvetica" w:eastAsia="Times New Roman" w:hAnsi="Helvetica" w:cs="Times New Roman"/>
          <w:color w:val="333333"/>
          <w:sz w:val="21"/>
          <w:szCs w:val="21"/>
          <w:lang w:eastAsia="en-GB"/>
        </w:rPr>
        <w:t>CentreForum</w:t>
      </w:r>
      <w:proofErr w:type="spellEnd"/>
      <w:r w:rsidRPr="00D76343">
        <w:rPr>
          <w:rFonts w:ascii="Helvetica" w:eastAsia="Times New Roman" w:hAnsi="Helvetica" w:cs="Times New Roman"/>
          <w:color w:val="333333"/>
          <w:sz w:val="21"/>
          <w:szCs w:val="21"/>
          <w:lang w:eastAsia="en-GB"/>
        </w:rPr>
        <w:t xml:space="preserve"> Mental Health Commission (2014) </w:t>
      </w:r>
      <w:r w:rsidRPr="00D76343">
        <w:rPr>
          <w:rFonts w:ascii="Helvetica" w:eastAsia="Times New Roman" w:hAnsi="Helvetica" w:cs="Times New Roman"/>
          <w:i/>
          <w:iCs/>
          <w:color w:val="333333"/>
          <w:sz w:val="21"/>
          <w:szCs w:val="21"/>
          <w:lang w:eastAsia="en-GB"/>
        </w:rPr>
        <w:t>The pursuit of happiness: a new ambition for our mental health</w:t>
      </w:r>
      <w:r w:rsidRPr="00D76343">
        <w:rPr>
          <w:rFonts w:ascii="Helvetica" w:eastAsia="Times New Roman" w:hAnsi="Helvetica" w:cs="Times New Roman"/>
          <w:color w:val="333333"/>
          <w:sz w:val="21"/>
          <w:szCs w:val="21"/>
          <w:lang w:eastAsia="en-GB"/>
        </w:rPr>
        <w:t>. Available at: </w:t>
      </w:r>
      <w:hyperlink r:id="rId5" w:history="1">
        <w:r w:rsidRPr="00D76343">
          <w:rPr>
            <w:rFonts w:ascii="Helvetica" w:eastAsia="Times New Roman" w:hAnsi="Helvetica" w:cs="Times New Roman"/>
            <w:color w:val="222222"/>
            <w:sz w:val="21"/>
            <w:szCs w:val="21"/>
            <w:u w:val="single"/>
            <w:lang w:eastAsia="en-GB"/>
          </w:rPr>
          <w:t>http://www.centreforum.org/assets/pubs/the-pursuit-of-happiness.pdf</w:t>
        </w:r>
      </w:hyperlink>
      <w:r w:rsidRPr="00D76343">
        <w:rPr>
          <w:rFonts w:ascii="Helvetica" w:eastAsia="Times New Roman" w:hAnsi="Helvetica" w:cs="Times New Roman"/>
          <w:color w:val="333333"/>
          <w:sz w:val="21"/>
          <w:szCs w:val="21"/>
          <w:lang w:eastAsia="en-GB"/>
        </w:rPr>
        <w:t> (Accessed: 1 December 2016).</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Chatterjee, H. and Noble, G. (2016) </w:t>
      </w:r>
      <w:r w:rsidRPr="00D76343">
        <w:rPr>
          <w:rFonts w:ascii="Helvetica" w:eastAsia="Times New Roman" w:hAnsi="Helvetica" w:cs="Times New Roman"/>
          <w:i/>
          <w:iCs/>
          <w:color w:val="333333"/>
          <w:sz w:val="21"/>
          <w:szCs w:val="21"/>
          <w:lang w:eastAsia="en-GB"/>
        </w:rPr>
        <w:t>Museums, health and well-being</w:t>
      </w:r>
      <w:r w:rsidRPr="00D76343">
        <w:rPr>
          <w:rFonts w:ascii="Helvetica" w:eastAsia="Times New Roman" w:hAnsi="Helvetica" w:cs="Times New Roman"/>
          <w:color w:val="333333"/>
          <w:sz w:val="21"/>
          <w:szCs w:val="21"/>
          <w:lang w:eastAsia="en-GB"/>
        </w:rPr>
        <w:t>. Abingdon, Oxon, Routledge.</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Hughes. M. E., Waite, L. J., </w:t>
      </w:r>
      <w:proofErr w:type="spellStart"/>
      <w:r w:rsidRPr="00D76343">
        <w:rPr>
          <w:rFonts w:ascii="Helvetica" w:eastAsia="Times New Roman" w:hAnsi="Helvetica" w:cs="Times New Roman"/>
          <w:color w:val="333333"/>
          <w:sz w:val="21"/>
          <w:szCs w:val="21"/>
          <w:lang w:eastAsia="en-GB"/>
        </w:rPr>
        <w:t>Hawkley</w:t>
      </w:r>
      <w:proofErr w:type="spellEnd"/>
      <w:r w:rsidRPr="00D76343">
        <w:rPr>
          <w:rFonts w:ascii="Helvetica" w:eastAsia="Times New Roman" w:hAnsi="Helvetica" w:cs="Times New Roman"/>
          <w:color w:val="333333"/>
          <w:sz w:val="21"/>
          <w:szCs w:val="21"/>
          <w:lang w:eastAsia="en-GB"/>
        </w:rPr>
        <w:t xml:space="preserve">, L. C. and </w:t>
      </w:r>
      <w:proofErr w:type="spellStart"/>
      <w:r w:rsidRPr="00D76343">
        <w:rPr>
          <w:rFonts w:ascii="Helvetica" w:eastAsia="Times New Roman" w:hAnsi="Helvetica" w:cs="Times New Roman"/>
          <w:color w:val="333333"/>
          <w:sz w:val="21"/>
          <w:szCs w:val="21"/>
          <w:lang w:eastAsia="en-GB"/>
        </w:rPr>
        <w:t>Cacioppo</w:t>
      </w:r>
      <w:proofErr w:type="spellEnd"/>
      <w:r w:rsidRPr="00D76343">
        <w:rPr>
          <w:rFonts w:ascii="Helvetica" w:eastAsia="Times New Roman" w:hAnsi="Helvetica" w:cs="Times New Roman"/>
          <w:color w:val="333333"/>
          <w:sz w:val="21"/>
          <w:szCs w:val="21"/>
          <w:lang w:eastAsia="en-GB"/>
        </w:rPr>
        <w:t>, J. T. (2004) ‘A short scale for measuring loneliness in large surveys: results from two population-based studies’, </w:t>
      </w:r>
      <w:r w:rsidRPr="00D76343">
        <w:rPr>
          <w:rFonts w:ascii="Helvetica" w:eastAsia="Times New Roman" w:hAnsi="Helvetica" w:cs="Times New Roman"/>
          <w:i/>
          <w:iCs/>
          <w:color w:val="333333"/>
          <w:sz w:val="21"/>
          <w:szCs w:val="21"/>
          <w:lang w:eastAsia="en-GB"/>
        </w:rPr>
        <w:t>Research on Aging</w:t>
      </w:r>
      <w:r w:rsidRPr="00D76343">
        <w:rPr>
          <w:rFonts w:ascii="Helvetica" w:eastAsia="Times New Roman" w:hAnsi="Helvetica" w:cs="Times New Roman"/>
          <w:color w:val="333333"/>
          <w:sz w:val="21"/>
          <w:szCs w:val="21"/>
          <w:lang w:eastAsia="en-GB"/>
        </w:rPr>
        <w:t>, 26(6), pp. 655</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672.</w:t>
      </w:r>
      <w:r w:rsidRPr="00D76343">
        <w:rPr>
          <w:rFonts w:ascii="Helvetica" w:eastAsia="Times New Roman" w:hAnsi="Helvetica" w:cs="Helvetica"/>
          <w:color w:val="333333"/>
          <w:sz w:val="21"/>
          <w:szCs w:val="21"/>
          <w:lang w:eastAsia="en-GB"/>
        </w:rPr>
        <w:t> </w:t>
      </w:r>
      <w:hyperlink r:id="rId6" w:history="1">
        <w:r w:rsidRPr="00D76343">
          <w:rPr>
            <w:rFonts w:ascii="Helvetica" w:eastAsia="Times New Roman" w:hAnsi="Helvetica" w:cs="Times New Roman"/>
            <w:color w:val="222222"/>
            <w:sz w:val="21"/>
            <w:szCs w:val="21"/>
            <w:u w:val="single"/>
            <w:lang w:eastAsia="en-GB"/>
          </w:rPr>
          <w:t>http://dx.doi.org/10.1177/0164027504268574</w:t>
        </w:r>
      </w:hyperlink>
      <w:r w:rsidRPr="00D76343">
        <w:rPr>
          <w:rFonts w:ascii="Helvetica" w:eastAsia="Times New Roman" w:hAnsi="Helvetica" w:cs="Times New Roman"/>
          <w:color w:val="333333"/>
          <w:sz w:val="21"/>
          <w:szCs w:val="21"/>
          <w:lang w:eastAsia="en-GB"/>
        </w:rPr>
        <w:t>.</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Paris, S. G. (ed.) (2002) </w:t>
      </w:r>
      <w:r w:rsidRPr="00D76343">
        <w:rPr>
          <w:rFonts w:ascii="Helvetica" w:eastAsia="Times New Roman" w:hAnsi="Helvetica" w:cs="Times New Roman"/>
          <w:i/>
          <w:iCs/>
          <w:color w:val="333333"/>
          <w:sz w:val="21"/>
          <w:szCs w:val="21"/>
          <w:lang w:eastAsia="en-GB"/>
        </w:rPr>
        <w:t>Perspectives on object-centred learning in museums</w:t>
      </w:r>
      <w:r w:rsidRPr="00D76343">
        <w:rPr>
          <w:rFonts w:ascii="Helvetica" w:eastAsia="Times New Roman" w:hAnsi="Helvetica" w:cs="Times New Roman"/>
          <w:color w:val="333333"/>
          <w:sz w:val="21"/>
          <w:szCs w:val="21"/>
          <w:lang w:eastAsia="en-GB"/>
        </w:rPr>
        <w:t>. Mahwah: Routledge.</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Russell, D., </w:t>
      </w:r>
      <w:proofErr w:type="spellStart"/>
      <w:r w:rsidRPr="00D76343">
        <w:rPr>
          <w:rFonts w:ascii="Helvetica" w:eastAsia="Times New Roman" w:hAnsi="Helvetica" w:cs="Times New Roman"/>
          <w:color w:val="333333"/>
          <w:sz w:val="21"/>
          <w:szCs w:val="21"/>
          <w:lang w:eastAsia="en-GB"/>
        </w:rPr>
        <w:t>Peplau</w:t>
      </w:r>
      <w:proofErr w:type="spellEnd"/>
      <w:r w:rsidRPr="00D76343">
        <w:rPr>
          <w:rFonts w:ascii="Helvetica" w:eastAsia="Times New Roman" w:hAnsi="Helvetica" w:cs="Times New Roman"/>
          <w:color w:val="333333"/>
          <w:sz w:val="21"/>
          <w:szCs w:val="21"/>
          <w:lang w:eastAsia="en-GB"/>
        </w:rPr>
        <w:t xml:space="preserve">, L. A. and </w:t>
      </w:r>
      <w:proofErr w:type="spellStart"/>
      <w:r w:rsidRPr="00D76343">
        <w:rPr>
          <w:rFonts w:ascii="Helvetica" w:eastAsia="Times New Roman" w:hAnsi="Helvetica" w:cs="Times New Roman"/>
          <w:color w:val="333333"/>
          <w:sz w:val="21"/>
          <w:szCs w:val="21"/>
          <w:lang w:eastAsia="en-GB"/>
        </w:rPr>
        <w:t>Cutrona</w:t>
      </w:r>
      <w:proofErr w:type="spellEnd"/>
      <w:r w:rsidRPr="00D76343">
        <w:rPr>
          <w:rFonts w:ascii="Helvetica" w:eastAsia="Times New Roman" w:hAnsi="Helvetica" w:cs="Times New Roman"/>
          <w:color w:val="333333"/>
          <w:sz w:val="21"/>
          <w:szCs w:val="21"/>
          <w:lang w:eastAsia="en-GB"/>
        </w:rPr>
        <w:t>, C. E. (1980) ‘The revised UCLA loneliness scale: concurrent and discriminant validity evidence’, </w:t>
      </w:r>
      <w:r w:rsidRPr="00D76343">
        <w:rPr>
          <w:rFonts w:ascii="Helvetica" w:eastAsia="Times New Roman" w:hAnsi="Helvetica" w:cs="Times New Roman"/>
          <w:i/>
          <w:iCs/>
          <w:color w:val="333333"/>
          <w:sz w:val="21"/>
          <w:szCs w:val="21"/>
          <w:lang w:eastAsia="en-GB"/>
        </w:rPr>
        <w:t>Journal of Personality and Social Psychology</w:t>
      </w:r>
      <w:r w:rsidRPr="00D76343">
        <w:rPr>
          <w:rFonts w:ascii="Helvetica" w:eastAsia="Times New Roman" w:hAnsi="Helvetica" w:cs="Times New Roman"/>
          <w:color w:val="333333"/>
          <w:sz w:val="21"/>
          <w:szCs w:val="21"/>
          <w:lang w:eastAsia="en-GB"/>
        </w:rPr>
        <w:t>, 39(3), pp. 472</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480.</w:t>
      </w:r>
      <w:r w:rsidRPr="00D76343">
        <w:rPr>
          <w:rFonts w:ascii="Helvetica" w:eastAsia="Times New Roman" w:hAnsi="Helvetica" w:cs="Helvetica"/>
          <w:color w:val="333333"/>
          <w:sz w:val="21"/>
          <w:szCs w:val="21"/>
          <w:lang w:eastAsia="en-GB"/>
        </w:rPr>
        <w:t> </w:t>
      </w:r>
      <w:hyperlink r:id="rId7" w:history="1">
        <w:r w:rsidRPr="00D76343">
          <w:rPr>
            <w:rFonts w:ascii="Helvetica" w:eastAsia="Times New Roman" w:hAnsi="Helvetica" w:cs="Times New Roman"/>
            <w:color w:val="222222"/>
            <w:sz w:val="21"/>
            <w:szCs w:val="21"/>
            <w:u w:val="single"/>
            <w:lang w:eastAsia="en-GB"/>
          </w:rPr>
          <w:t>http://dx.doi.org/10.1037/0022-3514.39.3.472</w:t>
        </w:r>
      </w:hyperlink>
      <w:r w:rsidRPr="00D76343">
        <w:rPr>
          <w:rFonts w:ascii="Helvetica" w:eastAsia="Times New Roman" w:hAnsi="Helvetica" w:cs="Times New Roman"/>
          <w:color w:val="333333"/>
          <w:sz w:val="21"/>
          <w:szCs w:val="21"/>
          <w:lang w:eastAsia="en-GB"/>
        </w:rPr>
        <w:t>.</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proofErr w:type="spellStart"/>
      <w:r w:rsidRPr="00D76343">
        <w:rPr>
          <w:rFonts w:ascii="Helvetica" w:eastAsia="Times New Roman" w:hAnsi="Helvetica" w:cs="Times New Roman"/>
          <w:color w:val="333333"/>
          <w:sz w:val="21"/>
          <w:szCs w:val="21"/>
          <w:lang w:eastAsia="en-GB"/>
        </w:rPr>
        <w:t>Shreeve</w:t>
      </w:r>
      <w:proofErr w:type="spellEnd"/>
      <w:r w:rsidRPr="00D76343">
        <w:rPr>
          <w:rFonts w:ascii="Helvetica" w:eastAsia="Times New Roman" w:hAnsi="Helvetica" w:cs="Times New Roman"/>
          <w:color w:val="333333"/>
          <w:sz w:val="21"/>
          <w:szCs w:val="21"/>
          <w:lang w:eastAsia="en-GB"/>
        </w:rPr>
        <w:t xml:space="preserve">, A., Sims, E. and </w:t>
      </w:r>
      <w:proofErr w:type="spellStart"/>
      <w:r w:rsidRPr="00D76343">
        <w:rPr>
          <w:rFonts w:ascii="Helvetica" w:eastAsia="Times New Roman" w:hAnsi="Helvetica" w:cs="Times New Roman"/>
          <w:color w:val="333333"/>
          <w:sz w:val="21"/>
          <w:szCs w:val="21"/>
          <w:lang w:eastAsia="en-GB"/>
        </w:rPr>
        <w:t>Trowler</w:t>
      </w:r>
      <w:proofErr w:type="spellEnd"/>
      <w:r w:rsidRPr="00D76343">
        <w:rPr>
          <w:rFonts w:ascii="Helvetica" w:eastAsia="Times New Roman" w:hAnsi="Helvetica" w:cs="Times New Roman"/>
          <w:color w:val="333333"/>
          <w:sz w:val="21"/>
          <w:szCs w:val="21"/>
          <w:lang w:eastAsia="en-GB"/>
        </w:rPr>
        <w:t>, P. (2010) ‘“A kind of exchange”: learning from art and design teaching’, </w:t>
      </w:r>
      <w:r w:rsidRPr="00D76343">
        <w:rPr>
          <w:rFonts w:ascii="Helvetica" w:eastAsia="Times New Roman" w:hAnsi="Helvetica" w:cs="Times New Roman"/>
          <w:i/>
          <w:iCs/>
          <w:color w:val="333333"/>
          <w:sz w:val="21"/>
          <w:szCs w:val="21"/>
          <w:lang w:eastAsia="en-GB"/>
        </w:rPr>
        <w:t>Higher Education Research and Development</w:t>
      </w:r>
      <w:r w:rsidRPr="00D76343">
        <w:rPr>
          <w:rFonts w:ascii="Helvetica" w:eastAsia="Times New Roman" w:hAnsi="Helvetica" w:cs="Times New Roman"/>
          <w:color w:val="333333"/>
          <w:sz w:val="21"/>
          <w:szCs w:val="21"/>
          <w:lang w:eastAsia="en-GB"/>
        </w:rPr>
        <w:t>, 29(2), pp. 125</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138.</w:t>
      </w:r>
      <w:r w:rsidRPr="00D76343">
        <w:rPr>
          <w:rFonts w:ascii="Helvetica" w:eastAsia="Times New Roman" w:hAnsi="Helvetica" w:cs="Helvetica"/>
          <w:color w:val="333333"/>
          <w:sz w:val="21"/>
          <w:szCs w:val="21"/>
          <w:lang w:eastAsia="en-GB"/>
        </w:rPr>
        <w:t> </w:t>
      </w:r>
      <w:hyperlink r:id="rId8" w:history="1">
        <w:r w:rsidRPr="00D76343">
          <w:rPr>
            <w:rFonts w:ascii="Helvetica" w:eastAsia="Times New Roman" w:hAnsi="Helvetica" w:cs="Times New Roman"/>
            <w:color w:val="222222"/>
            <w:sz w:val="21"/>
            <w:szCs w:val="21"/>
            <w:u w:val="single"/>
            <w:lang w:eastAsia="en-GB"/>
          </w:rPr>
          <w:t>http://dx.doi.org/10.1080/07294360903384269</w:t>
        </w:r>
      </w:hyperlink>
      <w:r w:rsidRPr="00D76343">
        <w:rPr>
          <w:rFonts w:ascii="Helvetica" w:eastAsia="Times New Roman" w:hAnsi="Helvetica" w:cs="Times New Roman"/>
          <w:color w:val="333333"/>
          <w:sz w:val="21"/>
          <w:szCs w:val="21"/>
          <w:lang w:eastAsia="en-GB"/>
        </w:rPr>
        <w:t>.</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proofErr w:type="spellStart"/>
      <w:r w:rsidRPr="00D76343">
        <w:rPr>
          <w:rFonts w:ascii="Helvetica" w:eastAsia="Times New Roman" w:hAnsi="Helvetica" w:cs="Times New Roman"/>
          <w:color w:val="333333"/>
          <w:sz w:val="21"/>
          <w:szCs w:val="21"/>
          <w:lang w:eastAsia="en-GB"/>
        </w:rPr>
        <w:t>Shreeve</w:t>
      </w:r>
      <w:proofErr w:type="spellEnd"/>
      <w:r w:rsidRPr="00D76343">
        <w:rPr>
          <w:rFonts w:ascii="Helvetica" w:eastAsia="Times New Roman" w:hAnsi="Helvetica" w:cs="Times New Roman"/>
          <w:color w:val="333333"/>
          <w:sz w:val="21"/>
          <w:szCs w:val="21"/>
          <w:lang w:eastAsia="en-GB"/>
        </w:rPr>
        <w:t xml:space="preserve">, A., Waring, S. and Drew, L. (2009) ‘Key aspects of teaching and learning in the visual arts,’ in Fry, H., </w:t>
      </w:r>
      <w:proofErr w:type="spellStart"/>
      <w:r w:rsidRPr="00D76343">
        <w:rPr>
          <w:rFonts w:ascii="Helvetica" w:eastAsia="Times New Roman" w:hAnsi="Helvetica" w:cs="Times New Roman"/>
          <w:color w:val="333333"/>
          <w:sz w:val="21"/>
          <w:szCs w:val="21"/>
          <w:lang w:eastAsia="en-GB"/>
        </w:rPr>
        <w:t>Ketteridge</w:t>
      </w:r>
      <w:proofErr w:type="spellEnd"/>
      <w:r w:rsidRPr="00D76343">
        <w:rPr>
          <w:rFonts w:ascii="Helvetica" w:eastAsia="Times New Roman" w:hAnsi="Helvetica" w:cs="Times New Roman"/>
          <w:color w:val="333333"/>
          <w:sz w:val="21"/>
          <w:szCs w:val="21"/>
          <w:lang w:eastAsia="en-GB"/>
        </w:rPr>
        <w:t>, S. and Marshall, S. A (eds.) </w:t>
      </w:r>
      <w:r w:rsidRPr="00D76343">
        <w:rPr>
          <w:rFonts w:ascii="Helvetica" w:eastAsia="Times New Roman" w:hAnsi="Helvetica" w:cs="Times New Roman"/>
          <w:i/>
          <w:iCs/>
          <w:color w:val="333333"/>
          <w:sz w:val="21"/>
          <w:szCs w:val="21"/>
          <w:lang w:eastAsia="en-GB"/>
        </w:rPr>
        <w:t>A Handbook for teaching and learning in higher education: enhancing academic practice</w:t>
      </w:r>
      <w:r w:rsidRPr="00D76343">
        <w:rPr>
          <w:rFonts w:ascii="Helvetica" w:eastAsia="Times New Roman" w:hAnsi="Helvetica" w:cs="Times New Roman"/>
          <w:color w:val="333333"/>
          <w:sz w:val="21"/>
          <w:szCs w:val="21"/>
          <w:lang w:eastAsia="en-GB"/>
        </w:rPr>
        <w:t xml:space="preserve">. 3rd </w:t>
      </w:r>
      <w:proofErr w:type="spellStart"/>
      <w:r w:rsidRPr="00D76343">
        <w:rPr>
          <w:rFonts w:ascii="Helvetica" w:eastAsia="Times New Roman" w:hAnsi="Helvetica" w:cs="Times New Roman"/>
          <w:color w:val="333333"/>
          <w:sz w:val="21"/>
          <w:szCs w:val="21"/>
          <w:lang w:eastAsia="en-GB"/>
        </w:rPr>
        <w:t>edn</w:t>
      </w:r>
      <w:proofErr w:type="spellEnd"/>
      <w:r w:rsidRPr="00D76343">
        <w:rPr>
          <w:rFonts w:ascii="Helvetica" w:eastAsia="Times New Roman" w:hAnsi="Helvetica" w:cs="Times New Roman"/>
          <w:color w:val="333333"/>
          <w:sz w:val="21"/>
          <w:szCs w:val="21"/>
          <w:lang w:eastAsia="en-GB"/>
        </w:rPr>
        <w:t>. Abingdon: Routledge, pp. 345</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362.</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Silverman, L. (2002) ‘The therapeutic potential of museums as pathways to inclusion’, in </w:t>
      </w:r>
      <w:proofErr w:type="spellStart"/>
      <w:r w:rsidRPr="00D76343">
        <w:rPr>
          <w:rFonts w:ascii="Helvetica" w:eastAsia="Times New Roman" w:hAnsi="Helvetica" w:cs="Times New Roman"/>
          <w:color w:val="333333"/>
          <w:sz w:val="21"/>
          <w:szCs w:val="21"/>
          <w:lang w:eastAsia="en-GB"/>
        </w:rPr>
        <w:t>Sandell</w:t>
      </w:r>
      <w:proofErr w:type="spellEnd"/>
      <w:r w:rsidRPr="00D76343">
        <w:rPr>
          <w:rFonts w:ascii="Helvetica" w:eastAsia="Times New Roman" w:hAnsi="Helvetica" w:cs="Times New Roman"/>
          <w:color w:val="333333"/>
          <w:sz w:val="21"/>
          <w:szCs w:val="21"/>
          <w:lang w:eastAsia="en-GB"/>
        </w:rPr>
        <w:t>, R. (ed.) </w:t>
      </w:r>
      <w:r w:rsidRPr="00D76343">
        <w:rPr>
          <w:rFonts w:ascii="Helvetica" w:eastAsia="Times New Roman" w:hAnsi="Helvetica" w:cs="Times New Roman"/>
          <w:i/>
          <w:iCs/>
          <w:color w:val="333333"/>
          <w:sz w:val="21"/>
          <w:szCs w:val="21"/>
          <w:lang w:eastAsia="en-GB"/>
        </w:rPr>
        <w:t>Museums, society, inequality</w:t>
      </w:r>
      <w:r w:rsidRPr="00D76343">
        <w:rPr>
          <w:rFonts w:ascii="Helvetica" w:eastAsia="Times New Roman" w:hAnsi="Helvetica" w:cs="Times New Roman"/>
          <w:color w:val="333333"/>
          <w:sz w:val="21"/>
          <w:szCs w:val="21"/>
          <w:lang w:eastAsia="en-GB"/>
        </w:rPr>
        <w:t>. Abingdon: Routledge, pp. 69</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83.</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Stewart-Brown, S., Tennant, A., Tennant, R., Platt, S., Parkinson, J. and </w:t>
      </w:r>
      <w:proofErr w:type="spellStart"/>
      <w:r w:rsidRPr="00D76343">
        <w:rPr>
          <w:rFonts w:ascii="Helvetica" w:eastAsia="Times New Roman" w:hAnsi="Helvetica" w:cs="Times New Roman"/>
          <w:color w:val="333333"/>
          <w:sz w:val="21"/>
          <w:szCs w:val="21"/>
          <w:lang w:eastAsia="en-GB"/>
        </w:rPr>
        <w:t>Weich</w:t>
      </w:r>
      <w:proofErr w:type="spellEnd"/>
      <w:r w:rsidRPr="00D76343">
        <w:rPr>
          <w:rFonts w:ascii="Helvetica" w:eastAsia="Times New Roman" w:hAnsi="Helvetica" w:cs="Times New Roman"/>
          <w:color w:val="333333"/>
          <w:sz w:val="21"/>
          <w:szCs w:val="21"/>
          <w:lang w:eastAsia="en-GB"/>
        </w:rPr>
        <w:t xml:space="preserve">, S. (2009) ‘Internal construct validity of the Warwick-Edinburgh Mental Well-being Scale (WEMWBS): a </w:t>
      </w:r>
      <w:proofErr w:type="spellStart"/>
      <w:r w:rsidRPr="00D76343">
        <w:rPr>
          <w:rFonts w:ascii="Helvetica" w:eastAsia="Times New Roman" w:hAnsi="Helvetica" w:cs="Times New Roman"/>
          <w:color w:val="333333"/>
          <w:sz w:val="21"/>
          <w:szCs w:val="21"/>
          <w:lang w:eastAsia="en-GB"/>
        </w:rPr>
        <w:t>Rasch</w:t>
      </w:r>
      <w:proofErr w:type="spellEnd"/>
      <w:r w:rsidRPr="00D76343">
        <w:rPr>
          <w:rFonts w:ascii="Helvetica" w:eastAsia="Times New Roman" w:hAnsi="Helvetica" w:cs="Times New Roman"/>
          <w:color w:val="333333"/>
          <w:sz w:val="21"/>
          <w:szCs w:val="21"/>
          <w:lang w:eastAsia="en-GB"/>
        </w:rPr>
        <w:t xml:space="preserve"> analysis using data from the Scottish Health Education Population Survey’, </w:t>
      </w:r>
      <w:r w:rsidRPr="00D76343">
        <w:rPr>
          <w:rFonts w:ascii="Helvetica" w:eastAsia="Times New Roman" w:hAnsi="Helvetica" w:cs="Times New Roman"/>
          <w:i/>
          <w:iCs/>
          <w:color w:val="333333"/>
          <w:sz w:val="21"/>
          <w:szCs w:val="21"/>
          <w:lang w:eastAsia="en-GB"/>
        </w:rPr>
        <w:t>Health and Quality of Life Outcomes</w:t>
      </w:r>
      <w:r w:rsidRPr="00D76343">
        <w:rPr>
          <w:rFonts w:ascii="Helvetica" w:eastAsia="Times New Roman" w:hAnsi="Helvetica" w:cs="Times New Roman"/>
          <w:color w:val="333333"/>
          <w:sz w:val="21"/>
          <w:szCs w:val="21"/>
          <w:lang w:eastAsia="en-GB"/>
        </w:rPr>
        <w:t>, 7(15), pp. 1</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8.</w:t>
      </w:r>
      <w:r w:rsidRPr="00D76343">
        <w:rPr>
          <w:rFonts w:ascii="Helvetica" w:eastAsia="Times New Roman" w:hAnsi="Helvetica" w:cs="Helvetica"/>
          <w:color w:val="333333"/>
          <w:sz w:val="21"/>
          <w:szCs w:val="21"/>
          <w:lang w:eastAsia="en-GB"/>
        </w:rPr>
        <w:t> </w:t>
      </w:r>
      <w:hyperlink r:id="rId9" w:history="1">
        <w:r w:rsidRPr="00D76343">
          <w:rPr>
            <w:rFonts w:ascii="Helvetica" w:eastAsia="Times New Roman" w:hAnsi="Helvetica" w:cs="Times New Roman"/>
            <w:color w:val="222222"/>
            <w:sz w:val="21"/>
            <w:szCs w:val="21"/>
            <w:u w:val="single"/>
            <w:lang w:eastAsia="en-GB"/>
          </w:rPr>
          <w:t>http://dx.doi.org/10.1186/1477-7525-7-15</w:t>
        </w:r>
      </w:hyperlink>
      <w:r w:rsidRPr="00D76343">
        <w:rPr>
          <w:rFonts w:ascii="Helvetica" w:eastAsia="Times New Roman" w:hAnsi="Helvetica" w:cs="Times New Roman"/>
          <w:color w:val="333333"/>
          <w:sz w:val="21"/>
          <w:szCs w:val="21"/>
          <w:lang w:eastAsia="en-GB"/>
        </w:rPr>
        <w:t>.</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Tennant, R., Hiller, L., </w:t>
      </w:r>
      <w:proofErr w:type="spellStart"/>
      <w:r w:rsidRPr="00D76343">
        <w:rPr>
          <w:rFonts w:ascii="Helvetica" w:eastAsia="Times New Roman" w:hAnsi="Helvetica" w:cs="Times New Roman"/>
          <w:color w:val="333333"/>
          <w:sz w:val="21"/>
          <w:szCs w:val="21"/>
          <w:lang w:eastAsia="en-GB"/>
        </w:rPr>
        <w:t>Fishwick</w:t>
      </w:r>
      <w:proofErr w:type="spellEnd"/>
      <w:r w:rsidRPr="00D76343">
        <w:rPr>
          <w:rFonts w:ascii="Helvetica" w:eastAsia="Times New Roman" w:hAnsi="Helvetica" w:cs="Times New Roman"/>
          <w:color w:val="333333"/>
          <w:sz w:val="21"/>
          <w:szCs w:val="21"/>
          <w:lang w:eastAsia="en-GB"/>
        </w:rPr>
        <w:t xml:space="preserve">, R., Platt, S., Joseph, S., </w:t>
      </w:r>
      <w:proofErr w:type="spellStart"/>
      <w:r w:rsidRPr="00D76343">
        <w:rPr>
          <w:rFonts w:ascii="Helvetica" w:eastAsia="Times New Roman" w:hAnsi="Helvetica" w:cs="Times New Roman"/>
          <w:color w:val="333333"/>
          <w:sz w:val="21"/>
          <w:szCs w:val="21"/>
          <w:lang w:eastAsia="en-GB"/>
        </w:rPr>
        <w:t>Weich</w:t>
      </w:r>
      <w:proofErr w:type="spellEnd"/>
      <w:r w:rsidRPr="00D76343">
        <w:rPr>
          <w:rFonts w:ascii="Helvetica" w:eastAsia="Times New Roman" w:hAnsi="Helvetica" w:cs="Times New Roman"/>
          <w:color w:val="333333"/>
          <w:sz w:val="21"/>
          <w:szCs w:val="21"/>
          <w:lang w:eastAsia="en-GB"/>
        </w:rPr>
        <w:t>, S., Parkinson, J., Secker, J. and Stewart-Brown, S. (2007) ‘The Warwick-Edinburgh Mental Well-being Scale (WEMWBS): development and UK evaluation’, </w:t>
      </w:r>
      <w:r w:rsidRPr="00D76343">
        <w:rPr>
          <w:rFonts w:ascii="Helvetica" w:eastAsia="Times New Roman" w:hAnsi="Helvetica" w:cs="Times New Roman"/>
          <w:i/>
          <w:iCs/>
          <w:color w:val="333333"/>
          <w:sz w:val="21"/>
          <w:szCs w:val="21"/>
          <w:lang w:eastAsia="en-GB"/>
        </w:rPr>
        <w:t>Health and Quality of Life Outcomes</w:t>
      </w:r>
      <w:r w:rsidRPr="00D76343">
        <w:rPr>
          <w:rFonts w:ascii="Helvetica" w:eastAsia="Times New Roman" w:hAnsi="Helvetica" w:cs="Times New Roman"/>
          <w:color w:val="333333"/>
          <w:sz w:val="21"/>
          <w:szCs w:val="21"/>
          <w:lang w:eastAsia="en-GB"/>
        </w:rPr>
        <w:t>, 5(63), pp. 1</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13.</w:t>
      </w:r>
      <w:r w:rsidRPr="00D76343">
        <w:rPr>
          <w:rFonts w:ascii="Helvetica" w:eastAsia="Times New Roman" w:hAnsi="Helvetica" w:cs="Helvetica"/>
          <w:color w:val="333333"/>
          <w:sz w:val="21"/>
          <w:szCs w:val="21"/>
          <w:lang w:eastAsia="en-GB"/>
        </w:rPr>
        <w:t> </w:t>
      </w:r>
      <w:hyperlink r:id="rId10" w:history="1">
        <w:r w:rsidRPr="00D76343">
          <w:rPr>
            <w:rFonts w:ascii="Helvetica" w:eastAsia="Times New Roman" w:hAnsi="Helvetica" w:cs="Times New Roman"/>
            <w:color w:val="222222"/>
            <w:sz w:val="21"/>
            <w:szCs w:val="21"/>
            <w:u w:val="single"/>
            <w:lang w:eastAsia="en-GB"/>
          </w:rPr>
          <w:t>http://dx.doi.org/10.1186/1477-7525-5-63</w:t>
        </w:r>
      </w:hyperlink>
      <w:r w:rsidRPr="00D76343">
        <w:rPr>
          <w:rFonts w:ascii="Helvetica" w:eastAsia="Times New Roman" w:hAnsi="Helvetica" w:cs="Times New Roman"/>
          <w:color w:val="333333"/>
          <w:sz w:val="21"/>
          <w:szCs w:val="21"/>
          <w:lang w:eastAsia="en-GB"/>
        </w:rPr>
        <w:t>.</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 xml:space="preserve">Thomson, L. J., </w:t>
      </w:r>
      <w:proofErr w:type="spellStart"/>
      <w:r w:rsidRPr="00D76343">
        <w:rPr>
          <w:rFonts w:ascii="Helvetica" w:eastAsia="Times New Roman" w:hAnsi="Helvetica" w:cs="Times New Roman"/>
          <w:color w:val="333333"/>
          <w:sz w:val="21"/>
          <w:szCs w:val="21"/>
          <w:lang w:eastAsia="en-GB"/>
        </w:rPr>
        <w:t>Camic</w:t>
      </w:r>
      <w:proofErr w:type="spellEnd"/>
      <w:r w:rsidRPr="00D76343">
        <w:rPr>
          <w:rFonts w:ascii="Helvetica" w:eastAsia="Times New Roman" w:hAnsi="Helvetica" w:cs="Times New Roman"/>
          <w:color w:val="333333"/>
          <w:sz w:val="21"/>
          <w:szCs w:val="21"/>
          <w:lang w:eastAsia="en-GB"/>
        </w:rPr>
        <w:t>, P. M. and Chatterjee, H. J. (2015) </w:t>
      </w:r>
      <w:r w:rsidRPr="00D76343">
        <w:rPr>
          <w:rFonts w:ascii="Helvetica" w:eastAsia="Times New Roman" w:hAnsi="Helvetica" w:cs="Times New Roman"/>
          <w:i/>
          <w:iCs/>
          <w:color w:val="333333"/>
          <w:sz w:val="21"/>
          <w:szCs w:val="21"/>
          <w:lang w:eastAsia="en-GB"/>
        </w:rPr>
        <w:t>Social prescribing: a review of community referral schemes</w:t>
      </w:r>
      <w:r w:rsidRPr="00D76343">
        <w:rPr>
          <w:rFonts w:ascii="Helvetica" w:eastAsia="Times New Roman" w:hAnsi="Helvetica" w:cs="Times New Roman"/>
          <w:color w:val="333333"/>
          <w:sz w:val="21"/>
          <w:szCs w:val="21"/>
          <w:lang w:eastAsia="en-GB"/>
        </w:rPr>
        <w:t>. London: University College London.</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t>Thomson, L. J. and Chatterjee, H. J. (2015) ‘Measuring the impact of museum activities on well-being: developing the Museum Well-being Measures Toolkit’, </w:t>
      </w:r>
      <w:r w:rsidRPr="00D76343">
        <w:rPr>
          <w:rFonts w:ascii="Helvetica" w:eastAsia="Times New Roman" w:hAnsi="Helvetica" w:cs="Times New Roman"/>
          <w:i/>
          <w:iCs/>
          <w:color w:val="333333"/>
          <w:sz w:val="21"/>
          <w:szCs w:val="21"/>
          <w:lang w:eastAsia="en-GB"/>
        </w:rPr>
        <w:t>Journal of Museum Management and Curatorship</w:t>
      </w:r>
      <w:r w:rsidRPr="00D76343">
        <w:rPr>
          <w:rFonts w:ascii="Helvetica" w:eastAsia="Times New Roman" w:hAnsi="Helvetica" w:cs="Times New Roman"/>
          <w:color w:val="333333"/>
          <w:sz w:val="21"/>
          <w:szCs w:val="21"/>
          <w:lang w:eastAsia="en-GB"/>
        </w:rPr>
        <w:t>, 30(1), pp. 44</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62.</w:t>
      </w:r>
      <w:r w:rsidRPr="00D76343">
        <w:rPr>
          <w:rFonts w:ascii="Helvetica" w:eastAsia="Times New Roman" w:hAnsi="Helvetica" w:cs="Helvetica"/>
          <w:color w:val="333333"/>
          <w:sz w:val="21"/>
          <w:szCs w:val="21"/>
          <w:lang w:eastAsia="en-GB"/>
        </w:rPr>
        <w:t> </w:t>
      </w:r>
      <w:hyperlink r:id="rId11" w:history="1">
        <w:r w:rsidRPr="00D76343">
          <w:rPr>
            <w:rFonts w:ascii="Helvetica" w:eastAsia="Times New Roman" w:hAnsi="Helvetica" w:cs="Times New Roman"/>
            <w:color w:val="222222"/>
            <w:sz w:val="21"/>
            <w:szCs w:val="21"/>
            <w:u w:val="single"/>
            <w:lang w:eastAsia="en-GB"/>
          </w:rPr>
          <w:t>http://dx.doi.org/10.1080/09647775.2015.1008390</w:t>
        </w:r>
      </w:hyperlink>
      <w:r w:rsidRPr="00D76343">
        <w:rPr>
          <w:rFonts w:ascii="Helvetica" w:eastAsia="Times New Roman" w:hAnsi="Helvetica" w:cs="Times New Roman"/>
          <w:color w:val="333333"/>
          <w:sz w:val="21"/>
          <w:szCs w:val="21"/>
          <w:lang w:eastAsia="en-GB"/>
        </w:rPr>
        <w:t>.</w:t>
      </w:r>
    </w:p>
    <w:p w:rsidR="00D76343" w:rsidRPr="00D76343" w:rsidRDefault="00D76343" w:rsidP="00D76343">
      <w:pPr>
        <w:shd w:val="clear" w:color="auto" w:fill="FFFFFF"/>
        <w:spacing w:after="150" w:line="240" w:lineRule="auto"/>
        <w:rPr>
          <w:rFonts w:ascii="Helvetica" w:eastAsia="Times New Roman" w:hAnsi="Helvetica" w:cs="Times New Roman"/>
          <w:color w:val="333333"/>
          <w:sz w:val="21"/>
          <w:szCs w:val="21"/>
          <w:lang w:eastAsia="en-GB"/>
        </w:rPr>
      </w:pPr>
      <w:r w:rsidRPr="00D76343">
        <w:rPr>
          <w:rFonts w:ascii="Helvetica" w:eastAsia="Times New Roman" w:hAnsi="Helvetica" w:cs="Times New Roman"/>
          <w:color w:val="333333"/>
          <w:sz w:val="21"/>
          <w:szCs w:val="21"/>
          <w:lang w:eastAsia="en-GB"/>
        </w:rPr>
        <w:lastRenderedPageBreak/>
        <w:t>Thomson, L. J. and Chatterjee, H. J. (2014) ‘Assessing well-being outcomes for arts and heritage activities: development of a Museum Well-being Measures Toolkit’, </w:t>
      </w:r>
      <w:r w:rsidRPr="00D76343">
        <w:rPr>
          <w:rFonts w:ascii="Helvetica" w:eastAsia="Times New Roman" w:hAnsi="Helvetica" w:cs="Times New Roman"/>
          <w:i/>
          <w:iCs/>
          <w:color w:val="333333"/>
          <w:sz w:val="21"/>
          <w:szCs w:val="21"/>
          <w:lang w:eastAsia="en-GB"/>
        </w:rPr>
        <w:t>Journal of Applied Arts and Health</w:t>
      </w:r>
      <w:r w:rsidRPr="00D76343">
        <w:rPr>
          <w:rFonts w:ascii="Helvetica" w:eastAsia="Times New Roman" w:hAnsi="Helvetica" w:cs="Times New Roman"/>
          <w:color w:val="333333"/>
          <w:sz w:val="21"/>
          <w:szCs w:val="21"/>
          <w:lang w:eastAsia="en-GB"/>
        </w:rPr>
        <w:t>, 5(1), pp. 29</w:t>
      </w:r>
      <w:r w:rsidRPr="00D76343">
        <w:rPr>
          <w:rFonts w:ascii="Cambria Math" w:eastAsia="Times New Roman" w:hAnsi="Cambria Math" w:cs="Cambria Math"/>
          <w:color w:val="333333"/>
          <w:sz w:val="21"/>
          <w:szCs w:val="21"/>
          <w:lang w:eastAsia="en-GB"/>
        </w:rPr>
        <w:t>‐</w:t>
      </w:r>
      <w:r w:rsidRPr="00D76343">
        <w:rPr>
          <w:rFonts w:ascii="Helvetica" w:eastAsia="Times New Roman" w:hAnsi="Helvetica" w:cs="Times New Roman"/>
          <w:color w:val="333333"/>
          <w:sz w:val="21"/>
          <w:szCs w:val="21"/>
          <w:lang w:eastAsia="en-GB"/>
        </w:rPr>
        <w:t>50.</w:t>
      </w:r>
      <w:r w:rsidRPr="00D76343">
        <w:rPr>
          <w:rFonts w:ascii="Helvetica" w:eastAsia="Times New Roman" w:hAnsi="Helvetica" w:cs="Helvetica"/>
          <w:color w:val="333333"/>
          <w:sz w:val="21"/>
          <w:szCs w:val="21"/>
          <w:lang w:eastAsia="en-GB"/>
        </w:rPr>
        <w:t> </w:t>
      </w:r>
      <w:hyperlink r:id="rId12" w:history="1">
        <w:r w:rsidRPr="00D76343">
          <w:rPr>
            <w:rFonts w:ascii="Helvetica" w:eastAsia="Times New Roman" w:hAnsi="Helvetica" w:cs="Times New Roman"/>
            <w:color w:val="222222"/>
            <w:sz w:val="21"/>
            <w:szCs w:val="21"/>
            <w:u w:val="single"/>
            <w:lang w:eastAsia="en-GB"/>
          </w:rPr>
          <w:t>https://doi.org/10.1386/jaah.5.1.29_1</w:t>
        </w:r>
      </w:hyperlink>
      <w:r w:rsidRPr="00D76343">
        <w:rPr>
          <w:rFonts w:ascii="Helvetica" w:eastAsia="Times New Roman" w:hAnsi="Helvetica" w:cs="Times New Roman"/>
          <w:color w:val="333333"/>
          <w:sz w:val="21"/>
          <w:szCs w:val="21"/>
          <w:lang w:eastAsia="en-GB"/>
        </w:rPr>
        <w:t>.</w:t>
      </w:r>
    </w:p>
    <w:p w:rsidR="00FA3E05" w:rsidRDefault="00FA3E05"/>
    <w:sectPr w:rsidR="00FA3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43"/>
    <w:rsid w:val="00071F9B"/>
    <w:rsid w:val="008E1523"/>
    <w:rsid w:val="00D76343"/>
    <w:rsid w:val="00FA3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2B299-7ACF-42B2-B8E4-8E13A61F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63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7634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7634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634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7634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763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76343"/>
    <w:rPr>
      <w:b/>
      <w:bCs/>
    </w:rPr>
  </w:style>
  <w:style w:type="character" w:styleId="Emphasis">
    <w:name w:val="Emphasis"/>
    <w:basedOn w:val="DefaultParagraphFont"/>
    <w:uiPriority w:val="20"/>
    <w:qFormat/>
    <w:rsid w:val="00D76343"/>
    <w:rPr>
      <w:i/>
      <w:iCs/>
    </w:rPr>
  </w:style>
  <w:style w:type="character" w:styleId="Hyperlink">
    <w:name w:val="Hyperlink"/>
    <w:basedOn w:val="DefaultParagraphFont"/>
    <w:uiPriority w:val="99"/>
    <w:unhideWhenUsed/>
    <w:rsid w:val="00D76343"/>
    <w:rPr>
      <w:color w:val="0000FF"/>
      <w:u w:val="single"/>
    </w:rPr>
  </w:style>
  <w:style w:type="character" w:customStyle="1" w:styleId="Heading1Char">
    <w:name w:val="Heading 1 Char"/>
    <w:basedOn w:val="DefaultParagraphFont"/>
    <w:link w:val="Heading1"/>
    <w:uiPriority w:val="9"/>
    <w:rsid w:val="00D7634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7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0729436090338426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x.doi.org/10.1037/0022-3514.39.3.472" TargetMode="External"/><Relationship Id="rId12" Type="http://schemas.openxmlformats.org/officeDocument/2006/relationships/hyperlink" Target="https://doi.org/10.1386/jaah.5.1.29_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77/0164027504268574" TargetMode="External"/><Relationship Id="rId11" Type="http://schemas.openxmlformats.org/officeDocument/2006/relationships/hyperlink" Target="http://dx.doi.org/10.1080/09647775.2015.1008390" TargetMode="External"/><Relationship Id="rId5" Type="http://schemas.openxmlformats.org/officeDocument/2006/relationships/hyperlink" Target="http://www.centreforum.org/assets/pubs/the-pursuit-of-happiness.pdf" TargetMode="External"/><Relationship Id="rId10" Type="http://schemas.openxmlformats.org/officeDocument/2006/relationships/hyperlink" Target="http://dx.doi.org/10.1186/1477-7525-5-63" TargetMode="External"/><Relationship Id="rId4" Type="http://schemas.openxmlformats.org/officeDocument/2006/relationships/hyperlink" Target="https://sparkjournal.arts.ac.uk/index.php/spark/article/view/26/60" TargetMode="External"/><Relationship Id="rId9" Type="http://schemas.openxmlformats.org/officeDocument/2006/relationships/hyperlink" Target="http://dx.doi.org/10.1186/1477-7525-7-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737AB0CB</Template>
  <TotalTime>4</TotalTime>
  <Pages>6</Pages>
  <Words>3155</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21097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Willcocks</dc:creator>
  <cp:keywords/>
  <dc:description/>
  <cp:lastModifiedBy>Judy Willcocks</cp:lastModifiedBy>
  <cp:revision>1</cp:revision>
  <dcterms:created xsi:type="dcterms:W3CDTF">2019-02-04T14:07:00Z</dcterms:created>
  <dcterms:modified xsi:type="dcterms:W3CDTF">2019-02-04T14:12:00Z</dcterms:modified>
</cp:coreProperties>
</file>