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17AE" w14:textId="77777777" w:rsidR="00F06578" w:rsidRPr="00DD5591" w:rsidRDefault="00DD5591" w:rsidP="00953F00">
      <w:pPr>
        <w:jc w:val="center"/>
        <w:rPr>
          <w:b/>
          <w:bCs/>
        </w:rPr>
      </w:pPr>
      <w:r w:rsidRPr="00DD5591">
        <w:rPr>
          <w:b/>
          <w:bCs/>
        </w:rPr>
        <w:t xml:space="preserve">Editorial Perspective: Emphasising the Importance of </w:t>
      </w:r>
      <w:r w:rsidR="00A1300C" w:rsidRPr="00DD5591">
        <w:rPr>
          <w:b/>
          <w:bCs/>
        </w:rPr>
        <w:t xml:space="preserve">Regional </w:t>
      </w:r>
      <w:r>
        <w:rPr>
          <w:b/>
          <w:bCs/>
        </w:rPr>
        <w:t>I</w:t>
      </w:r>
      <w:r w:rsidR="00A1300C" w:rsidRPr="00DD5591">
        <w:rPr>
          <w:b/>
          <w:bCs/>
        </w:rPr>
        <w:t xml:space="preserve">nnovation </w:t>
      </w:r>
      <w:r>
        <w:rPr>
          <w:b/>
          <w:bCs/>
        </w:rPr>
        <w:t>E</w:t>
      </w:r>
      <w:r w:rsidR="00A1300C" w:rsidRPr="00DD5591">
        <w:rPr>
          <w:b/>
          <w:bCs/>
        </w:rPr>
        <w:t>cosystem</w:t>
      </w:r>
      <w:r w:rsidR="00D0267D" w:rsidRPr="00DD5591">
        <w:rPr>
          <w:b/>
          <w:bCs/>
        </w:rPr>
        <w:t xml:space="preserve"> </w:t>
      </w:r>
      <w:r w:rsidR="005444DC" w:rsidRPr="00DD5591">
        <w:rPr>
          <w:b/>
          <w:bCs/>
        </w:rPr>
        <w:t xml:space="preserve">for </w:t>
      </w:r>
      <w:r>
        <w:rPr>
          <w:b/>
          <w:bCs/>
        </w:rPr>
        <w:t>S</w:t>
      </w:r>
      <w:r w:rsidR="00D73B2B" w:rsidRPr="00DD5591">
        <w:rPr>
          <w:b/>
          <w:bCs/>
        </w:rPr>
        <w:t>ustaining</w:t>
      </w:r>
      <w:r w:rsidR="005444DC" w:rsidRPr="00DD5591">
        <w:rPr>
          <w:b/>
          <w:bCs/>
        </w:rPr>
        <w:t xml:space="preserve"> </w:t>
      </w:r>
      <w:r>
        <w:rPr>
          <w:b/>
          <w:bCs/>
        </w:rPr>
        <w:t>B</w:t>
      </w:r>
      <w:r w:rsidR="005444DC" w:rsidRPr="00DD5591">
        <w:rPr>
          <w:b/>
          <w:bCs/>
        </w:rPr>
        <w:t xml:space="preserve">usiness in Asia in a </w:t>
      </w:r>
      <w:r>
        <w:rPr>
          <w:b/>
          <w:bCs/>
        </w:rPr>
        <w:t>P</w:t>
      </w:r>
      <w:r w:rsidR="005444DC" w:rsidRPr="00DD5591">
        <w:rPr>
          <w:b/>
          <w:bCs/>
        </w:rPr>
        <w:t>ost-</w:t>
      </w:r>
      <w:r>
        <w:rPr>
          <w:b/>
          <w:bCs/>
        </w:rPr>
        <w:t>P</w:t>
      </w:r>
      <w:r w:rsidR="005444DC" w:rsidRPr="00DD5591">
        <w:rPr>
          <w:b/>
          <w:bCs/>
        </w:rPr>
        <w:t xml:space="preserve">andemic </w:t>
      </w:r>
      <w:r>
        <w:rPr>
          <w:b/>
          <w:bCs/>
        </w:rPr>
        <w:t>E</w:t>
      </w:r>
      <w:r w:rsidR="005444DC" w:rsidRPr="00DD5591">
        <w:rPr>
          <w:b/>
          <w:bCs/>
        </w:rPr>
        <w:t>ra.</w:t>
      </w:r>
    </w:p>
    <w:p w14:paraId="60B41998" w14:textId="77777777" w:rsidR="00A9213A" w:rsidRDefault="00A9213A" w:rsidP="00953F00">
      <w:pPr>
        <w:jc w:val="center"/>
        <w:rPr>
          <w:b/>
          <w:bCs/>
          <w:highlight w:val="green"/>
        </w:rPr>
      </w:pPr>
    </w:p>
    <w:p w14:paraId="7846BC93" w14:textId="77777777" w:rsidR="00A9213A" w:rsidRDefault="00A9213A" w:rsidP="00953F00">
      <w:pPr>
        <w:jc w:val="center"/>
        <w:rPr>
          <w:b/>
          <w:bCs/>
          <w:highlight w:val="green"/>
        </w:rPr>
      </w:pPr>
    </w:p>
    <w:p w14:paraId="4CBD43DF" w14:textId="77777777" w:rsidR="00FB5899" w:rsidRPr="00FB5899" w:rsidRDefault="00FB5899" w:rsidP="000C78F6">
      <w:pPr>
        <w:spacing w:line="480" w:lineRule="auto"/>
        <w:jc w:val="both"/>
        <w:rPr>
          <w:b/>
          <w:bCs/>
        </w:rPr>
      </w:pPr>
      <w:r>
        <w:rPr>
          <w:b/>
          <w:bCs/>
        </w:rPr>
        <w:t>1.</w:t>
      </w:r>
      <w:r w:rsidRPr="00FB5899">
        <w:rPr>
          <w:b/>
          <w:bCs/>
        </w:rPr>
        <w:t>Introduction</w:t>
      </w:r>
    </w:p>
    <w:p w14:paraId="6A8321B3" w14:textId="45E10D54" w:rsidR="00D95330" w:rsidRDefault="007B5470" w:rsidP="007B5470">
      <w:pPr>
        <w:spacing w:line="480" w:lineRule="auto"/>
        <w:jc w:val="both"/>
      </w:pPr>
      <w:r w:rsidRPr="007B5470">
        <w:t xml:space="preserve">The COVID-19 pandemic crisis vindicated the findings of Ernst &amp; Young’s 2019 survey that found that only 20% of the executives surveyed believed their companies were prepared to respond to a large adverse risk (EY, 2020). The impact of Covid-19 pandemic forced many </w:t>
      </w:r>
      <w:r>
        <w:t xml:space="preserve">Asian </w:t>
      </w:r>
      <w:r w:rsidRPr="007B5470">
        <w:t>organisations to undergo significant transformation, re-strategizing business processes and to adopt technologies for sustainable operations</w:t>
      </w:r>
      <w:r w:rsidR="0048322C">
        <w:t xml:space="preserve"> (Chan et al., 2023).</w:t>
      </w:r>
      <w:r w:rsidRPr="007B5470">
        <w:t xml:space="preserve">This drastic transformation impacted almost all </w:t>
      </w:r>
      <w:r>
        <w:t xml:space="preserve">Asian </w:t>
      </w:r>
      <w:r w:rsidRPr="007B5470">
        <w:t>industries alike</w:t>
      </w:r>
      <w:r>
        <w:t xml:space="preserve">, </w:t>
      </w:r>
      <w:r w:rsidRPr="007B5470">
        <w:t>including the health-care sector, education, retail, travel, food, and government agencies</w:t>
      </w:r>
      <w:r w:rsidR="0070793B">
        <w:t xml:space="preserve"> (</w:t>
      </w:r>
      <w:r w:rsidR="0070793B" w:rsidRPr="0070793B">
        <w:t xml:space="preserve">Agarwal, and Yeung, </w:t>
      </w:r>
      <w:r w:rsidR="0070793B">
        <w:t xml:space="preserve"> </w:t>
      </w:r>
      <w:r w:rsidR="0070793B" w:rsidRPr="0070793B">
        <w:t>2020</w:t>
      </w:r>
      <w:r w:rsidR="0070793B">
        <w:t>).</w:t>
      </w:r>
      <w:r w:rsidRPr="007B5470">
        <w:t xml:space="preserve">These drastic changes meant that </w:t>
      </w:r>
      <w:r>
        <w:t xml:space="preserve">Asian </w:t>
      </w:r>
      <w:r w:rsidRPr="007B5470">
        <w:t xml:space="preserve">organizations had to quickly change their work practices and rely extensively on the use of digital technologies, that is likely to influence life for the foreseeable future in the way people interact and operate in their daily routine lives as well as workplace (Griffin and Denholm, 2020). As all </w:t>
      </w:r>
      <w:r w:rsidR="00195FDA">
        <w:t xml:space="preserve">Asian </w:t>
      </w:r>
      <w:r w:rsidRPr="007B5470">
        <w:t xml:space="preserve">citizens, employees, students, and public- and private-sector organizations </w:t>
      </w:r>
      <w:r w:rsidR="00195FDA">
        <w:t xml:space="preserve">were </w:t>
      </w:r>
      <w:r w:rsidRPr="007B5470">
        <w:t xml:space="preserve">forced to adapt to alternate ways of doing things, </w:t>
      </w:r>
      <w:r w:rsidR="00195FDA">
        <w:t xml:space="preserve">use of new </w:t>
      </w:r>
      <w:r w:rsidRPr="007B5470">
        <w:t xml:space="preserve">technologies, </w:t>
      </w:r>
      <w:r w:rsidR="00195FDA">
        <w:t xml:space="preserve">change in work-practices , </w:t>
      </w:r>
      <w:r w:rsidRPr="007B5470">
        <w:t>such as remote work and flexible work from home arrangements be</w:t>
      </w:r>
      <w:r w:rsidR="00195FDA">
        <w:t>came</w:t>
      </w:r>
      <w:r w:rsidRPr="007B5470">
        <w:t xml:space="preserve"> the norm and gain</w:t>
      </w:r>
      <w:r w:rsidR="00195FDA">
        <w:t>ed</w:t>
      </w:r>
      <w:r w:rsidRPr="007B5470">
        <w:t xml:space="preserve"> much relevance (Herath and Herath, 2020). In a way, Covid-19 became the accelerator for one of the most drastic workplace transformations in </w:t>
      </w:r>
      <w:r w:rsidR="00195FDA">
        <w:t xml:space="preserve">Asian industries </w:t>
      </w:r>
      <w:r w:rsidRPr="007B5470">
        <w:t xml:space="preserve">affecting how </w:t>
      </w:r>
      <w:r w:rsidR="00195FDA">
        <w:t>people</w:t>
      </w:r>
      <w:r w:rsidRPr="007B5470">
        <w:t xml:space="preserve"> work, socialize, shop, learn, communicate, and, of course, </w:t>
      </w:r>
      <w:r w:rsidR="008F74D9">
        <w:t xml:space="preserve">the notion of a </w:t>
      </w:r>
      <w:r w:rsidR="00A57286" w:rsidRPr="007B5470">
        <w:t>work</w:t>
      </w:r>
      <w:r w:rsidR="00A57286">
        <w:t>place</w:t>
      </w:r>
      <w:r w:rsidR="008F74D9">
        <w:t xml:space="preserve"> </w:t>
      </w:r>
      <w:r w:rsidRPr="007B5470">
        <w:t xml:space="preserve">changed forever (Carnevale and Hatak, 2020). </w:t>
      </w:r>
    </w:p>
    <w:p w14:paraId="711FF9E1" w14:textId="77777777" w:rsidR="00D95330" w:rsidRDefault="00D95330" w:rsidP="007B5470">
      <w:pPr>
        <w:spacing w:line="480" w:lineRule="auto"/>
        <w:jc w:val="both"/>
      </w:pPr>
    </w:p>
    <w:p w14:paraId="31D709AC" w14:textId="716C97EB" w:rsidR="007B5470" w:rsidRDefault="007B5470" w:rsidP="00667D80">
      <w:pPr>
        <w:spacing w:line="480" w:lineRule="auto"/>
        <w:jc w:val="both"/>
      </w:pPr>
      <w:r w:rsidRPr="007B5470">
        <w:t xml:space="preserve">The ubiquity of consequences of Covid-19 and the accompanied uncertainty and fear lead to new trends and norms that made people somewhat suspicious and less susceptible at the same time (Donthu and Fustafsson, 2020). </w:t>
      </w:r>
      <w:r w:rsidR="00A57286">
        <w:t>This crisis</w:t>
      </w:r>
      <w:r w:rsidR="00D95330">
        <w:t xml:space="preserve"> </w:t>
      </w:r>
      <w:r w:rsidR="00D95330" w:rsidRPr="00D95330">
        <w:t xml:space="preserve">underscored the critical significance of </w:t>
      </w:r>
      <w:r w:rsidR="00D95330" w:rsidRPr="00D95330">
        <w:lastRenderedPageBreak/>
        <w:t>strategic insights in navigating the challenges of the abnormal business environment</w:t>
      </w:r>
      <w:r w:rsidR="00D95330">
        <w:t xml:space="preserve"> in Asia around the times of Covid-19</w:t>
      </w:r>
      <w:r w:rsidR="00D95330" w:rsidRPr="00D95330">
        <w:t>,</w:t>
      </w:r>
      <w:r w:rsidR="00237380">
        <w:t xml:space="preserve"> and also</w:t>
      </w:r>
      <w:r w:rsidR="00D95330" w:rsidRPr="00D95330">
        <w:t xml:space="preserve"> highlight</w:t>
      </w:r>
      <w:r w:rsidR="00237380">
        <w:t>ed</w:t>
      </w:r>
      <w:r w:rsidR="00D95330" w:rsidRPr="00D95330">
        <w:t xml:space="preserve"> the essential role </w:t>
      </w:r>
      <w:r w:rsidR="002C3316">
        <w:t xml:space="preserve">well-drafted national  </w:t>
      </w:r>
      <w:r w:rsidR="00237380">
        <w:t>strateg</w:t>
      </w:r>
      <w:r w:rsidR="002C3316">
        <w:t>ies</w:t>
      </w:r>
      <w:r w:rsidR="00237380">
        <w:t xml:space="preserve"> can</w:t>
      </w:r>
      <w:r w:rsidR="00D95330" w:rsidRPr="00D95330">
        <w:t xml:space="preserve"> </w:t>
      </w:r>
      <w:r w:rsidR="00237380">
        <w:t>play in s</w:t>
      </w:r>
      <w:r w:rsidR="00D95330" w:rsidRPr="00D95330">
        <w:t xml:space="preserve">ustaining </w:t>
      </w:r>
      <w:r w:rsidR="00237380">
        <w:t xml:space="preserve">Asian </w:t>
      </w:r>
      <w:r w:rsidR="00D95330" w:rsidRPr="00D95330">
        <w:t>enterprises.</w:t>
      </w:r>
      <w:r w:rsidR="00237380">
        <w:t xml:space="preserve"> </w:t>
      </w:r>
      <w:r w:rsidRPr="007B5470">
        <w:t xml:space="preserve">As </w:t>
      </w:r>
      <w:r w:rsidR="0040177F">
        <w:t xml:space="preserve">Asian </w:t>
      </w:r>
      <w:r w:rsidRPr="007B5470">
        <w:t xml:space="preserve">government leaders at the federal, state, and local level </w:t>
      </w:r>
      <w:r w:rsidR="0040177F">
        <w:t xml:space="preserve">employed various strategies to reopen economies, it became crucial for them to keep  industry leaders in respective economies </w:t>
      </w:r>
      <w:r w:rsidRPr="007B5470">
        <w:t xml:space="preserve">informed and empowered to implement </w:t>
      </w:r>
      <w:r w:rsidR="00F26062">
        <w:t xml:space="preserve">carefully drafted </w:t>
      </w:r>
      <w:r w:rsidRPr="007B5470">
        <w:t>business strategies that c</w:t>
      </w:r>
      <w:r w:rsidR="00F26062">
        <w:t>ould</w:t>
      </w:r>
      <w:r w:rsidRPr="007B5470">
        <w:t xml:space="preserve"> serve as an enduring source of competitive advantage </w:t>
      </w:r>
      <w:r w:rsidR="00F26062">
        <w:t>during the</w:t>
      </w:r>
      <w:r w:rsidRPr="007B5470">
        <w:t xml:space="preserve"> times of  crisis</w:t>
      </w:r>
      <w:r w:rsidR="00F26062">
        <w:t xml:space="preserve">, as well as to develop a safeguard mechanism of any future crises. This </w:t>
      </w:r>
      <w:r w:rsidRPr="007B5470">
        <w:t xml:space="preserve"> “great unfreezing” due to the heat of coronavirus crisis (Sneader and Sternfels, 2020), </w:t>
      </w:r>
      <w:r w:rsidR="00AB7D04">
        <w:t xml:space="preserve">and resultant strategies </w:t>
      </w:r>
      <w:r w:rsidRPr="007B5470">
        <w:t xml:space="preserve">for </w:t>
      </w:r>
      <w:r w:rsidR="00AB7D04">
        <w:t xml:space="preserve">sustaining industries in Asia present an opportunity for us authors, to launch this special issue , so as to track and </w:t>
      </w:r>
      <w:r w:rsidR="00F26062">
        <w:t xml:space="preserve"> </w:t>
      </w:r>
      <w:r w:rsidR="00AB7D04">
        <w:t xml:space="preserve">understand successful strategies employed by different Asian economies or industries. The main aim of the special issues was two-fold. First, against the backdrop of Covid-19, we wanted to explore </w:t>
      </w:r>
      <w:r w:rsidRPr="00AB7D04">
        <w:t xml:space="preserve">different dynamic capabilities and agile business practices that have helped firms in </w:t>
      </w:r>
      <w:r w:rsidR="00AB7D04">
        <w:t xml:space="preserve">Asian economies to </w:t>
      </w:r>
      <w:r w:rsidRPr="00AB7D04">
        <w:t>overcoming the challenges associated with un-normal</w:t>
      </w:r>
      <w:r w:rsidR="00AB7D04">
        <w:t xml:space="preserve">, and second, </w:t>
      </w:r>
      <w:r w:rsidR="00667D80">
        <w:t xml:space="preserve">whether firms were able to </w:t>
      </w:r>
      <w:r w:rsidRPr="00667D80">
        <w:t xml:space="preserve">institutionalize these dynamic capabilities and agile practices </w:t>
      </w:r>
      <w:r w:rsidR="00667D80">
        <w:t>to develop sustainable innovation ecosystem for any future contingencies.</w:t>
      </w:r>
    </w:p>
    <w:p w14:paraId="36D86EFD" w14:textId="77777777" w:rsidR="00667D80" w:rsidRDefault="00667D80" w:rsidP="00667D80">
      <w:pPr>
        <w:spacing w:line="480" w:lineRule="auto"/>
        <w:jc w:val="both"/>
      </w:pPr>
    </w:p>
    <w:p w14:paraId="67871EA1" w14:textId="77777777" w:rsidR="00014586" w:rsidRDefault="00667D80" w:rsidP="000C78F6">
      <w:pPr>
        <w:spacing w:line="480" w:lineRule="auto"/>
        <w:jc w:val="both"/>
      </w:pPr>
      <w:r>
        <w:t xml:space="preserve">Based upon these two quests, we present the collection of articles from different Asian economies and industries, which are part of this special issue and additionally, we further emphasise the importance of a </w:t>
      </w:r>
      <w:r w:rsidR="00AE228A">
        <w:t>r</w:t>
      </w:r>
      <w:r w:rsidRPr="00667D80">
        <w:t xml:space="preserve">egional </w:t>
      </w:r>
      <w:r w:rsidR="00AE228A">
        <w:t>i</w:t>
      </w:r>
      <w:r w:rsidRPr="00667D80">
        <w:t xml:space="preserve">nnovation </w:t>
      </w:r>
      <w:r w:rsidR="00AE228A">
        <w:t>e</w:t>
      </w:r>
      <w:r w:rsidRPr="00667D80">
        <w:t xml:space="preserve">cosystem for </w:t>
      </w:r>
      <w:r w:rsidR="00AE228A">
        <w:t>s</w:t>
      </w:r>
      <w:r w:rsidRPr="00667D80">
        <w:t xml:space="preserve">ustaining </w:t>
      </w:r>
      <w:r w:rsidR="00AE228A">
        <w:t>b</w:t>
      </w:r>
      <w:r w:rsidRPr="00667D80">
        <w:t xml:space="preserve">usiness in Asia in a </w:t>
      </w:r>
      <w:r w:rsidR="00AE228A">
        <w:t>p</w:t>
      </w:r>
      <w:r w:rsidRPr="00667D80">
        <w:t>ost-</w:t>
      </w:r>
      <w:r w:rsidR="00AE228A">
        <w:t>p</w:t>
      </w:r>
      <w:r w:rsidRPr="00667D80">
        <w:t>andemic Era.</w:t>
      </w:r>
      <w:r>
        <w:t xml:space="preserve"> </w:t>
      </w:r>
      <w:r w:rsidR="00AE228A">
        <w:t xml:space="preserve"> The next section presents the review of literature followed by discussion of various post</w:t>
      </w:r>
      <w:r w:rsidR="00AE228A" w:rsidRPr="00AE228A">
        <w:t>-pandemic strategies in Asia</w:t>
      </w:r>
      <w:r w:rsidR="00AE228A">
        <w:t xml:space="preserve">n economies based upon the articles in this special issue. Finally, we present out editorial perspective in the form of </w:t>
      </w:r>
      <w:r w:rsidR="00AE228A" w:rsidRPr="00AE228A">
        <w:t xml:space="preserve">conceptualising </w:t>
      </w:r>
      <w:r w:rsidR="00AE228A">
        <w:t xml:space="preserve">a </w:t>
      </w:r>
      <w:r w:rsidR="00AE228A" w:rsidRPr="00AE228A">
        <w:t>regional innovation ecosystem for sustaining business in Asia in a post-pandemic era</w:t>
      </w:r>
      <w:r w:rsidR="00AE228A">
        <w:t xml:space="preserve">. </w:t>
      </w:r>
      <w:r w:rsidR="00014586">
        <w:t xml:space="preserve">The </w:t>
      </w:r>
      <w:r w:rsidR="00014586">
        <w:lastRenderedPageBreak/>
        <w:t xml:space="preserve">newly advocated regional innovation ecosystem is supported by propositions that explore the diverse opportunities suggested in the newly designed ecosystem. </w:t>
      </w:r>
    </w:p>
    <w:p w14:paraId="4325C4DA" w14:textId="565DCCD0" w:rsidR="000C78F6" w:rsidRDefault="002B09B0" w:rsidP="000C78F6">
      <w:pPr>
        <w:spacing w:line="480" w:lineRule="auto"/>
        <w:jc w:val="both"/>
      </w:pPr>
      <w:r>
        <w:br/>
      </w:r>
      <w:r w:rsidR="00FB5899">
        <w:rPr>
          <w:b/>
          <w:bCs/>
        </w:rPr>
        <w:t>2.</w:t>
      </w:r>
      <w:r w:rsidR="000C78F6" w:rsidRPr="000C78F6">
        <w:rPr>
          <w:b/>
          <w:bCs/>
        </w:rPr>
        <w:t>Review of Literature</w:t>
      </w:r>
    </w:p>
    <w:p w14:paraId="1AFDC46D" w14:textId="2C7C4371" w:rsidR="00C66106" w:rsidRPr="00747050" w:rsidRDefault="002B09B0" w:rsidP="000C78F6">
      <w:pPr>
        <w:spacing w:line="480" w:lineRule="auto"/>
        <w:jc w:val="both"/>
        <w:rPr>
          <w:b/>
          <w:bCs/>
        </w:rPr>
      </w:pPr>
      <w:r w:rsidRPr="002B09B0">
        <w:t>Prior to the onset of the Covid-19 pandemic, existing literature on risk and uncertainties primarily offered a set of principles and practices rooted in organizational agility. These approaches varied depending on whether a company was addressing routine risks or grappling with profound uncertainties</w:t>
      </w:r>
      <w:r w:rsidR="00EA0291">
        <w:t>(Teece et al., 2016).</w:t>
      </w:r>
      <w:r w:rsidR="009A1BE5">
        <w:rPr>
          <w:b/>
          <w:bCs/>
        </w:rPr>
        <w:t xml:space="preserve"> </w:t>
      </w:r>
      <w:r w:rsidR="009A1BE5">
        <w:t>Various studies related to SARS in Singapore did venture into comprehensive reviews of the regional and global reverberations of SARS, and various strategies for sustaining business (especially tourism) in post-SARS era (Tan</w:t>
      </w:r>
      <w:r w:rsidR="00BC4431">
        <w:t xml:space="preserve"> </w:t>
      </w:r>
      <w:r w:rsidR="009A1BE5">
        <w:t>&amp; Enderwick, 2006; Henderson, 2004). Interestingly enough, Henderson(2004) observed that  health-related crises such as SARs may recur, but there were a very few studies that actually dealt with recommendations of strategies for  sustaining  business after such a pandemic.</w:t>
      </w:r>
      <w:r w:rsidR="00BC4431">
        <w:t xml:space="preserve"> Perhaps global spread of Covid-19 was the main reason that over the period of last three years, there are plenty of studies that actually zeroed on sustaining businesses during Covid, as well as in post pandemic era.</w:t>
      </w:r>
      <w:r w:rsidR="00635022">
        <w:t xml:space="preserve"> For example, Sharma et al (2020), identified </w:t>
      </w:r>
      <w:r w:rsidR="00635022" w:rsidRPr="00635022">
        <w:t>different types of uncertaint</w:t>
      </w:r>
      <w:r w:rsidR="00635022">
        <w:t xml:space="preserve">ies along with their </w:t>
      </w:r>
      <w:r w:rsidR="00D66AFF">
        <w:t>antecedents</w:t>
      </w:r>
      <w:r w:rsidR="00635022">
        <w:t xml:space="preserve"> and consequences and also </w:t>
      </w:r>
      <w:r w:rsidR="00635022" w:rsidRPr="00635022">
        <w:t>the coping strategies used to mitigate the impact of Covid-19</w:t>
      </w:r>
      <w:r w:rsidR="00D66AFF">
        <w:t>. Liu et al. (2020) were more proactive where they captured t</w:t>
      </w:r>
      <w:r w:rsidR="00D66AFF" w:rsidRPr="00D66AFF">
        <w:t xml:space="preserve">he experiences and strategic responses of Asian </w:t>
      </w:r>
      <w:r w:rsidR="00D66AFF">
        <w:t xml:space="preserve">businesses </w:t>
      </w:r>
      <w:r w:rsidR="00D434E8">
        <w:t xml:space="preserve">to </w:t>
      </w:r>
      <w:r w:rsidR="00D66AFF" w:rsidRPr="00D434E8">
        <w:t xml:space="preserve">shed light on </w:t>
      </w:r>
      <w:r w:rsidR="00D434E8">
        <w:t xml:space="preserve">various strategies </w:t>
      </w:r>
      <w:r w:rsidR="00D66AFF" w:rsidRPr="00D434E8">
        <w:t>to combat COVID-19</w:t>
      </w:r>
      <w:r w:rsidR="00D434E8">
        <w:t xml:space="preserve">. Their theoretical research articulated the  </w:t>
      </w:r>
      <w:r w:rsidR="00D434E8" w:rsidRPr="00D434E8">
        <w:t xml:space="preserve">importance of resilience, strategic agility, and entrepreneurship </w:t>
      </w:r>
      <w:r w:rsidR="00D434E8">
        <w:t xml:space="preserve">on the part of Asian businesses </w:t>
      </w:r>
      <w:r w:rsidR="00D434E8" w:rsidRPr="00D434E8">
        <w:t xml:space="preserve">in the context of the fight against COVID-19. </w:t>
      </w:r>
      <w:r w:rsidR="000D24A3">
        <w:t xml:space="preserve">The onus on resilience was also </w:t>
      </w:r>
      <w:r w:rsidR="00C66106">
        <w:t xml:space="preserve">highlighted by Goa and Ren (2020), where the authors cautioned Australian and New </w:t>
      </w:r>
      <w:r w:rsidR="00A57286">
        <w:t>Zealand</w:t>
      </w:r>
      <w:r w:rsidR="00C66106">
        <w:t xml:space="preserve"> businesses to  </w:t>
      </w:r>
      <w:r w:rsidR="00C66106" w:rsidRPr="00C66106">
        <w:t xml:space="preserve">reduce their overreliance on </w:t>
      </w:r>
      <w:r w:rsidR="00C66106">
        <w:t xml:space="preserve">Covid-hit </w:t>
      </w:r>
      <w:r w:rsidR="00C66106" w:rsidRPr="00C66106">
        <w:t xml:space="preserve">China and to focus on achieving resilience </w:t>
      </w:r>
      <w:r w:rsidR="000B297F">
        <w:t xml:space="preserve">in </w:t>
      </w:r>
      <w:r w:rsidR="000B297F" w:rsidRPr="00C66106">
        <w:t xml:space="preserve">their global value chains </w:t>
      </w:r>
      <w:r w:rsidR="000B297F">
        <w:t xml:space="preserve">through </w:t>
      </w:r>
      <w:r w:rsidR="00C66106" w:rsidRPr="00C66106">
        <w:t>dynamic balancing.</w:t>
      </w:r>
      <w:r w:rsidR="000B297F" w:rsidRPr="000B297F">
        <w:t xml:space="preserve"> </w:t>
      </w:r>
    </w:p>
    <w:p w14:paraId="14654C49" w14:textId="77777777" w:rsidR="006B4708" w:rsidRDefault="006B4708" w:rsidP="00747050">
      <w:pPr>
        <w:spacing w:line="480" w:lineRule="auto"/>
        <w:jc w:val="both"/>
      </w:pPr>
    </w:p>
    <w:p w14:paraId="0D2C5953" w14:textId="77777777" w:rsidR="006B4708" w:rsidRDefault="006B4708" w:rsidP="00747050">
      <w:pPr>
        <w:spacing w:line="480" w:lineRule="auto"/>
        <w:jc w:val="both"/>
      </w:pPr>
      <w:r>
        <w:t>Similar to year 2020, most of the research in year 2021, also focused around discussing strategies around successfully navigating the crise of Covid-19. While Adikaram et al.(2021)</w:t>
      </w:r>
    </w:p>
    <w:p w14:paraId="796B7F98" w14:textId="77777777" w:rsidR="00B46EE7" w:rsidRDefault="006B4708" w:rsidP="00747050">
      <w:pPr>
        <w:spacing w:line="480" w:lineRule="auto"/>
        <w:jc w:val="both"/>
      </w:pPr>
      <w:r w:rsidRPr="006B4708">
        <w:t>provide</w:t>
      </w:r>
      <w:r>
        <w:t>d</w:t>
      </w:r>
      <w:r w:rsidRPr="006B4708">
        <w:t xml:space="preserve"> important </w:t>
      </w:r>
      <w:r>
        <w:t xml:space="preserve">insights concerning battle of HRM </w:t>
      </w:r>
      <w:r w:rsidRPr="006B4708">
        <w:t xml:space="preserve">professionals battle </w:t>
      </w:r>
      <w:r>
        <w:t>in the pandemic hit scenario</w:t>
      </w:r>
      <w:r w:rsidR="00970C01">
        <w:t xml:space="preserve">, on the other hand, Hoek and Dobrzykowski (2021) research evaluated the </w:t>
      </w:r>
      <w:r w:rsidR="00970C01" w:rsidRPr="00970C01">
        <w:t xml:space="preserve">supply chain risks caused by the COVID-19 pandemic </w:t>
      </w:r>
      <w:r w:rsidR="00970C01">
        <w:t xml:space="preserve">and resultant </w:t>
      </w:r>
      <w:r w:rsidR="00970C01" w:rsidRPr="00970C01">
        <w:t xml:space="preserve">reshoring </w:t>
      </w:r>
      <w:r w:rsidR="002D6F86" w:rsidRPr="00970C01">
        <w:t>considerations</w:t>
      </w:r>
      <w:r w:rsidR="002D6F86">
        <w:t xml:space="preserve">. The authors highlighted </w:t>
      </w:r>
      <w:r w:rsidR="002D6F86" w:rsidRPr="002D6F86">
        <w:t>alternative risk management techniques, such as supplier collaboration, in the short to medium term</w:t>
      </w:r>
      <w:r w:rsidR="002D6F86">
        <w:t>, to averse the impact of Covid-19 on their business operations.</w:t>
      </w:r>
      <w:r w:rsidR="000C35F9">
        <w:t xml:space="preserve"> Love et al. (2021) </w:t>
      </w:r>
      <w:r w:rsidR="000C35F9" w:rsidRPr="000C35F9">
        <w:t xml:space="preserve">studied COVID-19-related disruptions, impacts, and responses to the seafood sector </w:t>
      </w:r>
      <w:r w:rsidR="000C35F9">
        <w:t xml:space="preserve">and observed that </w:t>
      </w:r>
      <w:r w:rsidR="00B96567">
        <w:t xml:space="preserve">resilience was the main factor that saved businesses from going bust. The authors also </w:t>
      </w:r>
      <w:r w:rsidR="00FA2114">
        <w:t xml:space="preserve">explored the </w:t>
      </w:r>
      <w:r w:rsidR="00FA2114" w:rsidRPr="00FA2114">
        <w:t>reactivity of multiple actors and institutions in response to COVID-19 to absorb and react to disruptions, and to restore functions</w:t>
      </w:r>
      <w:r w:rsidR="00FA2114">
        <w:t>.</w:t>
      </w:r>
      <w:r w:rsidR="007D1F00">
        <w:t xml:space="preserve"> </w:t>
      </w:r>
      <w:r w:rsidR="00B46EE7">
        <w:t xml:space="preserve">Azizi et al.(2021) research while identifying numerous adverse consequences of Covid-19, such as economic shock, global health crisis, change in social behaviours, and challenges at the organization level to continue business operations, observed that robust human resource management strategies implementations </w:t>
      </w:r>
      <w:r w:rsidR="00AF3298">
        <w:t xml:space="preserve">has the capacity to </w:t>
      </w:r>
      <w:r w:rsidR="00B46EE7">
        <w:t>increase employees’ mental well-being, satisfaction, productivity, motivation, and health safety at the workplace.</w:t>
      </w:r>
    </w:p>
    <w:p w14:paraId="2C0ADE22" w14:textId="77777777" w:rsidR="00B67EFD" w:rsidRDefault="00B67EFD" w:rsidP="00747050">
      <w:pPr>
        <w:spacing w:line="480" w:lineRule="auto"/>
        <w:jc w:val="both"/>
      </w:pPr>
    </w:p>
    <w:p w14:paraId="37F89831" w14:textId="0C72457A" w:rsidR="001308BB" w:rsidRDefault="00A57286" w:rsidP="00747050">
      <w:pPr>
        <w:spacing w:line="480" w:lineRule="auto"/>
        <w:jc w:val="both"/>
      </w:pPr>
      <w:r>
        <w:t>Certainly,</w:t>
      </w:r>
      <w:r w:rsidR="00B67EFD">
        <w:t xml:space="preserve"> the last couple of years (2022-23) have witnessed  a steep research , specifically concerning post-pandemic strategies in Asia.</w:t>
      </w:r>
      <w:r w:rsidR="000223BC">
        <w:t xml:space="preserve"> For example, </w:t>
      </w:r>
      <w:r w:rsidR="000223BC" w:rsidRPr="005C5FAB">
        <w:t>Liu et al. (2022)</w:t>
      </w:r>
      <w:r w:rsidR="000223BC">
        <w:t xml:space="preserve"> investigated the notion of trust in government measures for </w:t>
      </w:r>
      <w:r w:rsidR="000223BC" w:rsidRPr="000223BC">
        <w:t xml:space="preserve">integrated government response policies, underpinned by containment health measures </w:t>
      </w:r>
      <w:r w:rsidR="00201F9B">
        <w:t xml:space="preserve">such as </w:t>
      </w:r>
      <w:r w:rsidR="000223BC" w:rsidRPr="000223BC">
        <w:t xml:space="preserve">economic reliefs, are crucial </w:t>
      </w:r>
      <w:r w:rsidR="00201F9B">
        <w:t xml:space="preserve">policies. Similarly, Nazar et al. (2022) evaluated the </w:t>
      </w:r>
      <w:r w:rsidR="00201F9B" w:rsidRPr="00201F9B">
        <w:t>entrepreneurial perspective to sustain and scale-up enterprises during COVID-19</w:t>
      </w:r>
      <w:r w:rsidR="00201F9B">
        <w:t xml:space="preserve"> in Pakistan</w:t>
      </w:r>
      <w:r w:rsidR="00A76876">
        <w:t xml:space="preserve"> and suggested to develop </w:t>
      </w:r>
      <w:r w:rsidR="00201F9B" w:rsidRPr="00201F9B">
        <w:t>efficient ecosystems to support entrepreneurs. </w:t>
      </w:r>
      <w:r w:rsidR="001B45F9">
        <w:t>Another study by Orji et al.(202</w:t>
      </w:r>
      <w:r w:rsidR="007067C9">
        <w:t xml:space="preserve">2) evaluated the </w:t>
      </w:r>
      <w:r w:rsidR="007067C9" w:rsidRPr="007067C9">
        <w:t xml:space="preserve">role of pandemic </w:t>
      </w:r>
      <w:r w:rsidR="007067C9" w:rsidRPr="007067C9">
        <w:lastRenderedPageBreak/>
        <w:t>response strategies</w:t>
      </w:r>
      <w:r w:rsidR="007067C9">
        <w:t xml:space="preserve"> in the </w:t>
      </w:r>
      <w:r w:rsidR="007067C9" w:rsidRPr="007067C9">
        <w:t>nexus between e-commerce adoption in a health pandemic and firm performance</w:t>
      </w:r>
      <w:r w:rsidR="007067C9">
        <w:t xml:space="preserve">. The results of the study indicated that </w:t>
      </w:r>
      <w:r w:rsidR="007067C9" w:rsidRPr="007067C9">
        <w:t xml:space="preserve">pandemic response strategies </w:t>
      </w:r>
      <w:r w:rsidR="007067C9">
        <w:t xml:space="preserve">were followed by </w:t>
      </w:r>
      <w:r w:rsidR="007067C9" w:rsidRPr="007067C9">
        <w:t xml:space="preserve">technical-related </w:t>
      </w:r>
      <w:r w:rsidRPr="007067C9">
        <w:t>enablers</w:t>
      </w:r>
      <w:r>
        <w:t xml:space="preserve"> and</w:t>
      </w:r>
      <w:r w:rsidR="0077682C">
        <w:t xml:space="preserve"> noted that </w:t>
      </w:r>
      <w:r w:rsidR="007067C9" w:rsidRPr="007067C9">
        <w:t xml:space="preserve"> pandemic response strategies ha</w:t>
      </w:r>
      <w:r w:rsidR="0077682C">
        <w:t>d</w:t>
      </w:r>
      <w:r w:rsidR="007067C9" w:rsidRPr="007067C9">
        <w:t xml:space="preserve"> the highest effect on profit and customer satisfaction. </w:t>
      </w:r>
      <w:r w:rsidR="0077682C">
        <w:t>In more recent studies in year 2023, different researchers have delved into the</w:t>
      </w:r>
      <w:r w:rsidR="0077682C" w:rsidRPr="0077682C">
        <w:t xml:space="preserve"> importance of data analytics in effectively implementing  strategies for sustaining company performance amid COVID-19 disruptions</w:t>
      </w:r>
      <w:r w:rsidR="004E47DB">
        <w:t xml:space="preserve">, and </w:t>
      </w:r>
      <w:r w:rsidR="004E47DB" w:rsidRPr="004E47DB">
        <w:t>the survival probability of the firms during the COVID-19 pandemic</w:t>
      </w:r>
      <w:r w:rsidR="004E47DB">
        <w:t xml:space="preserve"> (Khan et al., 2023; Islam and Fatema, 2023)</w:t>
      </w:r>
      <w:r w:rsidR="001308BB">
        <w:t xml:space="preserve">. Both the studies suggested that </w:t>
      </w:r>
      <w:r w:rsidR="006363FE">
        <w:t xml:space="preserve">emergence of organisations from </w:t>
      </w:r>
      <w:r>
        <w:t>these types of disasters</w:t>
      </w:r>
      <w:r w:rsidR="006363FE">
        <w:t xml:space="preserve"> can be oriented based on three capabilities – agility, adaptability and alignment (3As).</w:t>
      </w:r>
    </w:p>
    <w:p w14:paraId="56F36179" w14:textId="77777777" w:rsidR="006363FE" w:rsidRDefault="006363FE" w:rsidP="00747050">
      <w:pPr>
        <w:spacing w:line="480" w:lineRule="auto"/>
        <w:jc w:val="both"/>
      </w:pPr>
    </w:p>
    <w:p w14:paraId="51EF3859" w14:textId="77777777" w:rsidR="00977CFB" w:rsidRDefault="006363FE" w:rsidP="00747050">
      <w:pPr>
        <w:spacing w:line="480" w:lineRule="auto"/>
        <w:jc w:val="both"/>
      </w:pPr>
      <w:r>
        <w:t>The crux of the past research related to post-pandemic stratgeis in Asia is presented in the table below:</w:t>
      </w:r>
    </w:p>
    <w:p w14:paraId="61517C8E" w14:textId="77777777" w:rsidR="00745987" w:rsidRDefault="00745987" w:rsidP="00747050">
      <w:pPr>
        <w:spacing w:line="480" w:lineRule="auto"/>
        <w:jc w:val="both"/>
      </w:pPr>
    </w:p>
    <w:p w14:paraId="0E2445B5" w14:textId="77777777" w:rsidR="00745987" w:rsidRDefault="00745987" w:rsidP="00747050">
      <w:pPr>
        <w:spacing w:line="480" w:lineRule="auto"/>
        <w:jc w:val="both"/>
      </w:pPr>
    </w:p>
    <w:p w14:paraId="2092D65F" w14:textId="77777777" w:rsidR="00745987" w:rsidRDefault="00745987" w:rsidP="00747050">
      <w:pPr>
        <w:spacing w:line="480" w:lineRule="auto"/>
        <w:jc w:val="both"/>
      </w:pPr>
    </w:p>
    <w:p w14:paraId="3C36B508" w14:textId="77777777" w:rsidR="00745987" w:rsidRDefault="00745987" w:rsidP="00747050">
      <w:pPr>
        <w:spacing w:line="480" w:lineRule="auto"/>
        <w:jc w:val="both"/>
      </w:pPr>
    </w:p>
    <w:p w14:paraId="19CBC86E" w14:textId="77777777" w:rsidR="00745987" w:rsidRDefault="00745987" w:rsidP="00747050">
      <w:pPr>
        <w:spacing w:line="480" w:lineRule="auto"/>
        <w:jc w:val="both"/>
      </w:pPr>
    </w:p>
    <w:p w14:paraId="39D4D33E" w14:textId="77777777" w:rsidR="00745987" w:rsidRDefault="00745987" w:rsidP="00747050">
      <w:pPr>
        <w:spacing w:line="480" w:lineRule="auto"/>
        <w:jc w:val="both"/>
        <w:sectPr w:rsidR="00745987" w:rsidSect="00593BE9">
          <w:pgSz w:w="11906" w:h="16838"/>
          <w:pgMar w:top="1440" w:right="1440" w:bottom="1440" w:left="1440" w:header="708" w:footer="708" w:gutter="0"/>
          <w:cols w:space="708"/>
          <w:docGrid w:linePitch="360"/>
        </w:sectPr>
      </w:pPr>
    </w:p>
    <w:p w14:paraId="34B8BC9A" w14:textId="77777777" w:rsidR="00745987" w:rsidRDefault="00745987" w:rsidP="00747050">
      <w:pPr>
        <w:spacing w:line="480" w:lineRule="auto"/>
        <w:jc w:val="both"/>
      </w:pPr>
    </w:p>
    <w:p w14:paraId="2E2839F0" w14:textId="77777777" w:rsidR="006363FE" w:rsidRPr="00977CFB" w:rsidRDefault="00977CFB" w:rsidP="00977CFB">
      <w:pPr>
        <w:spacing w:line="480" w:lineRule="auto"/>
        <w:jc w:val="center"/>
        <w:rPr>
          <w:b/>
          <w:bCs/>
        </w:rPr>
      </w:pPr>
      <w:r w:rsidRPr="00977CFB">
        <w:rPr>
          <w:b/>
          <w:bCs/>
        </w:rPr>
        <w:t>Table 1:  Previous literature concerning post-pandemic strategies in Asia</w:t>
      </w:r>
    </w:p>
    <w:p w14:paraId="5843656E" w14:textId="77777777" w:rsidR="006363FE" w:rsidRDefault="006363FE" w:rsidP="006363FE">
      <w:pPr>
        <w:jc w:val="both"/>
      </w:pPr>
    </w:p>
    <w:tbl>
      <w:tblPr>
        <w:tblStyle w:val="TableGrid"/>
        <w:tblW w:w="12758" w:type="dxa"/>
        <w:tblInd w:w="137" w:type="dxa"/>
        <w:tblLayout w:type="fixed"/>
        <w:tblLook w:val="04A0" w:firstRow="1" w:lastRow="0" w:firstColumn="1" w:lastColumn="0" w:noHBand="0" w:noVBand="1"/>
      </w:tblPr>
      <w:tblGrid>
        <w:gridCol w:w="1394"/>
        <w:gridCol w:w="1565"/>
        <w:gridCol w:w="2569"/>
        <w:gridCol w:w="1276"/>
        <w:gridCol w:w="2552"/>
        <w:gridCol w:w="3402"/>
      </w:tblGrid>
      <w:tr w:rsidR="00445D1C" w:rsidRPr="006363FE" w14:paraId="066C8D97" w14:textId="77777777" w:rsidTr="00745987">
        <w:trPr>
          <w:trHeight w:val="517"/>
        </w:trPr>
        <w:tc>
          <w:tcPr>
            <w:tcW w:w="1394" w:type="dxa"/>
          </w:tcPr>
          <w:p w14:paraId="2C972479" w14:textId="77777777" w:rsidR="006363FE" w:rsidRPr="006363FE" w:rsidRDefault="006363FE" w:rsidP="007A5DC3">
            <w:pPr>
              <w:jc w:val="center"/>
              <w:rPr>
                <w:b/>
                <w:bCs/>
                <w:sz w:val="20"/>
                <w:szCs w:val="20"/>
              </w:rPr>
            </w:pPr>
            <w:r w:rsidRPr="006363FE">
              <w:rPr>
                <w:b/>
                <w:bCs/>
                <w:sz w:val="20"/>
                <w:szCs w:val="20"/>
              </w:rPr>
              <w:t>Authors</w:t>
            </w:r>
          </w:p>
        </w:tc>
        <w:tc>
          <w:tcPr>
            <w:tcW w:w="1565" w:type="dxa"/>
          </w:tcPr>
          <w:p w14:paraId="3D5F04EF" w14:textId="77777777" w:rsidR="006363FE" w:rsidRPr="006363FE" w:rsidRDefault="006363FE" w:rsidP="007A5DC3">
            <w:pPr>
              <w:jc w:val="center"/>
              <w:rPr>
                <w:b/>
                <w:bCs/>
                <w:sz w:val="20"/>
                <w:szCs w:val="20"/>
              </w:rPr>
            </w:pPr>
            <w:r w:rsidRPr="006363FE">
              <w:rPr>
                <w:b/>
                <w:bCs/>
                <w:sz w:val="20"/>
                <w:szCs w:val="20"/>
              </w:rPr>
              <w:t>Title</w:t>
            </w:r>
          </w:p>
        </w:tc>
        <w:tc>
          <w:tcPr>
            <w:tcW w:w="2569" w:type="dxa"/>
          </w:tcPr>
          <w:p w14:paraId="014D098A" w14:textId="77777777" w:rsidR="006363FE" w:rsidRPr="006363FE" w:rsidRDefault="006363FE" w:rsidP="007A5DC3">
            <w:pPr>
              <w:jc w:val="center"/>
              <w:rPr>
                <w:b/>
                <w:bCs/>
                <w:sz w:val="20"/>
                <w:szCs w:val="20"/>
              </w:rPr>
            </w:pPr>
            <w:r w:rsidRPr="006363FE">
              <w:rPr>
                <w:b/>
                <w:bCs/>
                <w:sz w:val="20"/>
                <w:szCs w:val="20"/>
              </w:rPr>
              <w:t>Research Gap</w:t>
            </w:r>
          </w:p>
        </w:tc>
        <w:tc>
          <w:tcPr>
            <w:tcW w:w="1276" w:type="dxa"/>
          </w:tcPr>
          <w:p w14:paraId="037395E7" w14:textId="77777777" w:rsidR="006363FE" w:rsidRPr="006363FE" w:rsidRDefault="006363FE" w:rsidP="007A5DC3">
            <w:pPr>
              <w:jc w:val="center"/>
              <w:rPr>
                <w:b/>
                <w:bCs/>
                <w:sz w:val="20"/>
                <w:szCs w:val="20"/>
              </w:rPr>
            </w:pPr>
            <w:r w:rsidRPr="006363FE">
              <w:rPr>
                <w:b/>
                <w:bCs/>
                <w:sz w:val="20"/>
                <w:szCs w:val="20"/>
              </w:rPr>
              <w:t>Method</w:t>
            </w:r>
          </w:p>
        </w:tc>
        <w:tc>
          <w:tcPr>
            <w:tcW w:w="2552" w:type="dxa"/>
          </w:tcPr>
          <w:p w14:paraId="044A7D30" w14:textId="77777777" w:rsidR="006363FE" w:rsidRPr="006363FE" w:rsidRDefault="006363FE" w:rsidP="007A5DC3">
            <w:pPr>
              <w:jc w:val="center"/>
              <w:rPr>
                <w:b/>
                <w:bCs/>
                <w:sz w:val="20"/>
                <w:szCs w:val="20"/>
              </w:rPr>
            </w:pPr>
            <w:r w:rsidRPr="006363FE">
              <w:rPr>
                <w:b/>
                <w:bCs/>
                <w:sz w:val="20"/>
                <w:szCs w:val="20"/>
              </w:rPr>
              <w:t>Findings</w:t>
            </w:r>
          </w:p>
        </w:tc>
        <w:tc>
          <w:tcPr>
            <w:tcW w:w="3402" w:type="dxa"/>
          </w:tcPr>
          <w:p w14:paraId="38B1573D" w14:textId="77777777" w:rsidR="006363FE" w:rsidRPr="006363FE" w:rsidRDefault="006363FE" w:rsidP="007A5DC3">
            <w:pPr>
              <w:jc w:val="center"/>
              <w:rPr>
                <w:b/>
                <w:bCs/>
                <w:sz w:val="20"/>
                <w:szCs w:val="20"/>
              </w:rPr>
            </w:pPr>
            <w:r w:rsidRPr="006363FE">
              <w:rPr>
                <w:b/>
                <w:bCs/>
                <w:sz w:val="20"/>
                <w:szCs w:val="20"/>
              </w:rPr>
              <w:t>Contribution</w:t>
            </w:r>
          </w:p>
        </w:tc>
      </w:tr>
      <w:tr w:rsidR="00445D1C" w:rsidRPr="006363FE" w14:paraId="278A47D9" w14:textId="77777777" w:rsidTr="00745987">
        <w:trPr>
          <w:trHeight w:val="1553"/>
        </w:trPr>
        <w:tc>
          <w:tcPr>
            <w:tcW w:w="1394" w:type="dxa"/>
          </w:tcPr>
          <w:p w14:paraId="0D809461" w14:textId="77777777" w:rsidR="006363FE" w:rsidRPr="006363FE" w:rsidRDefault="006363FE" w:rsidP="007A5DC3">
            <w:pPr>
              <w:rPr>
                <w:sz w:val="20"/>
                <w:szCs w:val="20"/>
              </w:rPr>
            </w:pPr>
            <w:r w:rsidRPr="006363FE">
              <w:rPr>
                <w:sz w:val="20"/>
                <w:szCs w:val="20"/>
              </w:rPr>
              <w:t>Sharma et al. (2020)</w:t>
            </w:r>
          </w:p>
        </w:tc>
        <w:tc>
          <w:tcPr>
            <w:tcW w:w="1565" w:type="dxa"/>
          </w:tcPr>
          <w:p w14:paraId="18C8FB66" w14:textId="77777777" w:rsidR="006363FE" w:rsidRPr="006363FE" w:rsidRDefault="006363FE" w:rsidP="007A5DC3">
            <w:pPr>
              <w:rPr>
                <w:sz w:val="20"/>
                <w:szCs w:val="20"/>
              </w:rPr>
            </w:pPr>
            <w:r w:rsidRPr="006363FE">
              <w:rPr>
                <w:color w:val="222222"/>
                <w:sz w:val="20"/>
                <w:szCs w:val="20"/>
                <w:shd w:val="clear" w:color="auto" w:fill="FFFFFF"/>
              </w:rPr>
              <w:t>Managing uncertainty during a global pandemic: An international business perspective</w:t>
            </w:r>
          </w:p>
        </w:tc>
        <w:tc>
          <w:tcPr>
            <w:tcW w:w="2569" w:type="dxa"/>
          </w:tcPr>
          <w:p w14:paraId="71612755" w14:textId="77777777" w:rsidR="006363FE" w:rsidRPr="006363FE" w:rsidRDefault="006363FE" w:rsidP="007A5DC3">
            <w:pPr>
              <w:rPr>
                <w:sz w:val="20"/>
                <w:szCs w:val="20"/>
              </w:rPr>
            </w:pPr>
            <w:r w:rsidRPr="006363FE">
              <w:rPr>
                <w:color w:val="212121"/>
                <w:sz w:val="20"/>
                <w:szCs w:val="20"/>
                <w:shd w:val="clear" w:color="auto" w:fill="FFFFFF"/>
              </w:rPr>
              <w:t>Despite the perennial need to understand and manage uncertainty in international business, there is no comprehensive framework that incorporates different types of uncertainty, their antecedents and outcomes, and the different coping strategies used by managers and their outcomes. </w:t>
            </w:r>
          </w:p>
        </w:tc>
        <w:tc>
          <w:tcPr>
            <w:tcW w:w="1276" w:type="dxa"/>
          </w:tcPr>
          <w:p w14:paraId="372ED952" w14:textId="77777777" w:rsidR="006363FE" w:rsidRPr="006363FE" w:rsidRDefault="006363FE" w:rsidP="007A5DC3">
            <w:pPr>
              <w:rPr>
                <w:sz w:val="20"/>
                <w:szCs w:val="20"/>
              </w:rPr>
            </w:pPr>
            <w:r w:rsidRPr="006363FE">
              <w:rPr>
                <w:sz w:val="20"/>
                <w:szCs w:val="20"/>
              </w:rPr>
              <w:t>Theoretical</w:t>
            </w:r>
          </w:p>
        </w:tc>
        <w:tc>
          <w:tcPr>
            <w:tcW w:w="2552" w:type="dxa"/>
          </w:tcPr>
          <w:p w14:paraId="1B53F8EE" w14:textId="77777777" w:rsidR="006363FE" w:rsidRPr="006363FE" w:rsidRDefault="006363FE" w:rsidP="007A5DC3">
            <w:pPr>
              <w:rPr>
                <w:sz w:val="20"/>
                <w:szCs w:val="20"/>
              </w:rPr>
            </w:pPr>
            <w:r w:rsidRPr="006363FE">
              <w:rPr>
                <w:color w:val="212121"/>
                <w:sz w:val="20"/>
                <w:szCs w:val="20"/>
                <w:shd w:val="clear" w:color="auto" w:fill="FFFFFF"/>
              </w:rPr>
              <w:t>The paper identifies the different types of uncertainty, their antecedents and outcomes, the coping strategies used to mitigate the impact of Covid-19, and the consequences of these actions. The authors also use examples from the current Covid-19 crisis to assess the firms’ responses and their consequences.</w:t>
            </w:r>
          </w:p>
        </w:tc>
        <w:tc>
          <w:tcPr>
            <w:tcW w:w="3402" w:type="dxa"/>
          </w:tcPr>
          <w:p w14:paraId="7F8189A4" w14:textId="77777777" w:rsidR="006363FE" w:rsidRPr="006363FE" w:rsidRDefault="006363FE" w:rsidP="007A5DC3">
            <w:pPr>
              <w:rPr>
                <w:sz w:val="20"/>
                <w:szCs w:val="20"/>
              </w:rPr>
            </w:pPr>
            <w:r w:rsidRPr="006363FE">
              <w:rPr>
                <w:sz w:val="20"/>
                <w:szCs w:val="20"/>
              </w:rPr>
              <w:t>This study highlights the importance of other types of uncertainty that have been overlooked in international business research.</w:t>
            </w:r>
          </w:p>
        </w:tc>
      </w:tr>
      <w:tr w:rsidR="00445D1C" w:rsidRPr="006363FE" w14:paraId="6CF02537" w14:textId="77777777" w:rsidTr="00745987">
        <w:trPr>
          <w:trHeight w:val="258"/>
        </w:trPr>
        <w:tc>
          <w:tcPr>
            <w:tcW w:w="1394" w:type="dxa"/>
          </w:tcPr>
          <w:p w14:paraId="7EF31FA1" w14:textId="77777777" w:rsidR="006363FE" w:rsidRPr="006363FE" w:rsidRDefault="006363FE" w:rsidP="007A5DC3">
            <w:pPr>
              <w:rPr>
                <w:sz w:val="20"/>
                <w:szCs w:val="20"/>
              </w:rPr>
            </w:pPr>
            <w:r w:rsidRPr="006363FE">
              <w:rPr>
                <w:sz w:val="20"/>
                <w:szCs w:val="20"/>
              </w:rPr>
              <w:t>Liu et al. (2020)</w:t>
            </w:r>
          </w:p>
        </w:tc>
        <w:tc>
          <w:tcPr>
            <w:tcW w:w="1565" w:type="dxa"/>
          </w:tcPr>
          <w:p w14:paraId="50114E7C" w14:textId="77777777" w:rsidR="006363FE" w:rsidRPr="006363FE" w:rsidRDefault="006363FE" w:rsidP="007A5DC3">
            <w:pPr>
              <w:rPr>
                <w:sz w:val="20"/>
                <w:szCs w:val="20"/>
              </w:rPr>
            </w:pPr>
            <w:r w:rsidRPr="006363FE">
              <w:rPr>
                <w:color w:val="222222"/>
                <w:sz w:val="20"/>
                <w:szCs w:val="20"/>
                <w:shd w:val="clear" w:color="auto" w:fill="FFFFFF"/>
              </w:rPr>
              <w:t>The challenges and opportunities of a global health crisis: the management and business implications of COVID-19 from an Asian perspective</w:t>
            </w:r>
          </w:p>
        </w:tc>
        <w:tc>
          <w:tcPr>
            <w:tcW w:w="2569" w:type="dxa"/>
          </w:tcPr>
          <w:p w14:paraId="42FCD392" w14:textId="77777777" w:rsidR="006363FE" w:rsidRPr="006363FE" w:rsidRDefault="006363FE" w:rsidP="007A5DC3">
            <w:pPr>
              <w:rPr>
                <w:sz w:val="20"/>
                <w:szCs w:val="20"/>
              </w:rPr>
            </w:pPr>
            <w:r w:rsidRPr="006363FE">
              <w:rPr>
                <w:sz w:val="20"/>
                <w:szCs w:val="20"/>
              </w:rPr>
              <w:t xml:space="preserve">The </w:t>
            </w:r>
            <w:r w:rsidRPr="006363FE">
              <w:rPr>
                <w:color w:val="333333"/>
                <w:sz w:val="20"/>
                <w:szCs w:val="20"/>
                <w:shd w:val="clear" w:color="auto" w:fill="FCFCFC"/>
              </w:rPr>
              <w:t>evolution and implications of the COVID-19 crisis are still unfolding. The authors posit that exploring the experiences and strategic responses of Asian countries may shed light on ways to combat COVID-19 for the rest of the world.</w:t>
            </w:r>
          </w:p>
        </w:tc>
        <w:tc>
          <w:tcPr>
            <w:tcW w:w="1276" w:type="dxa"/>
          </w:tcPr>
          <w:p w14:paraId="784D70C9" w14:textId="77777777" w:rsidR="006363FE" w:rsidRPr="006363FE" w:rsidRDefault="006363FE" w:rsidP="007A5DC3">
            <w:pPr>
              <w:rPr>
                <w:sz w:val="20"/>
                <w:szCs w:val="20"/>
              </w:rPr>
            </w:pPr>
            <w:r w:rsidRPr="006363FE">
              <w:rPr>
                <w:sz w:val="20"/>
                <w:szCs w:val="20"/>
              </w:rPr>
              <w:t>Theoretical</w:t>
            </w:r>
          </w:p>
        </w:tc>
        <w:tc>
          <w:tcPr>
            <w:tcW w:w="2552" w:type="dxa"/>
          </w:tcPr>
          <w:p w14:paraId="4DECCCAC" w14:textId="77777777" w:rsidR="006363FE" w:rsidRPr="006363FE" w:rsidRDefault="006363FE" w:rsidP="007A5DC3">
            <w:pPr>
              <w:rPr>
                <w:sz w:val="20"/>
                <w:szCs w:val="20"/>
              </w:rPr>
            </w:pPr>
            <w:r w:rsidRPr="006363FE">
              <w:rPr>
                <w:color w:val="333333"/>
                <w:sz w:val="20"/>
                <w:szCs w:val="20"/>
                <w:shd w:val="clear" w:color="auto" w:fill="FCFCFC"/>
              </w:rPr>
              <w:t>The authors articulate the importance of resilience, strategic agility, and entrepreneurship in the context of the fight against COVID-19. Then, with a focus on China, South Korea, and Singapore, the authors discuss the impact COVID-19 is having on economies and businesses, governmental support for businesses and societies, and implications for global supply chain disruptions. </w:t>
            </w:r>
          </w:p>
        </w:tc>
        <w:tc>
          <w:tcPr>
            <w:tcW w:w="3402" w:type="dxa"/>
          </w:tcPr>
          <w:p w14:paraId="1074D3DB" w14:textId="77777777" w:rsidR="006363FE" w:rsidRPr="006363FE" w:rsidRDefault="006363FE" w:rsidP="007A5DC3">
            <w:pPr>
              <w:rPr>
                <w:sz w:val="20"/>
                <w:szCs w:val="20"/>
              </w:rPr>
            </w:pPr>
            <w:r w:rsidRPr="006363FE">
              <w:rPr>
                <w:color w:val="333333"/>
                <w:sz w:val="20"/>
                <w:szCs w:val="20"/>
                <w:shd w:val="clear" w:color="auto" w:fill="FCFCFC"/>
              </w:rPr>
              <w:t>The authors make the case that the global health system will recover quickly and that the world economy will be revitalized with the contributions and collaboration of science (including social science), industry, and governments.</w:t>
            </w:r>
          </w:p>
        </w:tc>
      </w:tr>
      <w:tr w:rsidR="00445D1C" w:rsidRPr="006363FE" w14:paraId="768E5C0C" w14:textId="77777777" w:rsidTr="00745987">
        <w:trPr>
          <w:trHeight w:val="244"/>
        </w:trPr>
        <w:tc>
          <w:tcPr>
            <w:tcW w:w="1394" w:type="dxa"/>
          </w:tcPr>
          <w:p w14:paraId="53D092B6" w14:textId="77777777" w:rsidR="006363FE" w:rsidRPr="006363FE" w:rsidRDefault="006363FE" w:rsidP="007A5DC3">
            <w:pPr>
              <w:rPr>
                <w:sz w:val="20"/>
                <w:szCs w:val="20"/>
              </w:rPr>
            </w:pPr>
            <w:r w:rsidRPr="006363FE">
              <w:rPr>
                <w:sz w:val="20"/>
                <w:szCs w:val="20"/>
              </w:rPr>
              <w:t>Gao and Ren (2020)</w:t>
            </w:r>
          </w:p>
        </w:tc>
        <w:tc>
          <w:tcPr>
            <w:tcW w:w="1565" w:type="dxa"/>
          </w:tcPr>
          <w:p w14:paraId="039920F8" w14:textId="77777777" w:rsidR="006363FE" w:rsidRPr="006363FE" w:rsidRDefault="006363FE" w:rsidP="007A5DC3">
            <w:pPr>
              <w:rPr>
                <w:sz w:val="20"/>
                <w:szCs w:val="20"/>
              </w:rPr>
            </w:pPr>
            <w:r w:rsidRPr="006363FE">
              <w:rPr>
                <w:color w:val="222222"/>
                <w:sz w:val="20"/>
                <w:szCs w:val="20"/>
                <w:shd w:val="clear" w:color="auto" w:fill="FFFFFF"/>
              </w:rPr>
              <w:t xml:space="preserve">Overreliance on China and </w:t>
            </w:r>
            <w:r w:rsidRPr="006363FE">
              <w:rPr>
                <w:color w:val="222222"/>
                <w:sz w:val="20"/>
                <w:szCs w:val="20"/>
                <w:shd w:val="clear" w:color="auto" w:fill="FFFFFF"/>
              </w:rPr>
              <w:lastRenderedPageBreak/>
              <w:t>dynamic balancing in the shift of global value chains in response to global pandemic COVID-19: An Australian and New Zealand perspective</w:t>
            </w:r>
          </w:p>
        </w:tc>
        <w:tc>
          <w:tcPr>
            <w:tcW w:w="2569" w:type="dxa"/>
          </w:tcPr>
          <w:p w14:paraId="24927D32" w14:textId="77777777" w:rsidR="006363FE" w:rsidRPr="006363FE" w:rsidRDefault="006363FE" w:rsidP="007A5DC3">
            <w:pPr>
              <w:rPr>
                <w:sz w:val="20"/>
                <w:szCs w:val="20"/>
              </w:rPr>
            </w:pPr>
            <w:r w:rsidRPr="006363FE">
              <w:rPr>
                <w:sz w:val="20"/>
                <w:szCs w:val="20"/>
              </w:rPr>
              <w:lastRenderedPageBreak/>
              <w:t>N/A</w:t>
            </w:r>
          </w:p>
        </w:tc>
        <w:tc>
          <w:tcPr>
            <w:tcW w:w="1276" w:type="dxa"/>
          </w:tcPr>
          <w:p w14:paraId="22D9BC5C" w14:textId="77777777" w:rsidR="006363FE" w:rsidRPr="006363FE" w:rsidRDefault="006363FE" w:rsidP="007A5DC3">
            <w:pPr>
              <w:rPr>
                <w:sz w:val="20"/>
                <w:szCs w:val="20"/>
              </w:rPr>
            </w:pPr>
            <w:r w:rsidRPr="006363FE">
              <w:rPr>
                <w:sz w:val="20"/>
                <w:szCs w:val="20"/>
              </w:rPr>
              <w:t>Commentary</w:t>
            </w:r>
          </w:p>
        </w:tc>
        <w:tc>
          <w:tcPr>
            <w:tcW w:w="2552" w:type="dxa"/>
          </w:tcPr>
          <w:p w14:paraId="161BDD0E" w14:textId="77777777" w:rsidR="006363FE" w:rsidRPr="006363FE" w:rsidRDefault="006363FE" w:rsidP="007A5DC3">
            <w:pPr>
              <w:rPr>
                <w:sz w:val="20"/>
                <w:szCs w:val="20"/>
              </w:rPr>
            </w:pPr>
            <w:r w:rsidRPr="006363FE">
              <w:rPr>
                <w:sz w:val="20"/>
                <w:szCs w:val="20"/>
              </w:rPr>
              <w:t xml:space="preserve">The authors argue for businesses in Australia and </w:t>
            </w:r>
            <w:r w:rsidRPr="006363FE">
              <w:rPr>
                <w:sz w:val="20"/>
                <w:szCs w:val="20"/>
              </w:rPr>
              <w:lastRenderedPageBreak/>
              <w:t>New Zealand to reduce their overreliance on China in terms of their global value chains and to focus on achieving resilience by dynamic balancing.</w:t>
            </w:r>
          </w:p>
        </w:tc>
        <w:tc>
          <w:tcPr>
            <w:tcW w:w="3402" w:type="dxa"/>
          </w:tcPr>
          <w:p w14:paraId="45FC2E70" w14:textId="77777777" w:rsidR="006363FE" w:rsidRPr="006363FE" w:rsidRDefault="006363FE" w:rsidP="007A5DC3">
            <w:pPr>
              <w:rPr>
                <w:sz w:val="20"/>
                <w:szCs w:val="20"/>
              </w:rPr>
            </w:pPr>
            <w:r w:rsidRPr="006363FE">
              <w:rPr>
                <w:sz w:val="20"/>
                <w:szCs w:val="20"/>
              </w:rPr>
              <w:lastRenderedPageBreak/>
              <w:t>N/A</w:t>
            </w:r>
          </w:p>
        </w:tc>
      </w:tr>
      <w:tr w:rsidR="00445D1C" w:rsidRPr="006363FE" w14:paraId="73B61BC5" w14:textId="77777777" w:rsidTr="00745987">
        <w:trPr>
          <w:trHeight w:val="258"/>
        </w:trPr>
        <w:tc>
          <w:tcPr>
            <w:tcW w:w="1394" w:type="dxa"/>
          </w:tcPr>
          <w:p w14:paraId="4E6E1EA3" w14:textId="77777777" w:rsidR="006363FE" w:rsidRPr="006363FE" w:rsidRDefault="006363FE" w:rsidP="007A5DC3">
            <w:pPr>
              <w:rPr>
                <w:sz w:val="20"/>
                <w:szCs w:val="20"/>
              </w:rPr>
            </w:pPr>
            <w:r w:rsidRPr="006363FE">
              <w:rPr>
                <w:sz w:val="20"/>
                <w:szCs w:val="20"/>
              </w:rPr>
              <w:t>Liu et al. (2022)</w:t>
            </w:r>
          </w:p>
        </w:tc>
        <w:tc>
          <w:tcPr>
            <w:tcW w:w="1565" w:type="dxa"/>
          </w:tcPr>
          <w:p w14:paraId="719A2ACE" w14:textId="77777777" w:rsidR="006363FE" w:rsidRPr="006363FE" w:rsidRDefault="006363FE" w:rsidP="007A5DC3">
            <w:pPr>
              <w:rPr>
                <w:sz w:val="20"/>
                <w:szCs w:val="20"/>
              </w:rPr>
            </w:pPr>
            <w:r w:rsidRPr="006363FE">
              <w:rPr>
                <w:color w:val="222222"/>
                <w:sz w:val="20"/>
                <w:szCs w:val="20"/>
                <w:shd w:val="clear" w:color="auto" w:fill="FFFFFF"/>
              </w:rPr>
              <w:t>Government response measures and public trust during the COVID‐19 pandemic: evidence from around the world</w:t>
            </w:r>
          </w:p>
        </w:tc>
        <w:tc>
          <w:tcPr>
            <w:tcW w:w="2569" w:type="dxa"/>
          </w:tcPr>
          <w:p w14:paraId="426907A3" w14:textId="77777777" w:rsidR="006363FE" w:rsidRPr="006363FE" w:rsidRDefault="006363FE" w:rsidP="007A5DC3">
            <w:pPr>
              <w:rPr>
                <w:sz w:val="20"/>
                <w:szCs w:val="20"/>
              </w:rPr>
            </w:pPr>
            <w:r w:rsidRPr="006363FE">
              <w:rPr>
                <w:color w:val="000000"/>
                <w:sz w:val="20"/>
                <w:szCs w:val="20"/>
                <w:shd w:val="clear" w:color="auto" w:fill="FFFFFF"/>
              </w:rPr>
              <w:t>Trust has been researched in different settings from diverse perspectives. However, government measures and public trust have not been studied at a global level nor in the context of a public health emergency.</w:t>
            </w:r>
          </w:p>
        </w:tc>
        <w:tc>
          <w:tcPr>
            <w:tcW w:w="1276" w:type="dxa"/>
          </w:tcPr>
          <w:p w14:paraId="5256DA25" w14:textId="77777777" w:rsidR="006363FE" w:rsidRPr="006363FE" w:rsidRDefault="006363FE" w:rsidP="007A5DC3">
            <w:pPr>
              <w:rPr>
                <w:sz w:val="20"/>
                <w:szCs w:val="20"/>
              </w:rPr>
            </w:pPr>
            <w:r w:rsidRPr="006363FE">
              <w:rPr>
                <w:sz w:val="20"/>
                <w:szCs w:val="20"/>
              </w:rPr>
              <w:t>Empirical</w:t>
            </w:r>
          </w:p>
        </w:tc>
        <w:tc>
          <w:tcPr>
            <w:tcW w:w="2552" w:type="dxa"/>
          </w:tcPr>
          <w:p w14:paraId="68FBA6CA" w14:textId="77777777" w:rsidR="006363FE" w:rsidRPr="006363FE" w:rsidRDefault="006363FE" w:rsidP="007A5DC3">
            <w:pPr>
              <w:rPr>
                <w:sz w:val="20"/>
                <w:szCs w:val="20"/>
              </w:rPr>
            </w:pPr>
            <w:r w:rsidRPr="006363FE">
              <w:rPr>
                <w:color w:val="000000"/>
                <w:sz w:val="20"/>
                <w:szCs w:val="20"/>
                <w:shd w:val="clear" w:color="auto" w:fill="FFFFFF"/>
              </w:rPr>
              <w:t>The study finds that integrated government response policies, underpinned by containment health measures and economic reliefs, are crucial to winning public trust and support. Furthermore, public trust in government measures differs in relation to how a country's system of governance and institutional culture respond to meet public expectations, with citizens’ attitudes influenced by the fairness, effectiveness and accountability of government agencies.</w:t>
            </w:r>
          </w:p>
        </w:tc>
        <w:tc>
          <w:tcPr>
            <w:tcW w:w="3402" w:type="dxa"/>
          </w:tcPr>
          <w:p w14:paraId="193A7C0F" w14:textId="77777777" w:rsidR="006363FE" w:rsidRPr="006363FE" w:rsidRDefault="006363FE" w:rsidP="007A5DC3">
            <w:pPr>
              <w:rPr>
                <w:sz w:val="20"/>
                <w:szCs w:val="20"/>
              </w:rPr>
            </w:pPr>
            <w:r w:rsidRPr="006363FE">
              <w:rPr>
                <w:sz w:val="20"/>
                <w:szCs w:val="20"/>
              </w:rPr>
              <w:t xml:space="preserve">The findings </w:t>
            </w:r>
            <w:r w:rsidRPr="006363FE">
              <w:rPr>
                <w:color w:val="000000"/>
                <w:sz w:val="20"/>
                <w:szCs w:val="20"/>
                <w:shd w:val="clear" w:color="auto" w:fill="FFFFFF"/>
              </w:rPr>
              <w:t>reveal a contention between the exigencies of government policies and public expectations in a global health emergency, and have profound implications for public management and business and economic regeneration in the aftermath of the pandemic, laying the foundations for future research.</w:t>
            </w:r>
          </w:p>
        </w:tc>
      </w:tr>
      <w:tr w:rsidR="00445D1C" w:rsidRPr="006363FE" w14:paraId="0648F60B" w14:textId="77777777" w:rsidTr="00745987">
        <w:trPr>
          <w:trHeight w:val="258"/>
        </w:trPr>
        <w:tc>
          <w:tcPr>
            <w:tcW w:w="1394" w:type="dxa"/>
          </w:tcPr>
          <w:p w14:paraId="2C5449FB" w14:textId="77777777" w:rsidR="006363FE" w:rsidRPr="006363FE" w:rsidRDefault="006363FE" w:rsidP="007A5DC3">
            <w:pPr>
              <w:rPr>
                <w:sz w:val="20"/>
                <w:szCs w:val="20"/>
              </w:rPr>
            </w:pPr>
            <w:r w:rsidRPr="006363FE">
              <w:rPr>
                <w:sz w:val="20"/>
                <w:szCs w:val="20"/>
              </w:rPr>
              <w:t>Nasar et al. (2022)</w:t>
            </w:r>
          </w:p>
        </w:tc>
        <w:tc>
          <w:tcPr>
            <w:tcW w:w="1565" w:type="dxa"/>
          </w:tcPr>
          <w:p w14:paraId="38A6EDF0" w14:textId="77777777" w:rsidR="006363FE" w:rsidRPr="006363FE" w:rsidRDefault="006363FE" w:rsidP="007A5DC3">
            <w:pPr>
              <w:rPr>
                <w:sz w:val="20"/>
                <w:szCs w:val="20"/>
              </w:rPr>
            </w:pPr>
            <w:r w:rsidRPr="006363FE">
              <w:rPr>
                <w:color w:val="222222"/>
                <w:sz w:val="20"/>
                <w:szCs w:val="20"/>
                <w:shd w:val="clear" w:color="auto" w:fill="FFFFFF"/>
              </w:rPr>
              <w:t>A qualitative assessment of entrepreneurship amidst COVID-19 pandemic in Pakistan</w:t>
            </w:r>
          </w:p>
        </w:tc>
        <w:tc>
          <w:tcPr>
            <w:tcW w:w="2569" w:type="dxa"/>
          </w:tcPr>
          <w:p w14:paraId="7702DC29" w14:textId="77777777" w:rsidR="006363FE" w:rsidRPr="006363FE" w:rsidRDefault="006363FE" w:rsidP="007A5DC3">
            <w:pPr>
              <w:rPr>
                <w:sz w:val="20"/>
                <w:szCs w:val="20"/>
              </w:rPr>
            </w:pPr>
            <w:r w:rsidRPr="006363FE">
              <w:rPr>
                <w:color w:val="1F1F1F"/>
                <w:sz w:val="20"/>
                <w:szCs w:val="20"/>
              </w:rPr>
              <w:t>New research in the field of entrepreneurship is urgently needed to guide the entrepreneurial perspective to sustain and scale-up enterprises during COVID-19.</w:t>
            </w:r>
          </w:p>
        </w:tc>
        <w:tc>
          <w:tcPr>
            <w:tcW w:w="1276" w:type="dxa"/>
          </w:tcPr>
          <w:p w14:paraId="43C51824" w14:textId="77777777" w:rsidR="006363FE" w:rsidRPr="006363FE" w:rsidRDefault="006363FE" w:rsidP="007A5DC3">
            <w:pPr>
              <w:rPr>
                <w:sz w:val="20"/>
                <w:szCs w:val="20"/>
              </w:rPr>
            </w:pPr>
            <w:r w:rsidRPr="006363FE">
              <w:rPr>
                <w:sz w:val="20"/>
                <w:szCs w:val="20"/>
              </w:rPr>
              <w:t>Empirical</w:t>
            </w:r>
          </w:p>
        </w:tc>
        <w:tc>
          <w:tcPr>
            <w:tcW w:w="2552" w:type="dxa"/>
          </w:tcPr>
          <w:p w14:paraId="7B3BF1AB" w14:textId="77777777" w:rsidR="006363FE" w:rsidRPr="006363FE" w:rsidRDefault="006363FE" w:rsidP="007A5DC3">
            <w:pPr>
              <w:rPr>
                <w:sz w:val="20"/>
                <w:szCs w:val="20"/>
              </w:rPr>
            </w:pPr>
            <w:r w:rsidRPr="006363FE">
              <w:rPr>
                <w:color w:val="1F1F1F"/>
                <w:sz w:val="20"/>
                <w:szCs w:val="20"/>
              </w:rPr>
              <w:t xml:space="preserve">COVID-19 has adversely affected the entrepreneurial activity in Pakistan was a key theme found after analysis. Three main categories were found as situations provoking business decline and their manifestation, entrepreneurial actions and reactions to COVID-19 </w:t>
            </w:r>
            <w:r w:rsidRPr="006363FE">
              <w:rPr>
                <w:color w:val="1F1F1F"/>
                <w:sz w:val="20"/>
                <w:szCs w:val="20"/>
              </w:rPr>
              <w:lastRenderedPageBreak/>
              <w:t>crisis, and their futuristic plans amidst COVID-19. </w:t>
            </w:r>
          </w:p>
        </w:tc>
        <w:tc>
          <w:tcPr>
            <w:tcW w:w="3402" w:type="dxa"/>
          </w:tcPr>
          <w:p w14:paraId="45B33019" w14:textId="77777777" w:rsidR="006363FE" w:rsidRPr="006363FE" w:rsidRDefault="006363FE" w:rsidP="007A5DC3">
            <w:pPr>
              <w:rPr>
                <w:sz w:val="20"/>
                <w:szCs w:val="20"/>
              </w:rPr>
            </w:pPr>
            <w:r w:rsidRPr="006363FE">
              <w:rPr>
                <w:color w:val="1F1F1F"/>
                <w:sz w:val="20"/>
                <w:szCs w:val="20"/>
              </w:rPr>
              <w:lastRenderedPageBreak/>
              <w:t>This research highlights issues entrepreneurs face to follow protocols of lockdown, social distancing, and operational hours. The findings of this study contribute to the scholarship of entrepreneurship and areas for the empirical investigation to develop efficient ecosystems to support entrepreneurs. </w:t>
            </w:r>
          </w:p>
        </w:tc>
      </w:tr>
      <w:tr w:rsidR="00445D1C" w:rsidRPr="006363FE" w14:paraId="46408425" w14:textId="77777777" w:rsidTr="00745987">
        <w:trPr>
          <w:trHeight w:val="258"/>
        </w:trPr>
        <w:tc>
          <w:tcPr>
            <w:tcW w:w="1394" w:type="dxa"/>
          </w:tcPr>
          <w:p w14:paraId="3813B7FF" w14:textId="77777777" w:rsidR="006363FE" w:rsidRPr="006363FE" w:rsidRDefault="006363FE" w:rsidP="007A5DC3">
            <w:pPr>
              <w:rPr>
                <w:sz w:val="20"/>
                <w:szCs w:val="20"/>
              </w:rPr>
            </w:pPr>
            <w:r w:rsidRPr="006363FE">
              <w:rPr>
                <w:sz w:val="20"/>
                <w:szCs w:val="20"/>
              </w:rPr>
              <w:t>Khan et al. (2023)</w:t>
            </w:r>
          </w:p>
        </w:tc>
        <w:tc>
          <w:tcPr>
            <w:tcW w:w="1565" w:type="dxa"/>
          </w:tcPr>
          <w:p w14:paraId="67868DB9" w14:textId="77777777" w:rsidR="006363FE" w:rsidRPr="006363FE" w:rsidRDefault="006363FE" w:rsidP="007A5DC3">
            <w:pPr>
              <w:rPr>
                <w:sz w:val="20"/>
                <w:szCs w:val="20"/>
              </w:rPr>
            </w:pPr>
            <w:r w:rsidRPr="006363FE">
              <w:rPr>
                <w:color w:val="222222"/>
                <w:sz w:val="20"/>
                <w:szCs w:val="20"/>
                <w:shd w:val="clear" w:color="auto" w:fill="FFFFFF"/>
              </w:rPr>
              <w:t>Supply chain analytics and post-pandemic performance: mediating role of triple-A supply chain strategies</w:t>
            </w:r>
          </w:p>
        </w:tc>
        <w:tc>
          <w:tcPr>
            <w:tcW w:w="2569" w:type="dxa"/>
          </w:tcPr>
          <w:p w14:paraId="2FF7D51D" w14:textId="77777777" w:rsidR="006363FE" w:rsidRPr="006363FE" w:rsidRDefault="006363FE" w:rsidP="007A5DC3">
            <w:pPr>
              <w:rPr>
                <w:sz w:val="20"/>
                <w:szCs w:val="20"/>
              </w:rPr>
            </w:pPr>
            <w:r w:rsidRPr="006363FE">
              <w:rPr>
                <w:sz w:val="20"/>
                <w:szCs w:val="20"/>
              </w:rPr>
              <w:t>The extant studies indicated their relevance in constructing a resilient and robust enterprise. However, it is yet unclear how 3As supply chain initiatives contribute to mitigating the effect of COVID-19 disruptions and help in recovery in post-pandemic times.</w:t>
            </w:r>
          </w:p>
        </w:tc>
        <w:tc>
          <w:tcPr>
            <w:tcW w:w="1276" w:type="dxa"/>
          </w:tcPr>
          <w:p w14:paraId="51B78A62" w14:textId="77777777" w:rsidR="006363FE" w:rsidRPr="006363FE" w:rsidRDefault="006363FE" w:rsidP="007A5DC3">
            <w:pPr>
              <w:rPr>
                <w:sz w:val="20"/>
                <w:szCs w:val="20"/>
              </w:rPr>
            </w:pPr>
            <w:r w:rsidRPr="006363FE">
              <w:rPr>
                <w:sz w:val="20"/>
                <w:szCs w:val="20"/>
              </w:rPr>
              <w:t>Empirical</w:t>
            </w:r>
          </w:p>
        </w:tc>
        <w:tc>
          <w:tcPr>
            <w:tcW w:w="2552" w:type="dxa"/>
          </w:tcPr>
          <w:p w14:paraId="0944AB12" w14:textId="77777777" w:rsidR="006363FE" w:rsidRPr="006363FE" w:rsidRDefault="006363FE" w:rsidP="007A5DC3">
            <w:pPr>
              <w:rPr>
                <w:sz w:val="20"/>
                <w:szCs w:val="20"/>
              </w:rPr>
            </w:pPr>
            <w:r w:rsidRPr="006363FE">
              <w:rPr>
                <w:sz w:val="20"/>
                <w:szCs w:val="20"/>
                <w:shd w:val="clear" w:color="auto" w:fill="FFFFFF"/>
              </w:rPr>
              <w:t>This study examines the survival probability of the firms during the COVID-19 pandemic and identifies the effects of pandemic-era business strategies on firm survival across sectors and sizes strategies.</w:t>
            </w:r>
          </w:p>
        </w:tc>
        <w:tc>
          <w:tcPr>
            <w:tcW w:w="3402" w:type="dxa"/>
          </w:tcPr>
          <w:p w14:paraId="2A63805F" w14:textId="77777777" w:rsidR="006363FE" w:rsidRPr="006363FE" w:rsidRDefault="006363FE" w:rsidP="007A5DC3">
            <w:pPr>
              <w:rPr>
                <w:sz w:val="20"/>
                <w:szCs w:val="20"/>
              </w:rPr>
            </w:pPr>
            <w:r w:rsidRPr="006363FE">
              <w:rPr>
                <w:sz w:val="20"/>
                <w:szCs w:val="20"/>
                <w:shd w:val="clear" w:color="auto" w:fill="FFFFFF"/>
              </w:rPr>
              <w:t>This research sheds fresh light on the importance of data analytics in effectively implementing 3As strategies for sustaining company performance amid COVID-19 disruptions.</w:t>
            </w:r>
          </w:p>
        </w:tc>
      </w:tr>
      <w:tr w:rsidR="00445D1C" w:rsidRPr="006363FE" w14:paraId="660D74AD" w14:textId="77777777" w:rsidTr="00745987">
        <w:trPr>
          <w:trHeight w:val="244"/>
        </w:trPr>
        <w:tc>
          <w:tcPr>
            <w:tcW w:w="1394" w:type="dxa"/>
          </w:tcPr>
          <w:p w14:paraId="341A4BCB" w14:textId="77777777" w:rsidR="006363FE" w:rsidRPr="006363FE" w:rsidRDefault="006363FE" w:rsidP="007A5DC3">
            <w:pPr>
              <w:rPr>
                <w:sz w:val="20"/>
                <w:szCs w:val="20"/>
              </w:rPr>
            </w:pPr>
            <w:r w:rsidRPr="006363FE">
              <w:rPr>
                <w:sz w:val="20"/>
                <w:szCs w:val="20"/>
              </w:rPr>
              <w:t>Chin et al. (2021)</w:t>
            </w:r>
          </w:p>
        </w:tc>
        <w:tc>
          <w:tcPr>
            <w:tcW w:w="1565" w:type="dxa"/>
          </w:tcPr>
          <w:p w14:paraId="6FDA881B" w14:textId="77777777" w:rsidR="006363FE" w:rsidRPr="006363FE" w:rsidRDefault="006363FE" w:rsidP="007A5DC3">
            <w:pPr>
              <w:rPr>
                <w:sz w:val="20"/>
                <w:szCs w:val="20"/>
              </w:rPr>
            </w:pPr>
            <w:r w:rsidRPr="006363FE">
              <w:rPr>
                <w:color w:val="222222"/>
                <w:sz w:val="20"/>
                <w:szCs w:val="20"/>
                <w:shd w:val="clear" w:color="auto" w:fill="FFFFFF"/>
              </w:rPr>
              <w:t>Business models in the Asia-Pacific: dynamic balancing of multiple cultures, innovation and value creation</w:t>
            </w:r>
          </w:p>
        </w:tc>
        <w:tc>
          <w:tcPr>
            <w:tcW w:w="2569" w:type="dxa"/>
          </w:tcPr>
          <w:p w14:paraId="2DA45A16" w14:textId="77777777" w:rsidR="006363FE" w:rsidRPr="006363FE" w:rsidRDefault="006363FE" w:rsidP="007A5DC3">
            <w:pPr>
              <w:rPr>
                <w:sz w:val="20"/>
                <w:szCs w:val="20"/>
              </w:rPr>
            </w:pPr>
            <w:r w:rsidRPr="006363FE">
              <w:rPr>
                <w:color w:val="333333"/>
                <w:sz w:val="20"/>
                <w:szCs w:val="20"/>
              </w:rPr>
              <w:t>Owing to the convergence of multiple cultures coupled with the unprecedented rapid development in the decades since the late 1990s, the value creation and innovation logic of Asia-Pacific business models (BMs) has been constantly altered by cultural heterogeneity and thus, have evolved into a more complex and diverse landscape relative to Western developed-economy BMs. Given that relevant issues remain under-researched, the main purpose of the study is to fill this gap.</w:t>
            </w:r>
          </w:p>
        </w:tc>
        <w:tc>
          <w:tcPr>
            <w:tcW w:w="1276" w:type="dxa"/>
          </w:tcPr>
          <w:p w14:paraId="1520D596" w14:textId="77777777" w:rsidR="006363FE" w:rsidRPr="006363FE" w:rsidRDefault="006363FE" w:rsidP="007A5DC3">
            <w:pPr>
              <w:rPr>
                <w:sz w:val="20"/>
                <w:szCs w:val="20"/>
              </w:rPr>
            </w:pPr>
            <w:r w:rsidRPr="006363FE">
              <w:rPr>
                <w:sz w:val="20"/>
                <w:szCs w:val="20"/>
              </w:rPr>
              <w:t>Theoretical</w:t>
            </w:r>
          </w:p>
        </w:tc>
        <w:tc>
          <w:tcPr>
            <w:tcW w:w="2552" w:type="dxa"/>
          </w:tcPr>
          <w:p w14:paraId="27AE9BEF" w14:textId="77777777" w:rsidR="006363FE" w:rsidRPr="006363FE" w:rsidRDefault="006363FE" w:rsidP="007A5DC3">
            <w:pPr>
              <w:rPr>
                <w:sz w:val="20"/>
                <w:szCs w:val="20"/>
              </w:rPr>
            </w:pPr>
            <w:r w:rsidRPr="006363FE">
              <w:rPr>
                <w:sz w:val="20"/>
                <w:szCs w:val="20"/>
              </w:rPr>
              <w:t xml:space="preserve">The study </w:t>
            </w:r>
            <w:r w:rsidRPr="006363FE">
              <w:rPr>
                <w:color w:val="333333"/>
                <w:sz w:val="20"/>
                <w:szCs w:val="20"/>
              </w:rPr>
              <w:t>outlines three promising and nascent pathways for future efforts departing from a cultural view to explore the value logic of BMs and BM innovation within the Asia-Pacific region in the post-COVID-19 era: (1) the role of culture in BM innovation; (2) new ways of creating the knowledge and managing knowledge iceberg phenomenon and (3) using the ‘Bottom of Pyramid’ approach to BM innovation for incorporating social goals into value creation logic.</w:t>
            </w:r>
          </w:p>
        </w:tc>
        <w:tc>
          <w:tcPr>
            <w:tcW w:w="3402" w:type="dxa"/>
          </w:tcPr>
          <w:p w14:paraId="70A0DB64" w14:textId="77777777" w:rsidR="006363FE" w:rsidRPr="006363FE" w:rsidRDefault="006363FE" w:rsidP="007A5DC3">
            <w:pPr>
              <w:rPr>
                <w:sz w:val="20"/>
                <w:szCs w:val="20"/>
              </w:rPr>
            </w:pPr>
            <w:r w:rsidRPr="006363FE">
              <w:rPr>
                <w:sz w:val="20"/>
                <w:szCs w:val="20"/>
              </w:rPr>
              <w:t>N/A</w:t>
            </w:r>
          </w:p>
        </w:tc>
      </w:tr>
      <w:tr w:rsidR="00445D1C" w:rsidRPr="006363FE" w14:paraId="7B9AF244" w14:textId="77777777" w:rsidTr="00745987">
        <w:trPr>
          <w:trHeight w:val="244"/>
        </w:trPr>
        <w:tc>
          <w:tcPr>
            <w:tcW w:w="1394" w:type="dxa"/>
          </w:tcPr>
          <w:p w14:paraId="2D41F9AC" w14:textId="77777777" w:rsidR="006363FE" w:rsidRPr="006363FE" w:rsidRDefault="006363FE" w:rsidP="007A5DC3">
            <w:pPr>
              <w:rPr>
                <w:sz w:val="20"/>
                <w:szCs w:val="20"/>
              </w:rPr>
            </w:pPr>
            <w:r w:rsidRPr="006363FE">
              <w:rPr>
                <w:sz w:val="20"/>
                <w:szCs w:val="20"/>
              </w:rPr>
              <w:t>Adikaram et al. (2021)</w:t>
            </w:r>
          </w:p>
        </w:tc>
        <w:tc>
          <w:tcPr>
            <w:tcW w:w="1565" w:type="dxa"/>
          </w:tcPr>
          <w:p w14:paraId="571419BE" w14:textId="77777777" w:rsidR="006363FE" w:rsidRPr="006363FE" w:rsidRDefault="006363FE" w:rsidP="007A5DC3">
            <w:pPr>
              <w:rPr>
                <w:sz w:val="20"/>
                <w:szCs w:val="20"/>
              </w:rPr>
            </w:pPr>
            <w:r w:rsidRPr="006363FE">
              <w:rPr>
                <w:color w:val="222222"/>
                <w:sz w:val="20"/>
                <w:szCs w:val="20"/>
                <w:shd w:val="clear" w:color="auto" w:fill="FFFFFF"/>
              </w:rPr>
              <w:t xml:space="preserve">Navigating the crises of COVID-19: Human Resource professionals </w:t>
            </w:r>
            <w:r w:rsidRPr="006363FE">
              <w:rPr>
                <w:color w:val="222222"/>
                <w:sz w:val="20"/>
                <w:szCs w:val="20"/>
                <w:shd w:val="clear" w:color="auto" w:fill="FFFFFF"/>
              </w:rPr>
              <w:lastRenderedPageBreak/>
              <w:t>battle against the pandemic</w:t>
            </w:r>
          </w:p>
        </w:tc>
        <w:tc>
          <w:tcPr>
            <w:tcW w:w="2569" w:type="dxa"/>
          </w:tcPr>
          <w:p w14:paraId="392C7B32" w14:textId="77777777" w:rsidR="006363FE" w:rsidRPr="006363FE" w:rsidRDefault="006363FE" w:rsidP="007A5DC3">
            <w:pPr>
              <w:rPr>
                <w:sz w:val="20"/>
                <w:szCs w:val="20"/>
              </w:rPr>
            </w:pPr>
            <w:r w:rsidRPr="006363FE">
              <w:rPr>
                <w:sz w:val="20"/>
                <w:szCs w:val="20"/>
              </w:rPr>
              <w:lastRenderedPageBreak/>
              <w:t xml:space="preserve">While studies on the impact of Covid-19 on HRM provide important insights into a mostly enigmatic crisis, they are mainly conceptual and theoretical. Detailed accounts of how </w:t>
            </w:r>
            <w:r w:rsidRPr="006363FE">
              <w:rPr>
                <w:sz w:val="20"/>
                <w:szCs w:val="20"/>
              </w:rPr>
              <w:lastRenderedPageBreak/>
              <w:t>HRPs have faced and acted during the pandemic in different industries, based on empirical evidence, are lacking.</w:t>
            </w:r>
          </w:p>
        </w:tc>
        <w:tc>
          <w:tcPr>
            <w:tcW w:w="1276" w:type="dxa"/>
          </w:tcPr>
          <w:p w14:paraId="7A7EF996" w14:textId="77777777" w:rsidR="006363FE" w:rsidRPr="006363FE" w:rsidRDefault="006363FE" w:rsidP="007A5DC3">
            <w:pPr>
              <w:rPr>
                <w:sz w:val="20"/>
                <w:szCs w:val="20"/>
              </w:rPr>
            </w:pPr>
            <w:r w:rsidRPr="006363FE">
              <w:rPr>
                <w:sz w:val="20"/>
                <w:szCs w:val="20"/>
              </w:rPr>
              <w:lastRenderedPageBreak/>
              <w:t>Empirical</w:t>
            </w:r>
          </w:p>
        </w:tc>
        <w:tc>
          <w:tcPr>
            <w:tcW w:w="2552" w:type="dxa"/>
          </w:tcPr>
          <w:p w14:paraId="7439FA2E" w14:textId="77777777" w:rsidR="006363FE" w:rsidRPr="006363FE" w:rsidRDefault="006363FE" w:rsidP="007A5DC3">
            <w:pPr>
              <w:rPr>
                <w:sz w:val="20"/>
                <w:szCs w:val="20"/>
              </w:rPr>
            </w:pPr>
            <w:r w:rsidRPr="006363FE">
              <w:rPr>
                <w:color w:val="333333"/>
                <w:sz w:val="20"/>
                <w:szCs w:val="20"/>
                <w:shd w:val="clear" w:color="auto" w:fill="FFFFFF"/>
              </w:rPr>
              <w:t xml:space="preserve">The findings indicate how the HRPs have navigated through five phases of the crisis as (a) anticipatory; (b) crisis; (c) adjustment; (d) rebounding; (e) continuance or reverting to old ways, </w:t>
            </w:r>
            <w:r w:rsidRPr="006363FE">
              <w:rPr>
                <w:color w:val="333333"/>
                <w:sz w:val="20"/>
                <w:szCs w:val="20"/>
                <w:shd w:val="clear" w:color="auto" w:fill="FFFFFF"/>
              </w:rPr>
              <w:lastRenderedPageBreak/>
              <w:t>struggling with many decisions and actions. The periods that companies took to navigate these different stages and the success of how they faced the crises posed by the pandemic mainly depend on factors such as the level of preparedness, nature of the industry, availability of resources, and role of the HRPs. </w:t>
            </w:r>
          </w:p>
        </w:tc>
        <w:tc>
          <w:tcPr>
            <w:tcW w:w="3402" w:type="dxa"/>
          </w:tcPr>
          <w:p w14:paraId="6F3FBF4D" w14:textId="77777777" w:rsidR="006363FE" w:rsidRPr="006363FE" w:rsidRDefault="006363FE" w:rsidP="007A5DC3">
            <w:pPr>
              <w:rPr>
                <w:sz w:val="20"/>
                <w:szCs w:val="20"/>
              </w:rPr>
            </w:pPr>
            <w:r w:rsidRPr="006363FE">
              <w:rPr>
                <w:color w:val="333333"/>
                <w:sz w:val="20"/>
                <w:szCs w:val="20"/>
                <w:shd w:val="clear" w:color="auto" w:fill="FFFFFF"/>
              </w:rPr>
              <w:lastRenderedPageBreak/>
              <w:t>The learning from the experiences of the HRPs and the phases they have navigated through will help to successfully manage similar crises in the future.</w:t>
            </w:r>
          </w:p>
        </w:tc>
      </w:tr>
      <w:tr w:rsidR="00445D1C" w:rsidRPr="006363FE" w14:paraId="407FA554" w14:textId="77777777" w:rsidTr="00745987">
        <w:trPr>
          <w:trHeight w:val="244"/>
        </w:trPr>
        <w:tc>
          <w:tcPr>
            <w:tcW w:w="1394" w:type="dxa"/>
          </w:tcPr>
          <w:p w14:paraId="024D204E" w14:textId="77777777" w:rsidR="006363FE" w:rsidRPr="006363FE" w:rsidRDefault="006363FE" w:rsidP="007A5DC3">
            <w:pPr>
              <w:rPr>
                <w:sz w:val="20"/>
                <w:szCs w:val="20"/>
              </w:rPr>
            </w:pPr>
            <w:r w:rsidRPr="006363FE">
              <w:rPr>
                <w:sz w:val="20"/>
                <w:szCs w:val="20"/>
              </w:rPr>
              <w:t>Orji et al. (2022)</w:t>
            </w:r>
          </w:p>
        </w:tc>
        <w:tc>
          <w:tcPr>
            <w:tcW w:w="1565" w:type="dxa"/>
          </w:tcPr>
          <w:p w14:paraId="63DCFEB7" w14:textId="77777777" w:rsidR="006363FE" w:rsidRPr="006363FE" w:rsidRDefault="006363FE" w:rsidP="007A5DC3">
            <w:pPr>
              <w:rPr>
                <w:sz w:val="20"/>
                <w:szCs w:val="20"/>
              </w:rPr>
            </w:pPr>
            <w:r w:rsidRPr="006363FE">
              <w:rPr>
                <w:color w:val="222222"/>
                <w:sz w:val="20"/>
                <w:szCs w:val="20"/>
                <w:shd w:val="clear" w:color="auto" w:fill="FFFFFF"/>
              </w:rPr>
              <w:t>The nexus between e-commerce adoption in a health pandemic and firm performance: The role of pandemic response strategies</w:t>
            </w:r>
          </w:p>
        </w:tc>
        <w:tc>
          <w:tcPr>
            <w:tcW w:w="2569" w:type="dxa"/>
          </w:tcPr>
          <w:p w14:paraId="30249D08" w14:textId="77777777" w:rsidR="006363FE" w:rsidRPr="006363FE" w:rsidRDefault="006363FE" w:rsidP="007A5DC3">
            <w:pPr>
              <w:rPr>
                <w:sz w:val="20"/>
                <w:szCs w:val="20"/>
              </w:rPr>
            </w:pPr>
            <w:r w:rsidRPr="006363FE">
              <w:rPr>
                <w:color w:val="1F1F1F"/>
                <w:sz w:val="20"/>
                <w:szCs w:val="20"/>
              </w:rPr>
              <w:t>It is unclear how the pandemic response strategies might interact with other enablers of e-commerce adoption in a health pandemic and influence the performance of logistics firms in the global logistics value chains.</w:t>
            </w:r>
          </w:p>
        </w:tc>
        <w:tc>
          <w:tcPr>
            <w:tcW w:w="1276" w:type="dxa"/>
          </w:tcPr>
          <w:p w14:paraId="07A911A1" w14:textId="77777777" w:rsidR="006363FE" w:rsidRPr="006363FE" w:rsidRDefault="006363FE" w:rsidP="007A5DC3">
            <w:pPr>
              <w:rPr>
                <w:sz w:val="20"/>
                <w:szCs w:val="20"/>
              </w:rPr>
            </w:pPr>
            <w:r w:rsidRPr="006363FE">
              <w:rPr>
                <w:sz w:val="20"/>
                <w:szCs w:val="20"/>
              </w:rPr>
              <w:t>Empirical</w:t>
            </w:r>
          </w:p>
        </w:tc>
        <w:tc>
          <w:tcPr>
            <w:tcW w:w="2552" w:type="dxa"/>
          </w:tcPr>
          <w:p w14:paraId="7C15F92B" w14:textId="77777777" w:rsidR="006363FE" w:rsidRPr="006363FE" w:rsidRDefault="006363FE" w:rsidP="007A5DC3">
            <w:pPr>
              <w:rPr>
                <w:sz w:val="20"/>
                <w:szCs w:val="20"/>
              </w:rPr>
            </w:pPr>
            <w:r w:rsidRPr="006363FE">
              <w:rPr>
                <w:color w:val="1F1F1F"/>
                <w:sz w:val="20"/>
                <w:szCs w:val="20"/>
              </w:rPr>
              <w:t>The results indicate that technical-related enablers are the highest ranked, followed by pandemic response strategies and suggest that e-commerce adoption in a health pandemic is strongly linked with financial and operational benefits. Specifically, the technical enablers have the highest effect on delivery time, while pandemic response strategies have the highest effect on profit and customer satisfaction. Moreover, pandemic response strategies partially mediate the relationship between other e-commerce adoption enablers and firm performance. </w:t>
            </w:r>
          </w:p>
        </w:tc>
        <w:tc>
          <w:tcPr>
            <w:tcW w:w="3402" w:type="dxa"/>
          </w:tcPr>
          <w:p w14:paraId="7204E2D9" w14:textId="77777777" w:rsidR="006363FE" w:rsidRPr="006363FE" w:rsidRDefault="006363FE" w:rsidP="007A5DC3">
            <w:pPr>
              <w:rPr>
                <w:sz w:val="20"/>
                <w:szCs w:val="20"/>
              </w:rPr>
            </w:pPr>
            <w:r w:rsidRPr="006363FE">
              <w:rPr>
                <w:color w:val="1F1F1F"/>
                <w:sz w:val="20"/>
                <w:szCs w:val="20"/>
              </w:rPr>
              <w:t>This study provides significant constructs that enrich the literature on IT adoption in a health pandemic for the increased competitiveness of global value chains.</w:t>
            </w:r>
          </w:p>
        </w:tc>
      </w:tr>
      <w:tr w:rsidR="00445D1C" w:rsidRPr="006363FE" w14:paraId="25772C94" w14:textId="77777777" w:rsidTr="00745987">
        <w:trPr>
          <w:trHeight w:val="244"/>
        </w:trPr>
        <w:tc>
          <w:tcPr>
            <w:tcW w:w="1394" w:type="dxa"/>
          </w:tcPr>
          <w:p w14:paraId="7BF66326" w14:textId="77777777" w:rsidR="006363FE" w:rsidRPr="006363FE" w:rsidRDefault="006363FE" w:rsidP="007A5DC3">
            <w:pPr>
              <w:rPr>
                <w:sz w:val="20"/>
                <w:szCs w:val="20"/>
              </w:rPr>
            </w:pPr>
            <w:r w:rsidRPr="006363FE">
              <w:rPr>
                <w:sz w:val="20"/>
                <w:szCs w:val="20"/>
              </w:rPr>
              <w:t>Van Hoek and Dobrzykowski (2021)</w:t>
            </w:r>
          </w:p>
        </w:tc>
        <w:tc>
          <w:tcPr>
            <w:tcW w:w="1565" w:type="dxa"/>
          </w:tcPr>
          <w:p w14:paraId="3646AEA1" w14:textId="77777777" w:rsidR="006363FE" w:rsidRPr="006363FE" w:rsidRDefault="006363FE" w:rsidP="007A5DC3">
            <w:pPr>
              <w:rPr>
                <w:sz w:val="20"/>
                <w:szCs w:val="20"/>
              </w:rPr>
            </w:pPr>
            <w:r w:rsidRPr="006363FE">
              <w:rPr>
                <w:color w:val="222222"/>
                <w:sz w:val="20"/>
                <w:szCs w:val="20"/>
                <w:shd w:val="clear" w:color="auto" w:fill="FFFFFF"/>
              </w:rPr>
              <w:t xml:space="preserve">Towards more balanced sourcing strategies–are </w:t>
            </w:r>
            <w:r w:rsidRPr="006363FE">
              <w:rPr>
                <w:color w:val="222222"/>
                <w:sz w:val="20"/>
                <w:szCs w:val="20"/>
                <w:shd w:val="clear" w:color="auto" w:fill="FFFFFF"/>
              </w:rPr>
              <w:lastRenderedPageBreak/>
              <w:t>supply chain risks caused by the COVID-19 pandemic driving reshoring considerations?</w:t>
            </w:r>
          </w:p>
        </w:tc>
        <w:tc>
          <w:tcPr>
            <w:tcW w:w="2569" w:type="dxa"/>
          </w:tcPr>
          <w:p w14:paraId="50A619D9" w14:textId="77777777" w:rsidR="006363FE" w:rsidRPr="006363FE" w:rsidRDefault="006363FE" w:rsidP="007A5DC3">
            <w:pPr>
              <w:rPr>
                <w:sz w:val="20"/>
                <w:szCs w:val="20"/>
              </w:rPr>
            </w:pPr>
            <w:r w:rsidRPr="006363FE">
              <w:rPr>
                <w:sz w:val="20"/>
                <w:szCs w:val="20"/>
                <w:shd w:val="clear" w:color="auto" w:fill="FFFFFF"/>
              </w:rPr>
              <w:lastRenderedPageBreak/>
              <w:t xml:space="preserve">Reshoring is one of the supply chain risk management techniques suggested in the literature. </w:t>
            </w:r>
            <w:r w:rsidRPr="006363FE">
              <w:rPr>
                <w:sz w:val="20"/>
                <w:szCs w:val="20"/>
                <w:shd w:val="clear" w:color="auto" w:fill="FFFFFF"/>
              </w:rPr>
              <w:lastRenderedPageBreak/>
              <w:t>However, literature suggests that the decision-making involved in reshoring is complex and not fully understood. </w:t>
            </w:r>
          </w:p>
        </w:tc>
        <w:tc>
          <w:tcPr>
            <w:tcW w:w="1276" w:type="dxa"/>
          </w:tcPr>
          <w:p w14:paraId="0F3A7EFD" w14:textId="77777777" w:rsidR="006363FE" w:rsidRPr="006363FE" w:rsidRDefault="006363FE" w:rsidP="007A5DC3">
            <w:pPr>
              <w:rPr>
                <w:sz w:val="20"/>
                <w:szCs w:val="20"/>
              </w:rPr>
            </w:pPr>
            <w:r w:rsidRPr="006363FE">
              <w:rPr>
                <w:sz w:val="20"/>
                <w:szCs w:val="20"/>
              </w:rPr>
              <w:lastRenderedPageBreak/>
              <w:t>Empirical</w:t>
            </w:r>
          </w:p>
        </w:tc>
        <w:tc>
          <w:tcPr>
            <w:tcW w:w="2552" w:type="dxa"/>
          </w:tcPr>
          <w:p w14:paraId="52266BA1" w14:textId="77777777" w:rsidR="006363FE" w:rsidRPr="006363FE" w:rsidRDefault="006363FE" w:rsidP="007A5DC3">
            <w:pPr>
              <w:rPr>
                <w:sz w:val="20"/>
                <w:szCs w:val="20"/>
              </w:rPr>
            </w:pPr>
            <w:r w:rsidRPr="006363FE">
              <w:rPr>
                <w:sz w:val="20"/>
                <w:szCs w:val="20"/>
                <w:shd w:val="clear" w:color="auto" w:fill="FFFFFF"/>
              </w:rPr>
              <w:t xml:space="preserve">Reshoring was being actively considered by all three companies during the research process in Q3 and </w:t>
            </w:r>
            <w:r w:rsidRPr="006363FE">
              <w:rPr>
                <w:sz w:val="20"/>
                <w:szCs w:val="20"/>
                <w:shd w:val="clear" w:color="auto" w:fill="FFFFFF"/>
              </w:rPr>
              <w:lastRenderedPageBreak/>
              <w:t>Q4 of 2020. During this period the pandemic has not yet led to substantial implementation of reshoring, at least by the companies studied in this paper. In response to tariffs on Chinese imports, companies had been diversifying their supply base away from China, but doing so by developing alternative, global sources. Additionally, companies are using alternative risk management techniques, such as supplier collaboration, in the short to medium term. Reshoring decision-making is indeed found to be complex and requires a longer-term time horizon for decision-making and implementation. Logistical challenges and growth in demand do drive a willingness of consumers to pay a premium for locally sourced products. However, when supply normalizes these considerations might lose relevance well before reshoring decision-making and implementation can be completed.</w:t>
            </w:r>
          </w:p>
        </w:tc>
        <w:tc>
          <w:tcPr>
            <w:tcW w:w="3402" w:type="dxa"/>
          </w:tcPr>
          <w:p w14:paraId="26FBD06A" w14:textId="77777777" w:rsidR="006363FE" w:rsidRPr="006363FE" w:rsidRDefault="006363FE" w:rsidP="007A5DC3">
            <w:pPr>
              <w:rPr>
                <w:sz w:val="20"/>
                <w:szCs w:val="20"/>
              </w:rPr>
            </w:pPr>
            <w:r w:rsidRPr="006363FE">
              <w:rPr>
                <w:sz w:val="20"/>
                <w:szCs w:val="20"/>
                <w:shd w:val="clear" w:color="auto" w:fill="FFFFFF"/>
              </w:rPr>
              <w:lastRenderedPageBreak/>
              <w:t xml:space="preserve">This paper studies reshoring in a real-world setting, learning directly from insights from industry as they emerge. This paper develops four extensions to </w:t>
            </w:r>
            <w:r w:rsidRPr="006363FE">
              <w:rPr>
                <w:sz w:val="20"/>
                <w:szCs w:val="20"/>
                <w:shd w:val="clear" w:color="auto" w:fill="FFFFFF"/>
              </w:rPr>
              <w:lastRenderedPageBreak/>
              <w:t>existing knowledge, develop these in frameworks and hope that this will support ongoing consideration in industry and support the many researchers that are active in this domain today.</w:t>
            </w:r>
          </w:p>
        </w:tc>
      </w:tr>
      <w:tr w:rsidR="00445D1C" w:rsidRPr="006363FE" w14:paraId="58D2804F" w14:textId="77777777" w:rsidTr="00745987">
        <w:trPr>
          <w:trHeight w:val="5660"/>
        </w:trPr>
        <w:tc>
          <w:tcPr>
            <w:tcW w:w="1394" w:type="dxa"/>
          </w:tcPr>
          <w:p w14:paraId="67F5FAD6" w14:textId="77777777" w:rsidR="006363FE" w:rsidRPr="006363FE" w:rsidRDefault="006363FE" w:rsidP="007A5DC3">
            <w:pPr>
              <w:rPr>
                <w:sz w:val="20"/>
                <w:szCs w:val="20"/>
              </w:rPr>
            </w:pPr>
            <w:r w:rsidRPr="006363FE">
              <w:rPr>
                <w:sz w:val="20"/>
                <w:szCs w:val="20"/>
              </w:rPr>
              <w:lastRenderedPageBreak/>
              <w:t>Islam and Fatema (2023)</w:t>
            </w:r>
          </w:p>
        </w:tc>
        <w:tc>
          <w:tcPr>
            <w:tcW w:w="1565" w:type="dxa"/>
          </w:tcPr>
          <w:p w14:paraId="62A4D21C" w14:textId="77777777" w:rsidR="006363FE" w:rsidRPr="006363FE" w:rsidRDefault="006363FE" w:rsidP="007A5DC3">
            <w:pPr>
              <w:rPr>
                <w:color w:val="222222"/>
                <w:sz w:val="20"/>
                <w:szCs w:val="20"/>
                <w:shd w:val="clear" w:color="auto" w:fill="FFFFFF"/>
              </w:rPr>
            </w:pPr>
            <w:r w:rsidRPr="006363FE">
              <w:rPr>
                <w:color w:val="222222"/>
                <w:sz w:val="20"/>
                <w:szCs w:val="20"/>
                <w:shd w:val="clear" w:color="auto" w:fill="FFFFFF"/>
              </w:rPr>
              <w:t>Do business strategies affect firms' survival during the COVID-19 pandemic? A global perspective</w:t>
            </w:r>
          </w:p>
        </w:tc>
        <w:tc>
          <w:tcPr>
            <w:tcW w:w="2569" w:type="dxa"/>
          </w:tcPr>
          <w:p w14:paraId="681D6B5D" w14:textId="77777777" w:rsidR="006363FE" w:rsidRPr="006363FE" w:rsidRDefault="006363FE" w:rsidP="007A5DC3">
            <w:pPr>
              <w:rPr>
                <w:sz w:val="20"/>
                <w:szCs w:val="20"/>
                <w:shd w:val="clear" w:color="auto" w:fill="FFFFFF"/>
              </w:rPr>
            </w:pPr>
            <w:r w:rsidRPr="006363FE">
              <w:rPr>
                <w:sz w:val="20"/>
                <w:szCs w:val="20"/>
                <w:shd w:val="clear" w:color="auto" w:fill="FFFFFF"/>
              </w:rPr>
              <w:t>This study examines the survival probability of the firms during the COVID-19 pandemic and identifies the effects of pandemic-era business strategies on firm survival across sectors and sizes.</w:t>
            </w:r>
          </w:p>
        </w:tc>
        <w:tc>
          <w:tcPr>
            <w:tcW w:w="1276" w:type="dxa"/>
          </w:tcPr>
          <w:p w14:paraId="4BACBDE7" w14:textId="77777777" w:rsidR="006363FE" w:rsidRPr="006363FE" w:rsidRDefault="006363FE" w:rsidP="007A5DC3">
            <w:pPr>
              <w:rPr>
                <w:sz w:val="20"/>
                <w:szCs w:val="20"/>
              </w:rPr>
            </w:pPr>
            <w:r w:rsidRPr="006363FE">
              <w:rPr>
                <w:sz w:val="20"/>
                <w:szCs w:val="20"/>
              </w:rPr>
              <w:t>Empirical</w:t>
            </w:r>
          </w:p>
        </w:tc>
        <w:tc>
          <w:tcPr>
            <w:tcW w:w="2552" w:type="dxa"/>
          </w:tcPr>
          <w:p w14:paraId="3CFE2F12" w14:textId="77777777" w:rsidR="006363FE" w:rsidRPr="006363FE" w:rsidRDefault="006363FE" w:rsidP="007A5DC3">
            <w:pPr>
              <w:rPr>
                <w:sz w:val="20"/>
                <w:szCs w:val="20"/>
                <w:shd w:val="clear" w:color="auto" w:fill="FFFFFF"/>
              </w:rPr>
            </w:pPr>
            <w:r w:rsidRPr="006363FE">
              <w:rPr>
                <w:sz w:val="20"/>
                <w:szCs w:val="20"/>
                <w:shd w:val="clear" w:color="auto" w:fill="FFFFFF"/>
              </w:rPr>
              <w:t>The study's findings suggest that a firm's survival probability decreases during the pandemic era. Manufacturing firms have a higher survival probability than service firms, whereas SMEs have a higher survival probability than large firms. During the pandemic period, business strategies significantly boost the probability of firm survival, and their impacts differ among firm sectors and sizes. Several firm-specific factors affect firm survival in different magnitudes and signs. Except in a few cases, the findings also indicate that one strategy positively moderates the influence of another strategy on firm survival during a pandemic.</w:t>
            </w:r>
          </w:p>
        </w:tc>
        <w:tc>
          <w:tcPr>
            <w:tcW w:w="3402" w:type="dxa"/>
          </w:tcPr>
          <w:p w14:paraId="7E608B72" w14:textId="77777777" w:rsidR="006363FE" w:rsidRPr="006363FE" w:rsidRDefault="006363FE" w:rsidP="007A5DC3">
            <w:pPr>
              <w:pStyle w:val="NormalWeb"/>
              <w:spacing w:before="0" w:beforeAutospacing="0" w:after="0" w:afterAutospacing="0"/>
              <w:rPr>
                <w:sz w:val="20"/>
                <w:szCs w:val="20"/>
              </w:rPr>
            </w:pPr>
            <w:r w:rsidRPr="006363FE">
              <w:rPr>
                <w:sz w:val="20"/>
                <w:szCs w:val="20"/>
              </w:rPr>
              <w:t>COVID-19 pandemic has drastically affected the business across the globe. Firms adopted new business processes and strategies to face the challenges created by the pandemic. The critical research question is whether these pandemic-era business strategies ensure firms' survival. This study attempts to identify the effects of these business strategies on firms' survival, focusing on a comprehensive firm-level data set that includes firms from different sectors and sizes of countries from various regions.</w:t>
            </w:r>
          </w:p>
        </w:tc>
      </w:tr>
    </w:tbl>
    <w:p w14:paraId="1E91461F" w14:textId="77777777" w:rsidR="006363FE" w:rsidRPr="006363FE" w:rsidRDefault="006363FE" w:rsidP="006363FE">
      <w:pPr>
        <w:jc w:val="both"/>
        <w:rPr>
          <w:sz w:val="20"/>
          <w:szCs w:val="20"/>
        </w:rPr>
      </w:pPr>
    </w:p>
    <w:p w14:paraId="463BCA8F" w14:textId="77777777" w:rsidR="001308BB" w:rsidRPr="006363FE" w:rsidRDefault="001308BB" w:rsidP="00D434E8">
      <w:pPr>
        <w:jc w:val="both"/>
        <w:rPr>
          <w:sz w:val="20"/>
          <w:szCs w:val="20"/>
        </w:rPr>
      </w:pPr>
    </w:p>
    <w:p w14:paraId="7ED6ABBC" w14:textId="77777777" w:rsidR="00B46EE7" w:rsidRDefault="00B46EE7" w:rsidP="005730C9"/>
    <w:p w14:paraId="0C8738B2" w14:textId="77777777" w:rsidR="00977CFB" w:rsidRDefault="00977CFB" w:rsidP="005730C9"/>
    <w:p w14:paraId="3A96BFA2" w14:textId="77777777" w:rsidR="00977CFB" w:rsidRDefault="00977CFB" w:rsidP="005730C9"/>
    <w:p w14:paraId="444281D1" w14:textId="77777777" w:rsidR="00977CFB" w:rsidRDefault="00977CFB" w:rsidP="005730C9"/>
    <w:p w14:paraId="467B1235" w14:textId="77777777" w:rsidR="00977CFB" w:rsidRDefault="00977CFB" w:rsidP="005730C9"/>
    <w:p w14:paraId="7A764894" w14:textId="77777777" w:rsidR="00977CFB" w:rsidRDefault="00977CFB" w:rsidP="005730C9"/>
    <w:p w14:paraId="26CB40FD" w14:textId="77777777" w:rsidR="00977CFB" w:rsidRDefault="00977CFB" w:rsidP="005730C9"/>
    <w:p w14:paraId="5E89010D" w14:textId="77777777" w:rsidR="00745987" w:rsidRDefault="00745987" w:rsidP="00D434E8">
      <w:pPr>
        <w:jc w:val="both"/>
        <w:sectPr w:rsidR="00745987" w:rsidSect="00593BE9">
          <w:pgSz w:w="16838" w:h="11906" w:orient="landscape"/>
          <w:pgMar w:top="1440" w:right="1440" w:bottom="1440" w:left="1440" w:header="708" w:footer="708" w:gutter="0"/>
          <w:cols w:space="708"/>
          <w:docGrid w:linePitch="360"/>
        </w:sectPr>
      </w:pPr>
    </w:p>
    <w:p w14:paraId="48FA3314" w14:textId="77777777" w:rsidR="00B46EE7" w:rsidRDefault="00B46EE7" w:rsidP="00D434E8">
      <w:pPr>
        <w:jc w:val="both"/>
      </w:pPr>
    </w:p>
    <w:p w14:paraId="41865A8F" w14:textId="555FFF86" w:rsidR="00B46EE7" w:rsidRPr="00977CFB" w:rsidRDefault="00977CFB" w:rsidP="00D434E8">
      <w:pPr>
        <w:jc w:val="both"/>
        <w:rPr>
          <w:b/>
          <w:bCs/>
        </w:rPr>
      </w:pPr>
      <w:r w:rsidRPr="00977CFB">
        <w:rPr>
          <w:b/>
          <w:bCs/>
        </w:rPr>
        <w:t xml:space="preserve">3. </w:t>
      </w:r>
      <w:r w:rsidR="00882550">
        <w:rPr>
          <w:b/>
          <w:bCs/>
        </w:rPr>
        <w:t>P</w:t>
      </w:r>
      <w:r w:rsidR="00882550" w:rsidRPr="00977CFB">
        <w:rPr>
          <w:b/>
          <w:bCs/>
        </w:rPr>
        <w:t>ost-pandemic</w:t>
      </w:r>
      <w:r w:rsidRPr="00977CFB">
        <w:rPr>
          <w:b/>
          <w:bCs/>
        </w:rPr>
        <w:t xml:space="preserve"> strategies in Asia: Studies in this special issue</w:t>
      </w:r>
    </w:p>
    <w:p w14:paraId="1F140520" w14:textId="77777777" w:rsidR="00745987" w:rsidRDefault="00745987" w:rsidP="00D0267D">
      <w:pPr>
        <w:rPr>
          <w:b/>
          <w:bCs/>
          <w:highlight w:val="green"/>
        </w:rPr>
      </w:pPr>
    </w:p>
    <w:p w14:paraId="2422762B" w14:textId="77777777" w:rsidR="0023576A" w:rsidRPr="0023576A" w:rsidRDefault="0023576A" w:rsidP="0023576A">
      <w:pPr>
        <w:autoSpaceDE w:val="0"/>
        <w:autoSpaceDN w:val="0"/>
        <w:adjustRightInd w:val="0"/>
        <w:spacing w:line="480" w:lineRule="auto"/>
        <w:jc w:val="both"/>
        <w:rPr>
          <w:rFonts w:eastAsiaTheme="minorHAnsi"/>
          <w:kern w:val="2"/>
          <w:sz w:val="22"/>
          <w:szCs w:val="22"/>
          <w:lang w:val="en-GB" w:eastAsia="en-US"/>
          <w14:ligatures w14:val="standardContextual"/>
        </w:rPr>
      </w:pPr>
      <w:bookmarkStart w:id="0" w:name="_Hlk161653145"/>
      <w:r w:rsidRPr="0023576A">
        <w:rPr>
          <w:rFonts w:eastAsiaTheme="minorHAnsi"/>
          <w:kern w:val="2"/>
          <w:sz w:val="22"/>
          <w:szCs w:val="22"/>
          <w:lang w:val="en-GB" w:eastAsia="en-US"/>
          <w14:ligatures w14:val="standardContextual"/>
        </w:rPr>
        <w:t xml:space="preserve">With seven consistent themes, focusing on the importance of the regional innovation ecosystem for sustaining business in Asia in a post-pandemic era, this special issue offers a panoramic view of the innovation-sustainability-post-pandemic era nexus. By intent and design, this collection illustrates the intricate relationships between innovation at the regional level and its antecedent connection to the post-pandemic era. The study by </w:t>
      </w:r>
      <w:r w:rsidRPr="0023576A">
        <w:rPr>
          <w:rFonts w:eastAsiaTheme="minorHAnsi"/>
          <w:sz w:val="22"/>
          <w:szCs w:val="22"/>
          <w:lang w:val="en-GB" w:eastAsia="en-US"/>
          <w14:ligatures w14:val="standardContextual"/>
        </w:rPr>
        <w:t xml:space="preserve">Pratono and Maharani </w:t>
      </w:r>
      <w:r w:rsidRPr="0023576A">
        <w:rPr>
          <w:rFonts w:eastAsiaTheme="minorHAnsi"/>
          <w:kern w:val="2"/>
          <w:sz w:val="22"/>
          <w:szCs w:val="22"/>
          <w:lang w:val="en-GB" w:eastAsia="en-US"/>
          <w14:ligatures w14:val="standardContextual"/>
        </w:rPr>
        <w:t xml:space="preserve">aimed to understand how the global supply chain in the medical device industry embraces resilience by adopting an agile approach following COVID-19. Using an interpretative approach, the study examines the qualitative data drawn from interviews and observations using dynamic capability theory as the conceptual focus. Their study shows the extent to which global supply chain leaders leverage the dynamic capability by centralising the business process decision to respond to the shifting demand from the local governments to the national health ministry, shaping the partnership style from the area- to the funnel-based agreement, even though it exposes a risk of product acceptability from the end-users, encouraging the distributor to convert just-in-time approach into holding safety stock to avoid penalty from missing the procurement target even and restructuring the local partners’ debts to manage long-term performance. </w:t>
      </w:r>
    </w:p>
    <w:bookmarkEnd w:id="0"/>
    <w:p w14:paraId="591C03B2" w14:textId="77777777" w:rsidR="0023576A" w:rsidRPr="0023576A" w:rsidRDefault="0023576A" w:rsidP="0023576A">
      <w:pPr>
        <w:autoSpaceDE w:val="0"/>
        <w:autoSpaceDN w:val="0"/>
        <w:adjustRightInd w:val="0"/>
        <w:spacing w:line="480" w:lineRule="auto"/>
        <w:jc w:val="both"/>
        <w:rPr>
          <w:rFonts w:eastAsiaTheme="minorHAnsi"/>
          <w:kern w:val="2"/>
          <w:sz w:val="22"/>
          <w:szCs w:val="22"/>
          <w:lang w:val="en-GB" w:eastAsia="en-US"/>
          <w14:ligatures w14:val="standardContextual"/>
        </w:rPr>
      </w:pPr>
    </w:p>
    <w:p w14:paraId="39F6BFA1" w14:textId="56E1B193" w:rsidR="0023576A" w:rsidRDefault="0023576A" w:rsidP="00882550">
      <w:pPr>
        <w:autoSpaceDE w:val="0"/>
        <w:autoSpaceDN w:val="0"/>
        <w:adjustRightInd w:val="0"/>
        <w:spacing w:line="480" w:lineRule="auto"/>
        <w:jc w:val="both"/>
        <w:rPr>
          <w:rFonts w:eastAsiaTheme="minorHAnsi"/>
          <w:kern w:val="2"/>
          <w:sz w:val="22"/>
          <w:szCs w:val="22"/>
          <w:lang w:val="en-GB" w:eastAsia="en-US"/>
          <w14:ligatures w14:val="standardContextual"/>
        </w:rPr>
      </w:pPr>
      <w:r w:rsidRPr="0023576A">
        <w:rPr>
          <w:rFonts w:eastAsiaTheme="minorHAnsi"/>
          <w:sz w:val="22"/>
          <w:szCs w:val="22"/>
          <w:lang w:val="en-GB" w:eastAsia="en-US"/>
          <w14:ligatures w14:val="standardContextual"/>
        </w:rPr>
        <w:t xml:space="preserve">Ghayas, Khan, Kumar and Mohyuddin </w:t>
      </w:r>
      <w:r w:rsidRPr="0023576A">
        <w:rPr>
          <w:rFonts w:eastAsiaTheme="minorHAnsi"/>
          <w:kern w:val="2"/>
          <w:sz w:val="22"/>
          <w:szCs w:val="22"/>
          <w:lang w:val="en-GB" w:eastAsia="en-US"/>
          <w14:ligatures w14:val="standardContextual"/>
        </w:rPr>
        <w:t>investigate the impact of the role of trust in leaders in the relationship between dimensions of servant leadership and dimensions of organisational commitment in the information technology (IT) sector of Pakistan in the post-COVID era. Through questionnaire survey and employing SEM, the study finds that trust in a leader has a significant indirect effect on the relationship between the dimensions of servant leadership and organizational commitment. In most cases, that trust in the leaders fully mediates the relationship between persuasive mapping and normative commitment. Furthermore, trust in leaders is also found to be fully mediating the relationship between emotional healing and continuance commitment.</w:t>
      </w:r>
    </w:p>
    <w:p w14:paraId="0C30B95E" w14:textId="77777777" w:rsidR="00882550" w:rsidRPr="0023576A" w:rsidRDefault="00882550" w:rsidP="00882550">
      <w:pPr>
        <w:autoSpaceDE w:val="0"/>
        <w:autoSpaceDN w:val="0"/>
        <w:adjustRightInd w:val="0"/>
        <w:spacing w:line="480" w:lineRule="auto"/>
        <w:jc w:val="both"/>
        <w:rPr>
          <w:rFonts w:eastAsiaTheme="minorHAnsi"/>
          <w:kern w:val="2"/>
          <w:sz w:val="22"/>
          <w:szCs w:val="22"/>
          <w:lang w:val="en-GB" w:eastAsia="en-US"/>
          <w14:ligatures w14:val="standardContextual"/>
        </w:rPr>
      </w:pPr>
    </w:p>
    <w:p w14:paraId="4A2254B6" w14:textId="77777777" w:rsidR="0023576A" w:rsidRPr="0023576A" w:rsidRDefault="0023576A" w:rsidP="0023576A">
      <w:pPr>
        <w:spacing w:line="480" w:lineRule="auto"/>
        <w:jc w:val="both"/>
        <w:rPr>
          <w:rFonts w:eastAsiaTheme="minorHAnsi"/>
          <w:kern w:val="2"/>
          <w:sz w:val="22"/>
          <w:szCs w:val="22"/>
          <w:lang w:val="en-GB" w:eastAsia="en-US"/>
          <w14:ligatures w14:val="standardContextual"/>
        </w:rPr>
      </w:pPr>
      <w:r w:rsidRPr="0023576A">
        <w:rPr>
          <w:rFonts w:eastAsiaTheme="minorHAnsi"/>
          <w:sz w:val="22"/>
          <w:szCs w:val="22"/>
          <w:lang w:val="en-GB" w:eastAsia="en-US"/>
          <w14:ligatures w14:val="standardContextual"/>
        </w:rPr>
        <w:t xml:space="preserve">Hara and Iwashita's study, </w:t>
      </w:r>
      <w:r w:rsidRPr="0023576A">
        <w:rPr>
          <w:rFonts w:eastAsiaTheme="minorHAnsi"/>
          <w:kern w:val="2"/>
          <w:sz w:val="22"/>
          <w:szCs w:val="22"/>
          <w:lang w:val="en-GB" w:eastAsia="en-US"/>
          <w14:ligatures w14:val="standardContextual"/>
        </w:rPr>
        <w:t>with a focus on Japanese companies’ institutional logic,</w:t>
      </w:r>
      <w:r w:rsidRPr="0023576A">
        <w:rPr>
          <w:rFonts w:eastAsiaTheme="minorHAnsi"/>
          <w:sz w:val="22"/>
          <w:szCs w:val="22"/>
          <w:lang w:val="en-GB" w:eastAsia="en-US"/>
          <w14:ligatures w14:val="standardContextual"/>
        </w:rPr>
        <w:t xml:space="preserve"> </w:t>
      </w:r>
      <w:r w:rsidRPr="0023576A">
        <w:rPr>
          <w:rFonts w:eastAsiaTheme="minorHAnsi"/>
          <w:kern w:val="2"/>
          <w:sz w:val="22"/>
          <w:szCs w:val="22"/>
          <w:lang w:val="en-GB" w:eastAsia="en-US"/>
          <w14:ligatures w14:val="standardContextual"/>
        </w:rPr>
        <w:t xml:space="preserve">examines how organisational persuasion could drive employees to be present at offices during the COVID-19 </w:t>
      </w:r>
      <w:r w:rsidRPr="0023576A">
        <w:rPr>
          <w:rFonts w:eastAsiaTheme="minorHAnsi"/>
          <w:kern w:val="2"/>
          <w:sz w:val="22"/>
          <w:szCs w:val="22"/>
          <w:lang w:val="en-GB" w:eastAsia="en-US"/>
          <w14:ligatures w14:val="standardContextual"/>
        </w:rPr>
        <w:lastRenderedPageBreak/>
        <w:t>pandemic and how remote and non-remote work practices affected employee performance. Using a survey-based quantitative analysis shows that Japanese companies often used institutional logic that included the inevitability of employees’ obedience to company policy, the lack of employees’ digital resources at home and the necessity of face-to-face customer dealing to legitimize their non-adoption of remote work, even amid the emergency like COVID-19. The findings also indicate that the adoption of in-person work was negatively related to individual employee performance.</w:t>
      </w:r>
    </w:p>
    <w:p w14:paraId="2218A010" w14:textId="77777777" w:rsidR="0023576A" w:rsidRPr="0023576A" w:rsidRDefault="0023576A" w:rsidP="0023576A">
      <w:pPr>
        <w:spacing w:line="480" w:lineRule="auto"/>
        <w:jc w:val="both"/>
        <w:rPr>
          <w:rFonts w:eastAsiaTheme="minorHAnsi"/>
          <w:kern w:val="2"/>
          <w:sz w:val="22"/>
          <w:szCs w:val="22"/>
          <w:lang w:val="en-GB" w:eastAsia="en-US"/>
          <w14:ligatures w14:val="standardContextual"/>
        </w:rPr>
      </w:pPr>
    </w:p>
    <w:p w14:paraId="25C14667" w14:textId="77777777" w:rsidR="0023576A" w:rsidRPr="0023576A" w:rsidRDefault="0023576A" w:rsidP="0023576A">
      <w:pPr>
        <w:spacing w:line="480" w:lineRule="auto"/>
        <w:jc w:val="both"/>
        <w:rPr>
          <w:rFonts w:eastAsiaTheme="minorHAnsi"/>
          <w:kern w:val="2"/>
          <w:sz w:val="22"/>
          <w:szCs w:val="22"/>
          <w:lang w:val="en-GB" w:eastAsia="en-US"/>
          <w14:ligatures w14:val="standardContextual"/>
        </w:rPr>
      </w:pPr>
      <w:r w:rsidRPr="0023576A">
        <w:rPr>
          <w:rFonts w:eastAsiaTheme="minorHAnsi"/>
          <w:kern w:val="2"/>
          <w:sz w:val="22"/>
          <w:szCs w:val="22"/>
          <w:lang w:val="en-GB" w:eastAsia="en-US"/>
          <w14:ligatures w14:val="standardContextual"/>
        </w:rPr>
        <w:t xml:space="preserve">The study by </w:t>
      </w:r>
      <w:r w:rsidRPr="0023576A">
        <w:rPr>
          <w:rFonts w:eastAsiaTheme="minorHAnsi"/>
          <w:sz w:val="22"/>
          <w:szCs w:val="22"/>
          <w:lang w:val="en-GB" w:eastAsia="en-US"/>
          <w14:ligatures w14:val="standardContextual"/>
        </w:rPr>
        <w:t>Saeed, Chipamaunga and Pansuwong</w:t>
      </w:r>
      <w:r w:rsidRPr="0023576A">
        <w:rPr>
          <w:rFonts w:eastAsiaTheme="minorHAnsi"/>
          <w:kern w:val="2"/>
          <w:sz w:val="22"/>
          <w:szCs w:val="22"/>
          <w:lang w:val="en-GB" w:eastAsia="en-US"/>
          <w14:ligatures w14:val="standardContextual"/>
        </w:rPr>
        <w:t xml:space="preserve"> highlights the moderating role of perceived organizational, supervisory and coworker support in mitigating the negative relationship between fear of pandemic (FOP) and employee engagement in Asian organisations. Basing their study on literature review and developing a conceptual framework by conducting an in-depth bibliometric analysis, they provide various guidelines for organisations, and their business managers suggesting the extent they could minimize the adverse effect of the employee fear triggered by the pandemic at the workplace and how provisions of effective and timely organizational/interpersonal support (i.e. organizational, managerial and coworkers level support) can help managers and their effectiveness in post-pandemic era.</w:t>
      </w:r>
    </w:p>
    <w:p w14:paraId="02B6A6ED" w14:textId="77777777" w:rsidR="0023576A" w:rsidRPr="0023576A" w:rsidRDefault="0023576A" w:rsidP="0023576A">
      <w:pPr>
        <w:spacing w:line="480" w:lineRule="auto"/>
        <w:jc w:val="both"/>
        <w:rPr>
          <w:rFonts w:eastAsiaTheme="minorHAnsi"/>
          <w:sz w:val="22"/>
          <w:szCs w:val="22"/>
          <w:lang w:val="en-GB" w:eastAsia="en-US"/>
          <w14:ligatures w14:val="standardContextual"/>
        </w:rPr>
      </w:pPr>
    </w:p>
    <w:p w14:paraId="342E8CD8" w14:textId="77777777" w:rsidR="0023576A" w:rsidRPr="0023576A" w:rsidRDefault="0023576A" w:rsidP="0023576A">
      <w:pPr>
        <w:spacing w:line="480" w:lineRule="auto"/>
        <w:jc w:val="both"/>
        <w:rPr>
          <w:rFonts w:eastAsiaTheme="minorHAnsi"/>
          <w:kern w:val="2"/>
          <w:sz w:val="22"/>
          <w:szCs w:val="22"/>
          <w:lang w:val="en-GB" w:eastAsia="en-US"/>
          <w14:ligatures w14:val="standardContextual"/>
        </w:rPr>
      </w:pPr>
      <w:r w:rsidRPr="0023576A">
        <w:rPr>
          <w:rFonts w:eastAsiaTheme="minorHAnsi"/>
          <w:sz w:val="22"/>
          <w:szCs w:val="22"/>
          <w:lang w:val="en-GB" w:eastAsia="en-US"/>
          <w14:ligatures w14:val="standardContextual"/>
        </w:rPr>
        <w:t>Ren and Xu</w:t>
      </w:r>
      <w:r w:rsidRPr="0023576A">
        <w:rPr>
          <w:rFonts w:eastAsiaTheme="minorHAnsi"/>
          <w:kern w:val="2"/>
          <w:sz w:val="22"/>
          <w:szCs w:val="22"/>
          <w:lang w:val="en-GB" w:eastAsia="en-US"/>
          <w14:ligatures w14:val="standardContextual"/>
        </w:rPr>
        <w:t xml:space="preserve"> identify and analyse the gains and strains associated with flexible working practices (FWPs) introduced and adopted before and during the pandemic and consider how these experiences are likely to shape the future of workplace flexibility in a post-pandemic era. Using a mixed-method technique, they found positive effects of flexible working on employee engagement, retention, business continuity and employee well-being during the pandemic. They show that besides the increasingly intense market competition, the changing face of state-owned enterprises and managerial attitudes carry significant effects on the use of FWPs.</w:t>
      </w:r>
    </w:p>
    <w:p w14:paraId="78DDFD87" w14:textId="77777777" w:rsidR="0023576A" w:rsidRPr="0023576A" w:rsidRDefault="0023576A" w:rsidP="0023576A">
      <w:pPr>
        <w:spacing w:line="480" w:lineRule="auto"/>
        <w:jc w:val="both"/>
        <w:rPr>
          <w:rFonts w:eastAsiaTheme="minorHAnsi"/>
          <w:sz w:val="22"/>
          <w:szCs w:val="22"/>
          <w:lang w:val="en-GB" w:eastAsia="en-US"/>
          <w14:ligatures w14:val="standardContextual"/>
        </w:rPr>
      </w:pPr>
    </w:p>
    <w:p w14:paraId="77542AB0" w14:textId="77777777" w:rsidR="0023576A" w:rsidRPr="0023576A" w:rsidRDefault="0023576A" w:rsidP="0023576A">
      <w:pPr>
        <w:spacing w:line="480" w:lineRule="auto"/>
        <w:jc w:val="both"/>
        <w:rPr>
          <w:rFonts w:eastAsiaTheme="minorHAnsi"/>
          <w:kern w:val="2"/>
          <w:sz w:val="22"/>
          <w:szCs w:val="22"/>
          <w:lang w:val="en-GB" w:eastAsia="en-US"/>
          <w14:ligatures w14:val="standardContextual"/>
        </w:rPr>
      </w:pPr>
      <w:r w:rsidRPr="0023576A">
        <w:rPr>
          <w:rFonts w:eastAsiaTheme="minorHAnsi"/>
          <w:sz w:val="22"/>
          <w:szCs w:val="22"/>
          <w:lang w:val="en-GB" w:eastAsia="en-US"/>
          <w14:ligatures w14:val="standardContextual"/>
        </w:rPr>
        <w:t>Singh, Sharma, Sengupta and Goel</w:t>
      </w:r>
      <w:r w:rsidRPr="0023576A">
        <w:rPr>
          <w:rFonts w:eastAsiaTheme="minorHAnsi"/>
          <w:kern w:val="2"/>
          <w:sz w:val="22"/>
          <w:szCs w:val="22"/>
          <w:lang w:val="en-GB" w:eastAsia="en-US"/>
          <w14:ligatures w14:val="standardContextual"/>
        </w:rPr>
        <w:t xml:space="preserve">’s study explores the radical changes in work practices and virtual forms of interaction brought in by COVID-19, primarily focusing on the role played by authentic leadership and horizontal collectivism of the Indian startups during the pandemic. By employing a </w:t>
      </w:r>
      <w:r w:rsidRPr="0023576A">
        <w:rPr>
          <w:rFonts w:eastAsiaTheme="minorHAnsi"/>
          <w:kern w:val="2"/>
          <w:sz w:val="22"/>
          <w:szCs w:val="22"/>
          <w:lang w:val="en-GB" w:eastAsia="en-US"/>
          <w14:ligatures w14:val="standardContextual"/>
        </w:rPr>
        <w:lastRenderedPageBreak/>
        <w:t>questionnaire survey of 300 leaders and 300 employees from Indian startups during the second phase of the lockdown, they found a directional effect of authentic leadership on work engagement and the moderating effect of horizontal collectivism on the relationship. Their results show when employees perceived their leaders to be authentic, the work culture to be non-hierarchical and felt collective responsibility toward work, it unlocked their higher potential and made them engaged in their work.</w:t>
      </w:r>
    </w:p>
    <w:p w14:paraId="72F68B82" w14:textId="77777777" w:rsidR="0023576A" w:rsidRPr="0023576A" w:rsidRDefault="0023576A" w:rsidP="0023576A">
      <w:pPr>
        <w:autoSpaceDE w:val="0"/>
        <w:autoSpaceDN w:val="0"/>
        <w:adjustRightInd w:val="0"/>
        <w:spacing w:line="480" w:lineRule="auto"/>
        <w:jc w:val="both"/>
        <w:rPr>
          <w:rFonts w:eastAsiaTheme="minorHAnsi"/>
          <w:sz w:val="22"/>
          <w:szCs w:val="22"/>
          <w:lang w:val="en-GB" w:eastAsia="en-US"/>
          <w14:ligatures w14:val="standardContextual"/>
        </w:rPr>
      </w:pPr>
    </w:p>
    <w:p w14:paraId="7752F7E1" w14:textId="77777777" w:rsidR="0023576A" w:rsidRPr="0023576A" w:rsidRDefault="0023576A" w:rsidP="0023576A">
      <w:pPr>
        <w:autoSpaceDE w:val="0"/>
        <w:autoSpaceDN w:val="0"/>
        <w:adjustRightInd w:val="0"/>
        <w:spacing w:line="480" w:lineRule="auto"/>
        <w:jc w:val="both"/>
        <w:rPr>
          <w:rFonts w:eastAsiaTheme="minorHAnsi"/>
          <w:kern w:val="2"/>
          <w:sz w:val="22"/>
          <w:szCs w:val="22"/>
          <w:lang w:val="en-GB" w:eastAsia="en-US"/>
          <w14:ligatures w14:val="standardContextual"/>
        </w:rPr>
      </w:pPr>
      <w:r w:rsidRPr="0023576A">
        <w:rPr>
          <w:rFonts w:eastAsiaTheme="minorHAnsi"/>
          <w:sz w:val="22"/>
          <w:szCs w:val="22"/>
          <w:lang w:val="en-GB" w:eastAsia="en-US"/>
          <w14:ligatures w14:val="standardContextual"/>
        </w:rPr>
        <w:t xml:space="preserve">Hussain, Khaneja, Pacholi, Yousef and Kourtoubelides </w:t>
      </w:r>
      <w:r w:rsidRPr="0023576A">
        <w:rPr>
          <w:rFonts w:eastAsiaTheme="minorHAnsi"/>
          <w:kern w:val="2"/>
          <w:sz w:val="22"/>
          <w:szCs w:val="22"/>
          <w:lang w:val="en-GB" w:eastAsia="en-US"/>
          <w14:ligatures w14:val="standardContextual"/>
        </w:rPr>
        <w:t xml:space="preserve">examine the relationship between the personality dimensions of consumers and celebrities; the effect of celebrity personality on attitude towards the celebrity; and the effect of attitude towards the celebrity on purchase intention. Eliciting data from 400 respondents in the North of England to explore the connections between five consumer personality dimensions (agreeableness, extroversion, openness, conscientiousness and neuroticism) and nine celebrity personality dimensions (neuroticism, extroversion, openness, agreeableness, conscientiousness, sincerity, excitement, stylishness and positivity), under a SEM, the study shows that some dimensions of consumer personality, i.e. conscientiousness, extroversion and openness, were significantly related to all the celebrity personality dimensions. Moreover, all the celebrity personality dimensions had a significant effect on consumers’ attitudes towards the celebrity; however, only neuroticism, extroversion, openness, sincerity and positivity significantly affected purchase intention. </w:t>
      </w:r>
    </w:p>
    <w:p w14:paraId="44FC641B" w14:textId="77777777" w:rsidR="0023576A" w:rsidRPr="0023576A" w:rsidRDefault="0023576A" w:rsidP="0023576A">
      <w:pPr>
        <w:autoSpaceDE w:val="0"/>
        <w:autoSpaceDN w:val="0"/>
        <w:adjustRightInd w:val="0"/>
        <w:spacing w:line="480" w:lineRule="auto"/>
        <w:jc w:val="both"/>
        <w:rPr>
          <w:rFonts w:eastAsiaTheme="minorHAnsi"/>
          <w:kern w:val="2"/>
          <w:sz w:val="22"/>
          <w:szCs w:val="22"/>
          <w:lang w:val="en-GB" w:eastAsia="en-US"/>
          <w14:ligatures w14:val="standardContextual"/>
        </w:rPr>
      </w:pPr>
    </w:p>
    <w:p w14:paraId="3EF19892" w14:textId="5B788693" w:rsidR="00745987" w:rsidRPr="00882550" w:rsidRDefault="0023576A" w:rsidP="00882550">
      <w:pPr>
        <w:autoSpaceDE w:val="0"/>
        <w:autoSpaceDN w:val="0"/>
        <w:adjustRightInd w:val="0"/>
        <w:spacing w:line="480" w:lineRule="auto"/>
        <w:jc w:val="both"/>
        <w:rPr>
          <w:rFonts w:eastAsiaTheme="minorHAnsi"/>
          <w:kern w:val="2"/>
          <w:sz w:val="22"/>
          <w:szCs w:val="22"/>
          <w:lang w:val="en-GB" w:eastAsia="en-US"/>
          <w14:ligatures w14:val="standardContextual"/>
        </w:rPr>
      </w:pPr>
      <w:r w:rsidRPr="0023576A">
        <w:rPr>
          <w:rFonts w:eastAsiaTheme="minorHAnsi"/>
          <w:kern w:val="2"/>
          <w:sz w:val="22"/>
          <w:szCs w:val="22"/>
          <w:highlight w:val="yellow"/>
          <w:lang w:val="en-GB" w:eastAsia="en-US"/>
          <w14:ligatures w14:val="standardContextual"/>
        </w:rPr>
        <w:t>XXXXX</w:t>
      </w:r>
      <w:r w:rsidRPr="0023576A">
        <w:rPr>
          <w:rFonts w:eastAsiaTheme="minorHAnsi"/>
          <w:kern w:val="2"/>
          <w:sz w:val="22"/>
          <w:szCs w:val="22"/>
          <w:lang w:val="en-GB" w:eastAsia="en-US"/>
          <w14:ligatures w14:val="standardContextual"/>
        </w:rPr>
        <w:t xml:space="preserve"> explore and recalculate the MSME business vulnerability index in 503 districts and 34 provinces across Indonesia using big data and business analytics techniques supported by in-depth interviews with MSME actors in Medan, Central Java, Yogyakarta, Bali, and Manokwari West Papua. They focused on exploring the survival strategies of businesses during the COVID-19 pandemic, and the extent to which digital literacy and the application of technology are used to maximize sales and business outcomes. They found that for the sustainable growth of Micro, Small, and Medium Enterprises (MSMEs) during and after the pandemic, collaboration across the Penta-Helix framework is essential.  Their findings underscore the importance of addressing the challenges MSMEs face and highlight the need for collaboration within the Penta-Helix framework to foster their resilience and success amidst the COVID-19 pandemic.</w:t>
      </w:r>
    </w:p>
    <w:p w14:paraId="5576ECA8" w14:textId="77777777" w:rsidR="00745987" w:rsidRPr="008928E9" w:rsidRDefault="00745987" w:rsidP="008928E9">
      <w:pPr>
        <w:jc w:val="both"/>
        <w:rPr>
          <w:b/>
          <w:bCs/>
        </w:rPr>
      </w:pPr>
    </w:p>
    <w:p w14:paraId="4E61DE25" w14:textId="77777777" w:rsidR="00745987" w:rsidRDefault="00745987" w:rsidP="008928E9">
      <w:pPr>
        <w:jc w:val="both"/>
        <w:rPr>
          <w:b/>
          <w:bCs/>
        </w:rPr>
      </w:pPr>
      <w:r w:rsidRPr="008928E9">
        <w:rPr>
          <w:b/>
          <w:bCs/>
        </w:rPr>
        <w:t xml:space="preserve">4. </w:t>
      </w:r>
      <w:r w:rsidRPr="00DD5591">
        <w:rPr>
          <w:b/>
          <w:bCs/>
        </w:rPr>
        <w:t xml:space="preserve">Editorial Perspective: </w:t>
      </w:r>
      <w:r w:rsidR="003822E3">
        <w:rPr>
          <w:b/>
          <w:bCs/>
        </w:rPr>
        <w:t>Towards conceptualising r</w:t>
      </w:r>
      <w:r w:rsidRPr="00DD5591">
        <w:rPr>
          <w:b/>
          <w:bCs/>
        </w:rPr>
        <w:t xml:space="preserve">egional </w:t>
      </w:r>
      <w:r w:rsidR="003822E3">
        <w:rPr>
          <w:b/>
          <w:bCs/>
        </w:rPr>
        <w:t>i</w:t>
      </w:r>
      <w:r w:rsidRPr="00DD5591">
        <w:rPr>
          <w:b/>
          <w:bCs/>
        </w:rPr>
        <w:t xml:space="preserve">nnovation </w:t>
      </w:r>
      <w:r w:rsidR="003822E3">
        <w:rPr>
          <w:b/>
          <w:bCs/>
        </w:rPr>
        <w:t>e</w:t>
      </w:r>
      <w:r w:rsidRPr="00DD5591">
        <w:rPr>
          <w:b/>
          <w:bCs/>
        </w:rPr>
        <w:t xml:space="preserve">cosystem for </w:t>
      </w:r>
      <w:r w:rsidR="003822E3">
        <w:rPr>
          <w:b/>
          <w:bCs/>
        </w:rPr>
        <w:t>s</w:t>
      </w:r>
      <w:r w:rsidRPr="00DD5591">
        <w:rPr>
          <w:b/>
          <w:bCs/>
        </w:rPr>
        <w:t xml:space="preserve">ustaining </w:t>
      </w:r>
      <w:r w:rsidR="003822E3">
        <w:rPr>
          <w:b/>
          <w:bCs/>
        </w:rPr>
        <w:t>b</w:t>
      </w:r>
      <w:r w:rsidRPr="00DD5591">
        <w:rPr>
          <w:b/>
          <w:bCs/>
        </w:rPr>
        <w:t xml:space="preserve">usiness in Asia in a </w:t>
      </w:r>
      <w:r w:rsidR="003822E3">
        <w:rPr>
          <w:b/>
          <w:bCs/>
        </w:rPr>
        <w:t>p</w:t>
      </w:r>
      <w:r w:rsidRPr="00DD5591">
        <w:rPr>
          <w:b/>
          <w:bCs/>
        </w:rPr>
        <w:t>ost-</w:t>
      </w:r>
      <w:r w:rsidR="003822E3">
        <w:rPr>
          <w:b/>
          <w:bCs/>
        </w:rPr>
        <w:t>p</w:t>
      </w:r>
      <w:r w:rsidRPr="00DD5591">
        <w:rPr>
          <w:b/>
          <w:bCs/>
        </w:rPr>
        <w:t xml:space="preserve">andemic </w:t>
      </w:r>
      <w:r w:rsidR="003822E3">
        <w:rPr>
          <w:b/>
          <w:bCs/>
        </w:rPr>
        <w:t>e</w:t>
      </w:r>
      <w:r w:rsidRPr="00DD5591">
        <w:rPr>
          <w:b/>
          <w:bCs/>
        </w:rPr>
        <w:t>ra</w:t>
      </w:r>
    </w:p>
    <w:p w14:paraId="1B94079D" w14:textId="77777777" w:rsidR="003822E3" w:rsidRDefault="003822E3" w:rsidP="008928E9">
      <w:pPr>
        <w:jc w:val="both"/>
        <w:rPr>
          <w:b/>
          <w:bCs/>
        </w:rPr>
      </w:pPr>
    </w:p>
    <w:p w14:paraId="7A0BCEE0" w14:textId="4C9EDEAC" w:rsidR="00882550" w:rsidRDefault="003822E3" w:rsidP="003822E3">
      <w:pPr>
        <w:spacing w:line="480" w:lineRule="auto"/>
        <w:jc w:val="both"/>
      </w:pPr>
      <w:r w:rsidRPr="003822E3">
        <w:t xml:space="preserve">In light of the </w:t>
      </w:r>
      <w:r>
        <w:t xml:space="preserve">summarisation of the various research papers in this special issue, we the editors of this special issue conceptualise a </w:t>
      </w:r>
      <w:r w:rsidR="00312954">
        <w:t xml:space="preserve">‘Regional Innovation Ecosystem (RIS)’ that is underpinned by Helix Framework. </w:t>
      </w:r>
      <w:r w:rsidR="00312954" w:rsidRPr="00312954">
        <w:t xml:space="preserve">The Helix Framework, which fosters collaboration between government, industry, and academia, serves as the cornerstone for driving </w:t>
      </w:r>
      <w:r w:rsidR="00EC3983">
        <w:t xml:space="preserve">recovery, </w:t>
      </w:r>
      <w:r w:rsidR="00312954" w:rsidRPr="00312954">
        <w:t>innovation and resilience</w:t>
      </w:r>
      <w:r w:rsidR="00EC3983">
        <w:t xml:space="preserve"> can be the</w:t>
      </w:r>
      <w:r w:rsidR="00312954" w:rsidRPr="00312954">
        <w:t xml:space="preserve"> linchpin for </w:t>
      </w:r>
      <w:r w:rsidR="00EC3983">
        <w:t xml:space="preserve">Asian </w:t>
      </w:r>
      <w:r w:rsidR="00312954" w:rsidRPr="00312954">
        <w:t>economic revitalization</w:t>
      </w:r>
      <w:r w:rsidR="00EC3983">
        <w:t xml:space="preserve"> in a post-pandemic era.</w:t>
      </w:r>
      <w:r w:rsidR="00312954" w:rsidRPr="00312954">
        <w:t xml:space="preserve"> Through strategic partnerships and knowledge exchange, the National Innovation Ecosystem </w:t>
      </w:r>
      <w:r w:rsidR="00EC3983">
        <w:t xml:space="preserve">can </w:t>
      </w:r>
      <w:r w:rsidR="00312954" w:rsidRPr="00312954">
        <w:t>accelerate the development and implementation of cutting-edge technologies, medical advancements, and sustainable solutions, ensuring th</w:t>
      </w:r>
      <w:r w:rsidR="00BB173B">
        <w:t xml:space="preserve">at Asian economies can </w:t>
      </w:r>
      <w:r w:rsidR="00312954" w:rsidRPr="00312954">
        <w:t xml:space="preserve">navigate and thrive in a rapidly evolving global landscape. In essence, </w:t>
      </w:r>
      <w:r w:rsidR="00BB173B">
        <w:t xml:space="preserve">we believe that a Regional Innovation  Ecosystem underpinned by </w:t>
      </w:r>
      <w:r w:rsidR="00312954" w:rsidRPr="00312954">
        <w:t xml:space="preserve">Helix Framework </w:t>
      </w:r>
      <w:r w:rsidR="00BB173B">
        <w:t>can become an</w:t>
      </w:r>
      <w:r w:rsidR="00312954" w:rsidRPr="00312954">
        <w:t xml:space="preserve"> indispensable catalyst, propelling </w:t>
      </w:r>
      <w:r w:rsidR="00BB173B">
        <w:t xml:space="preserve">Asain </w:t>
      </w:r>
      <w:r w:rsidR="00312954" w:rsidRPr="00312954">
        <w:t>economies forward by transforming adversity into opportunities through collaborative innovation</w:t>
      </w:r>
      <w:r w:rsidR="00BB173B">
        <w:t>. Figure 1 captures the intent of proposed Regional Innovation  Ecosystem followed by proportions.</w:t>
      </w:r>
    </w:p>
    <w:p w14:paraId="52FC6BF5" w14:textId="77777777" w:rsidR="00882550" w:rsidRDefault="00882550" w:rsidP="003822E3">
      <w:pPr>
        <w:spacing w:line="480" w:lineRule="auto"/>
        <w:jc w:val="both"/>
      </w:pPr>
    </w:p>
    <w:p w14:paraId="336C58B9" w14:textId="77777777" w:rsidR="00882550" w:rsidRDefault="00882550" w:rsidP="003822E3">
      <w:pPr>
        <w:spacing w:line="480" w:lineRule="auto"/>
        <w:jc w:val="both"/>
      </w:pPr>
    </w:p>
    <w:p w14:paraId="023CED55" w14:textId="77777777" w:rsidR="00882550" w:rsidRDefault="00882550" w:rsidP="003822E3">
      <w:pPr>
        <w:spacing w:line="480" w:lineRule="auto"/>
        <w:jc w:val="both"/>
      </w:pPr>
    </w:p>
    <w:p w14:paraId="4709D94A" w14:textId="77777777" w:rsidR="00882550" w:rsidRDefault="00882550" w:rsidP="003822E3">
      <w:pPr>
        <w:spacing w:line="480" w:lineRule="auto"/>
        <w:jc w:val="both"/>
      </w:pPr>
    </w:p>
    <w:p w14:paraId="7245E911" w14:textId="77777777" w:rsidR="00882550" w:rsidRDefault="00882550" w:rsidP="003822E3">
      <w:pPr>
        <w:spacing w:line="480" w:lineRule="auto"/>
        <w:jc w:val="both"/>
      </w:pPr>
    </w:p>
    <w:p w14:paraId="6B21AB9B" w14:textId="77777777" w:rsidR="00882550" w:rsidRDefault="00882550" w:rsidP="003822E3">
      <w:pPr>
        <w:spacing w:line="480" w:lineRule="auto"/>
        <w:jc w:val="both"/>
      </w:pPr>
    </w:p>
    <w:p w14:paraId="60DC7EA7" w14:textId="77777777" w:rsidR="00882550" w:rsidRDefault="00882550" w:rsidP="003822E3">
      <w:pPr>
        <w:spacing w:line="480" w:lineRule="auto"/>
        <w:jc w:val="both"/>
      </w:pPr>
    </w:p>
    <w:p w14:paraId="70EE27E3" w14:textId="77777777" w:rsidR="00882550" w:rsidRDefault="00882550" w:rsidP="003822E3">
      <w:pPr>
        <w:spacing w:line="480" w:lineRule="auto"/>
        <w:jc w:val="both"/>
      </w:pPr>
    </w:p>
    <w:p w14:paraId="07FD19F3" w14:textId="77777777" w:rsidR="00882550" w:rsidRDefault="00882550" w:rsidP="003822E3">
      <w:pPr>
        <w:spacing w:line="480" w:lineRule="auto"/>
        <w:jc w:val="both"/>
      </w:pPr>
    </w:p>
    <w:p w14:paraId="0F4BDE7A" w14:textId="77777777" w:rsidR="00882550" w:rsidRDefault="00882550" w:rsidP="003822E3">
      <w:pPr>
        <w:spacing w:line="480" w:lineRule="auto"/>
        <w:jc w:val="both"/>
      </w:pPr>
    </w:p>
    <w:p w14:paraId="559B16E5" w14:textId="77608715" w:rsidR="00BB173B" w:rsidRPr="00BB173B" w:rsidRDefault="00BB173B" w:rsidP="00BB173B">
      <w:pPr>
        <w:rPr>
          <w:b/>
          <w:bCs/>
        </w:rPr>
      </w:pPr>
      <w:r w:rsidRPr="00BB173B">
        <w:rPr>
          <w:b/>
          <w:bCs/>
        </w:rPr>
        <w:lastRenderedPageBreak/>
        <w:t xml:space="preserve">Figure1: Regional Innovation  Ecosystem </w:t>
      </w:r>
      <w:r w:rsidRPr="00DD5591">
        <w:rPr>
          <w:b/>
          <w:bCs/>
        </w:rPr>
        <w:t xml:space="preserve">for </w:t>
      </w:r>
      <w:r>
        <w:rPr>
          <w:b/>
          <w:bCs/>
        </w:rPr>
        <w:t>S</w:t>
      </w:r>
      <w:r w:rsidRPr="00DD5591">
        <w:rPr>
          <w:b/>
          <w:bCs/>
        </w:rPr>
        <w:t xml:space="preserve">ustaining </w:t>
      </w:r>
      <w:r>
        <w:rPr>
          <w:b/>
          <w:bCs/>
        </w:rPr>
        <w:t>B</w:t>
      </w:r>
      <w:r w:rsidRPr="00DD5591">
        <w:rPr>
          <w:b/>
          <w:bCs/>
        </w:rPr>
        <w:t>usiness</w:t>
      </w:r>
      <w:r w:rsidR="00522DBC">
        <w:rPr>
          <w:b/>
          <w:bCs/>
        </w:rPr>
        <w:t>es</w:t>
      </w:r>
      <w:r w:rsidRPr="00DD5591">
        <w:rPr>
          <w:b/>
          <w:bCs/>
        </w:rPr>
        <w:t xml:space="preserve"> in Asia in a </w:t>
      </w:r>
      <w:r>
        <w:rPr>
          <w:b/>
          <w:bCs/>
        </w:rPr>
        <w:t>P</w:t>
      </w:r>
      <w:r w:rsidRPr="00DD5591">
        <w:rPr>
          <w:b/>
          <w:bCs/>
        </w:rPr>
        <w:t>ost-</w:t>
      </w:r>
      <w:r>
        <w:rPr>
          <w:b/>
          <w:bCs/>
        </w:rPr>
        <w:t>P</w:t>
      </w:r>
      <w:r w:rsidRPr="00DD5591">
        <w:rPr>
          <w:b/>
          <w:bCs/>
        </w:rPr>
        <w:t xml:space="preserve">andemic </w:t>
      </w:r>
      <w:r>
        <w:rPr>
          <w:b/>
          <w:bCs/>
        </w:rPr>
        <w:t>E</w:t>
      </w:r>
      <w:r w:rsidRPr="00DD5591">
        <w:rPr>
          <w:b/>
          <w:bCs/>
        </w:rPr>
        <w:t>ra.</w:t>
      </w:r>
    </w:p>
    <w:p w14:paraId="39CA273C" w14:textId="77777777" w:rsidR="00D0267D" w:rsidRDefault="00D0267D" w:rsidP="00BB173B">
      <w:pPr>
        <w:rPr>
          <w:b/>
          <w:bCs/>
          <w:highlight w:val="green"/>
        </w:rPr>
      </w:pPr>
    </w:p>
    <w:p w14:paraId="1B4FECAF" w14:textId="77777777" w:rsidR="00D0267D" w:rsidRDefault="00D0267D" w:rsidP="00953F00">
      <w:pPr>
        <w:jc w:val="center"/>
        <w:rPr>
          <w:b/>
          <w:bCs/>
          <w:highlight w:val="green"/>
        </w:rPr>
      </w:pPr>
    </w:p>
    <w:p w14:paraId="6437BEC7" w14:textId="77777777" w:rsidR="00A9213A" w:rsidRDefault="00A9213A" w:rsidP="00953F00">
      <w:pPr>
        <w:jc w:val="center"/>
        <w:rPr>
          <w:b/>
          <w:bCs/>
          <w:highlight w:val="green"/>
        </w:rPr>
      </w:pPr>
    </w:p>
    <w:p w14:paraId="499EC3E4" w14:textId="3AEF0CBF" w:rsidR="00205115" w:rsidRDefault="00BE3120" w:rsidP="00846F69">
      <w:pPr>
        <w:jc w:val="center"/>
        <w:rPr>
          <w:b/>
          <w:bCs/>
          <w:highlight w:val="green"/>
        </w:rPr>
      </w:pPr>
      <w:r w:rsidRPr="00E41177">
        <w:rPr>
          <w:rFonts w:asciiTheme="majorBidi" w:hAnsiTheme="majorBidi" w:cstheme="majorBidi"/>
          <w:noProof/>
          <w:sz w:val="28"/>
          <w:szCs w:val="28"/>
          <w:lang w:bidi="fa-IR"/>
        </w:rPr>
        <w:drawing>
          <wp:inline distT="0" distB="0" distL="0" distR="0" wp14:anchorId="72EFB3B4" wp14:editId="5AA8E48E">
            <wp:extent cx="5731510" cy="5770700"/>
            <wp:effectExtent l="0" t="0" r="0" b="0"/>
            <wp:docPr id="570595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95044" name=""/>
                    <pic:cNvPicPr/>
                  </pic:nvPicPr>
                  <pic:blipFill>
                    <a:blip r:embed="rId5"/>
                    <a:stretch>
                      <a:fillRect/>
                    </a:stretch>
                  </pic:blipFill>
                  <pic:spPr>
                    <a:xfrm>
                      <a:off x="0" y="0"/>
                      <a:ext cx="5731510" cy="5770700"/>
                    </a:xfrm>
                    <a:prstGeom prst="rect">
                      <a:avLst/>
                    </a:prstGeom>
                  </pic:spPr>
                </pic:pic>
              </a:graphicData>
            </a:graphic>
          </wp:inline>
        </w:drawing>
      </w:r>
      <w:r w:rsidR="00522DBC" w:rsidRPr="00522DBC">
        <w:rPr>
          <w:rFonts w:asciiTheme="majorBidi" w:hAnsiTheme="majorBidi" w:cstheme="majorBidi"/>
          <w:sz w:val="28"/>
          <w:szCs w:val="28"/>
          <w:lang w:bidi="fa-IR"/>
        </w:rPr>
        <w:t xml:space="preserve"> </w:t>
      </w:r>
    </w:p>
    <w:p w14:paraId="6ACDD55F" w14:textId="77777777" w:rsidR="00205115" w:rsidRDefault="00205115" w:rsidP="00953F00">
      <w:pPr>
        <w:jc w:val="center"/>
        <w:rPr>
          <w:b/>
          <w:bCs/>
          <w:highlight w:val="green"/>
        </w:rPr>
      </w:pPr>
    </w:p>
    <w:p w14:paraId="757F8BA7" w14:textId="77777777" w:rsidR="00205115" w:rsidRDefault="00205115" w:rsidP="00953F00">
      <w:pPr>
        <w:jc w:val="center"/>
        <w:rPr>
          <w:b/>
          <w:bCs/>
          <w:highlight w:val="green"/>
        </w:rPr>
      </w:pPr>
    </w:p>
    <w:p w14:paraId="391D8678" w14:textId="77777777" w:rsidR="00A9213A" w:rsidRDefault="00A9213A" w:rsidP="00953F00">
      <w:pPr>
        <w:jc w:val="center"/>
        <w:rPr>
          <w:b/>
          <w:bCs/>
          <w:highlight w:val="green"/>
        </w:rPr>
      </w:pPr>
    </w:p>
    <w:p w14:paraId="3CBC8CB9" w14:textId="77777777" w:rsidR="00F06578" w:rsidRDefault="00F06578" w:rsidP="00D06B1E">
      <w:pPr>
        <w:rPr>
          <w:b/>
          <w:bCs/>
          <w:highlight w:val="yellow"/>
        </w:rPr>
      </w:pPr>
    </w:p>
    <w:p w14:paraId="286F7AF6" w14:textId="77777777" w:rsidR="00846F69" w:rsidRDefault="00BB173B" w:rsidP="00D06B1E">
      <w:pPr>
        <w:rPr>
          <w:b/>
          <w:bCs/>
        </w:rPr>
      </w:pPr>
      <w:r>
        <w:rPr>
          <w:b/>
          <w:bCs/>
        </w:rPr>
        <w:t xml:space="preserve">5. </w:t>
      </w:r>
      <w:r w:rsidR="00846F69">
        <w:rPr>
          <w:b/>
          <w:bCs/>
        </w:rPr>
        <w:t>Propositions</w:t>
      </w:r>
    </w:p>
    <w:p w14:paraId="57CCFC78" w14:textId="77777777" w:rsidR="00846F69" w:rsidRDefault="00846F69" w:rsidP="00D06B1E">
      <w:pPr>
        <w:rPr>
          <w:b/>
          <w:bCs/>
        </w:rPr>
      </w:pPr>
    </w:p>
    <w:p w14:paraId="6DFE5DE9" w14:textId="77777777" w:rsidR="00A70522" w:rsidRPr="0075568B" w:rsidRDefault="00846F69" w:rsidP="00D06B1E">
      <w:pPr>
        <w:rPr>
          <w:b/>
          <w:bCs/>
        </w:rPr>
      </w:pPr>
      <w:r>
        <w:rPr>
          <w:b/>
          <w:bCs/>
        </w:rPr>
        <w:t>5.1</w:t>
      </w:r>
      <w:r w:rsidR="00BB173B">
        <w:rPr>
          <w:b/>
          <w:bCs/>
        </w:rPr>
        <w:t xml:space="preserve"> </w:t>
      </w:r>
      <w:r w:rsidR="0075568B" w:rsidRPr="0075568B">
        <w:rPr>
          <w:b/>
          <w:bCs/>
        </w:rPr>
        <w:t xml:space="preserve">Reginal innovation ecosystem </w:t>
      </w:r>
      <w:r w:rsidR="0075568B">
        <w:rPr>
          <w:b/>
          <w:bCs/>
        </w:rPr>
        <w:t xml:space="preserve">with </w:t>
      </w:r>
      <w:r w:rsidR="0075568B" w:rsidRPr="0075568B">
        <w:rPr>
          <w:b/>
          <w:bCs/>
        </w:rPr>
        <w:t xml:space="preserve">Triple Helix Model </w:t>
      </w:r>
      <w:r w:rsidR="0075568B">
        <w:rPr>
          <w:b/>
          <w:bCs/>
        </w:rPr>
        <w:t>underpinnings</w:t>
      </w:r>
    </w:p>
    <w:p w14:paraId="52659713" w14:textId="77777777" w:rsidR="00F625E7" w:rsidRDefault="00F625E7" w:rsidP="00D06B1E">
      <w:pPr>
        <w:rPr>
          <w:highlight w:val="cyan"/>
        </w:rPr>
      </w:pPr>
    </w:p>
    <w:p w14:paraId="1E618F3E" w14:textId="77777777" w:rsidR="009A6700" w:rsidRDefault="008D6323" w:rsidP="00846F69">
      <w:pPr>
        <w:spacing w:line="480" w:lineRule="auto"/>
        <w:jc w:val="both"/>
      </w:pPr>
      <w:r>
        <w:t>D</w:t>
      </w:r>
      <w:r w:rsidR="00F625E7">
        <w:t>ue to impact of pandemic in Asia,  t</w:t>
      </w:r>
      <w:r w:rsidR="009A6700" w:rsidRPr="009A6700">
        <w:t>he landscape of business and innovation has undergone a profound transformation</w:t>
      </w:r>
      <w:r w:rsidR="00F625E7">
        <w:t xml:space="preserve"> (Li et al., 2022).</w:t>
      </w:r>
      <w:r>
        <w:t xml:space="preserve"> We strongly suggest that as Asia businesses are </w:t>
      </w:r>
      <w:r>
        <w:lastRenderedPageBreak/>
        <w:t xml:space="preserve">still </w:t>
      </w:r>
      <w:r w:rsidR="009A6700" w:rsidRPr="009A6700">
        <w:t>navigat</w:t>
      </w:r>
      <w:r>
        <w:t>ing</w:t>
      </w:r>
      <w:r w:rsidR="009A6700" w:rsidRPr="009A6700">
        <w:t xml:space="preserve"> the complexities of recovery, the regional innovation ecosystem </w:t>
      </w:r>
      <w:r>
        <w:t xml:space="preserve">can be </w:t>
      </w:r>
      <w:r w:rsidR="009A6700" w:rsidRPr="009A6700">
        <w:t xml:space="preserve">a linchpin for sustainable growth. </w:t>
      </w:r>
      <w:r w:rsidR="006B694C">
        <w:t xml:space="preserve">We posit </w:t>
      </w:r>
      <w:r w:rsidR="009A6700" w:rsidRPr="009A6700">
        <w:t xml:space="preserve"> the Triple Helix framework</w:t>
      </w:r>
      <w:r w:rsidR="006B694C">
        <w:t xml:space="preserve"> at the </w:t>
      </w:r>
      <w:r w:rsidR="006B694C" w:rsidRPr="009A6700">
        <w:t>heart of this transformation</w:t>
      </w:r>
      <w:r w:rsidR="006B694C">
        <w:t>,</w:t>
      </w:r>
      <w:r w:rsidR="009A6700" w:rsidRPr="009A6700">
        <w:t xml:space="preserve"> </w:t>
      </w:r>
      <w:r w:rsidR="006B694C">
        <w:t>with an onus on</w:t>
      </w:r>
      <w:r w:rsidR="009A6700" w:rsidRPr="009A6700">
        <w:t xml:space="preserve"> collaboration between government, academia, and industry</w:t>
      </w:r>
      <w:r w:rsidR="006E23CA">
        <w:t xml:space="preserve"> (</w:t>
      </w:r>
      <w:r w:rsidR="006E23CA" w:rsidRPr="006E23CA">
        <w:t>Saepuloh</w:t>
      </w:r>
      <w:r w:rsidR="006E23CA">
        <w:t xml:space="preserve"> et al., 2022). T</w:t>
      </w:r>
      <w:r w:rsidR="009A6700" w:rsidRPr="009A6700">
        <w:t>his collaborative approach</w:t>
      </w:r>
      <w:r w:rsidR="006E23CA">
        <w:t xml:space="preserve"> i</w:t>
      </w:r>
      <w:r w:rsidR="006E23CA" w:rsidRPr="009A6700">
        <w:t xml:space="preserve">n the post-pandemic era, </w:t>
      </w:r>
      <w:r w:rsidR="009A6700" w:rsidRPr="009A6700">
        <w:t>becomes paramount as it enables the pooling of diverse resources, expertise, and perspectives. Governments, with their regulatory power and funding capabilities, can partner with academic institutions to harness research and knowledge, while industry players contribute practical insights and market-driven strategies</w:t>
      </w:r>
      <w:r w:rsidR="005B6646">
        <w:t xml:space="preserve"> (Jiaqi, 2023). </w:t>
      </w:r>
      <w:r w:rsidR="009A6700" w:rsidRPr="009A6700">
        <w:t xml:space="preserve">This collaborative synergy </w:t>
      </w:r>
      <w:r w:rsidR="005B6646">
        <w:t xml:space="preserve">has the potential of </w:t>
      </w:r>
      <w:r w:rsidR="009A6700" w:rsidRPr="009A6700">
        <w:t>not only propel</w:t>
      </w:r>
      <w:r w:rsidR="005B6646">
        <w:t>ling</w:t>
      </w:r>
      <w:r w:rsidR="009A6700" w:rsidRPr="009A6700">
        <w:t xml:space="preserve"> innovation but also establishes a resilient foundation for </w:t>
      </w:r>
      <w:r w:rsidR="005B6646">
        <w:t xml:space="preserve">Asain </w:t>
      </w:r>
      <w:r w:rsidR="009A6700" w:rsidRPr="009A6700">
        <w:t>businesses to thrive in an unpredictable economic landscape.</w:t>
      </w:r>
    </w:p>
    <w:p w14:paraId="1FC1011C" w14:textId="77777777" w:rsidR="005B6646" w:rsidRPr="009A6700" w:rsidRDefault="005B6646" w:rsidP="00846F69">
      <w:pPr>
        <w:spacing w:line="480" w:lineRule="auto"/>
        <w:jc w:val="both"/>
      </w:pPr>
    </w:p>
    <w:p w14:paraId="4A5462DE" w14:textId="2D5448CA" w:rsidR="00A96906" w:rsidRDefault="009A6700" w:rsidP="00846F69">
      <w:pPr>
        <w:spacing w:line="480" w:lineRule="auto"/>
        <w:jc w:val="both"/>
      </w:pPr>
      <w:r w:rsidRPr="009A6700">
        <w:t xml:space="preserve">The Triple Helix framework, </w:t>
      </w:r>
      <w:r w:rsidR="005B6646">
        <w:t xml:space="preserve">thus, </w:t>
      </w:r>
      <w:r w:rsidRPr="009A6700">
        <w:t>becomes a catalyst for economic recovery by fostering an environment where research translates into tangible solutions, educational institutions adapt to real-world challenges, and industries benefit from cutting-edge advancements</w:t>
      </w:r>
      <w:r w:rsidR="005B6646" w:rsidRPr="005B6646">
        <w:t xml:space="preserve"> (Rodrigues &amp; Melo, 2012).</w:t>
      </w:r>
      <w:r w:rsidR="005B6646">
        <w:t xml:space="preserve"> This synergetic relationship not</w:t>
      </w:r>
      <w:r w:rsidR="005B6646" w:rsidRPr="009A6700">
        <w:t xml:space="preserve"> only accelerates innovation</w:t>
      </w:r>
      <w:r w:rsidR="005B6646">
        <w:t xml:space="preserve"> and transformation</w:t>
      </w:r>
      <w:r w:rsidR="005B6646" w:rsidRPr="009A6700">
        <w:t xml:space="preserve"> </w:t>
      </w:r>
      <w:r w:rsidR="005B6646">
        <w:t xml:space="preserve">in Asian region, </w:t>
      </w:r>
      <w:r w:rsidR="005B6646" w:rsidRPr="009A6700">
        <w:t>but also ensures its practical applicability, addressing the pressing needs of the post-pandemic economy.</w:t>
      </w:r>
      <w:r w:rsidR="00A96906">
        <w:t xml:space="preserve"> We term it as reginal innovation ecosystem with </w:t>
      </w:r>
      <w:r w:rsidR="00A96906" w:rsidRPr="009A6700">
        <w:t>Triple Helix model</w:t>
      </w:r>
      <w:r w:rsidR="00A96906">
        <w:t xml:space="preserve"> underpinnings that will facilitate </w:t>
      </w:r>
      <w:r w:rsidR="00A96906" w:rsidRPr="009A6700">
        <w:t xml:space="preserve">the seamless flow of ideas, technology, and talent, thereby creating a dynamic environment where </w:t>
      </w:r>
      <w:r w:rsidR="00A96906">
        <w:t xml:space="preserve">Asian </w:t>
      </w:r>
      <w:r w:rsidR="00A96906" w:rsidRPr="009A6700">
        <w:t>businesses can adapt, evolve, and flourish</w:t>
      </w:r>
      <w:r w:rsidR="00A96906">
        <w:t xml:space="preserve"> in a post-pandemic scenario. Thus, the authors believe that </w:t>
      </w:r>
      <w:r w:rsidR="00A96906" w:rsidRPr="009A6700">
        <w:t>the collaboration between government, academia, and industry within the regional innovation ecosystem is indispensable for building a resilient and innovation-driven economy in the post-pandemic era</w:t>
      </w:r>
      <w:r w:rsidR="00A96906">
        <w:t xml:space="preserve">. </w:t>
      </w:r>
      <w:r w:rsidR="00A57286">
        <w:t>Thus,</w:t>
      </w:r>
      <w:r w:rsidR="00A96906">
        <w:t xml:space="preserve"> the following proportion:</w:t>
      </w:r>
    </w:p>
    <w:p w14:paraId="2261B45E" w14:textId="77777777" w:rsidR="005B6646" w:rsidRDefault="005B6646" w:rsidP="008D6323">
      <w:pPr>
        <w:jc w:val="both"/>
      </w:pPr>
    </w:p>
    <w:p w14:paraId="19514C33" w14:textId="77777777" w:rsidR="0075568B" w:rsidRPr="0075568B" w:rsidRDefault="0075568B" w:rsidP="00882550">
      <w:pPr>
        <w:spacing w:line="276" w:lineRule="auto"/>
        <w:ind w:left="567" w:right="379"/>
        <w:jc w:val="both"/>
      </w:pPr>
      <w:r w:rsidRPr="0075568B">
        <w:rPr>
          <w:b/>
          <w:bCs/>
          <w:i/>
          <w:iCs/>
        </w:rPr>
        <w:t>Proposition 1:</w:t>
      </w:r>
      <w:r>
        <w:t xml:space="preserve"> </w:t>
      </w:r>
      <w:r w:rsidRPr="0075568B">
        <w:t xml:space="preserve">In the post-pandemic era, the regional innovation ecosystem, underpinned by the Triple Helix framework, plays a pivotal role in sustaining </w:t>
      </w:r>
      <w:r w:rsidRPr="0075568B">
        <w:lastRenderedPageBreak/>
        <w:t>businesses throughout Asia by fostering economic recovery, innovation and economic resilience.</w:t>
      </w:r>
    </w:p>
    <w:p w14:paraId="5EE4F008" w14:textId="77777777" w:rsidR="005B6646" w:rsidRDefault="005B6646" w:rsidP="008D6323">
      <w:pPr>
        <w:jc w:val="both"/>
      </w:pPr>
    </w:p>
    <w:p w14:paraId="0FD942E5" w14:textId="77777777" w:rsidR="009A6700" w:rsidRDefault="009A6700">
      <w:pPr>
        <w:rPr>
          <w:b/>
          <w:bCs/>
          <w:highlight w:val="yellow"/>
        </w:rPr>
      </w:pPr>
    </w:p>
    <w:p w14:paraId="1CE7F275" w14:textId="77777777" w:rsidR="00B670D6" w:rsidRDefault="00846F69" w:rsidP="00B670D6">
      <w:pPr>
        <w:rPr>
          <w:b/>
          <w:bCs/>
        </w:rPr>
      </w:pPr>
      <w:r>
        <w:rPr>
          <w:b/>
          <w:bCs/>
        </w:rPr>
        <w:t xml:space="preserve">5.2 </w:t>
      </w:r>
      <w:r w:rsidR="00AA5E08" w:rsidRPr="00AA5E08">
        <w:rPr>
          <w:b/>
          <w:bCs/>
        </w:rPr>
        <w:t xml:space="preserve">Monitoring, employment, and credibility of </w:t>
      </w:r>
      <w:r w:rsidR="00AA5E08">
        <w:rPr>
          <w:b/>
          <w:bCs/>
        </w:rPr>
        <w:t>i</w:t>
      </w:r>
      <w:r w:rsidR="00F208D3" w:rsidRPr="00AA5E08">
        <w:rPr>
          <w:b/>
          <w:bCs/>
        </w:rPr>
        <w:t xml:space="preserve">nstitutional sector </w:t>
      </w:r>
    </w:p>
    <w:p w14:paraId="094D2CE0" w14:textId="77777777" w:rsidR="00B670D6" w:rsidRDefault="00B670D6" w:rsidP="00B670D6">
      <w:pPr>
        <w:rPr>
          <w:b/>
          <w:bCs/>
        </w:rPr>
      </w:pPr>
    </w:p>
    <w:p w14:paraId="70BF53F4" w14:textId="64D153DD" w:rsidR="00EC2E32" w:rsidRDefault="00EC2E32" w:rsidP="00846F69">
      <w:pPr>
        <w:spacing w:line="480" w:lineRule="auto"/>
        <w:jc w:val="both"/>
      </w:pPr>
      <w:r>
        <w:t xml:space="preserve">We believe that in </w:t>
      </w:r>
      <w:r w:rsidRPr="00B670D6">
        <w:t xml:space="preserve"> the dynamic landscape of a post-pandemic </w:t>
      </w:r>
      <w:r>
        <w:t xml:space="preserve">Asian </w:t>
      </w:r>
      <w:r w:rsidRPr="00B670D6">
        <w:t>world, monitoring</w:t>
      </w:r>
      <w:r>
        <w:t xml:space="preserve">, employment and credibility of institution sector in various economies </w:t>
      </w:r>
      <w:r w:rsidRPr="00B670D6">
        <w:t>emerge as pivotal factor</w:t>
      </w:r>
      <w:r>
        <w:t>s</w:t>
      </w:r>
      <w:r w:rsidRPr="00B670D6">
        <w:t xml:space="preserve"> in facilitating the transformative journey of institutional sectors</w:t>
      </w:r>
      <w:r>
        <w:t xml:space="preserve"> in Asian economies.</w:t>
      </w:r>
      <w:r w:rsidRPr="00B670D6">
        <w:t xml:space="preserve"> </w:t>
      </w:r>
      <w:r>
        <w:t xml:space="preserve">The monitoring aspect gains significance as while navigating the </w:t>
      </w:r>
      <w:r w:rsidRPr="00B670D6">
        <w:t xml:space="preserve">complexities of recovery, </w:t>
      </w:r>
      <w:r>
        <w:t>t</w:t>
      </w:r>
      <w:r w:rsidRPr="00B670D6">
        <w:t>he ability to scrutinize and adapt swiftly to evolving trends and challenges is paramount for institutional resilience</w:t>
      </w:r>
      <w:r>
        <w:t xml:space="preserve"> (Smith et al., 2015)</w:t>
      </w:r>
      <w:r w:rsidRPr="00B670D6">
        <w:t xml:space="preserve">. </w:t>
      </w:r>
      <w:r>
        <w:t xml:space="preserve"> </w:t>
      </w:r>
      <w:r w:rsidRPr="00B670D6">
        <w:t xml:space="preserve">Monitoring </w:t>
      </w:r>
      <w:r>
        <w:t xml:space="preserve">will </w:t>
      </w:r>
      <w:r w:rsidRPr="00B670D6">
        <w:t xml:space="preserve">not only </w:t>
      </w:r>
      <w:r w:rsidR="00A57286" w:rsidRPr="00B670D6">
        <w:t>allow</w:t>
      </w:r>
      <w:r w:rsidRPr="00B670D6">
        <w:t xml:space="preserve"> </w:t>
      </w:r>
      <w:r>
        <w:t xml:space="preserve">Asian </w:t>
      </w:r>
      <w:r w:rsidRPr="00B670D6">
        <w:t>businesses to track the pulse of consumer behaviour</w:t>
      </w:r>
      <w:r>
        <w:t xml:space="preserve">, at the same time it will </w:t>
      </w:r>
      <w:r w:rsidRPr="00B670D6">
        <w:t>enable a proactive response to emerging opportunities and risks</w:t>
      </w:r>
      <w:r>
        <w:t xml:space="preserve"> (Khan et al., 2020). Moreover, given that the </w:t>
      </w:r>
      <w:r w:rsidRPr="00B670D6">
        <w:t xml:space="preserve">post-pandemic </w:t>
      </w:r>
      <w:r>
        <w:t xml:space="preserve">situation </w:t>
      </w:r>
      <w:r w:rsidRPr="00B670D6">
        <w:t xml:space="preserve"> demands a heightened emphasis on adaptive strategies, </w:t>
      </w:r>
      <w:r>
        <w:t xml:space="preserve">thus </w:t>
      </w:r>
      <w:r w:rsidRPr="00B670D6">
        <w:t>monitoring becomes the compass guiding institutions toward sustainable innovation</w:t>
      </w:r>
      <w:r>
        <w:t xml:space="preserve"> (Reficco et al., 2018). Vigilant monitoring mechanisms for public health, supply chain &amp; logistics and environmental and sustainability would ensure robust institutions for Asian economies.</w:t>
      </w:r>
    </w:p>
    <w:p w14:paraId="7704BBE3" w14:textId="77777777" w:rsidR="000374F3" w:rsidRDefault="000374F3" w:rsidP="00846F69">
      <w:pPr>
        <w:spacing w:line="480" w:lineRule="auto"/>
        <w:jc w:val="both"/>
      </w:pPr>
    </w:p>
    <w:p w14:paraId="0BA8E43C" w14:textId="677DFC4C" w:rsidR="004D2FD7" w:rsidRDefault="000374F3" w:rsidP="00846F69">
      <w:pPr>
        <w:spacing w:line="480" w:lineRule="auto"/>
        <w:jc w:val="both"/>
      </w:pPr>
      <w:r>
        <w:t>Further for</w:t>
      </w:r>
      <w:r w:rsidR="00955F03">
        <w:t xml:space="preserve"> </w:t>
      </w:r>
      <w:r w:rsidR="00955F03" w:rsidRPr="000374F3">
        <w:t>strengthening</w:t>
      </w:r>
      <w:r w:rsidRPr="000374F3">
        <w:t xml:space="preserve"> economies against the looming threats of future pandemics or disasters, a strategic emphasis on </w:t>
      </w:r>
      <w:r w:rsidR="004D2FD7">
        <w:t xml:space="preserve">employment and </w:t>
      </w:r>
      <w:r w:rsidRPr="000374F3">
        <w:t>workforce development becomes imperative</w:t>
      </w:r>
      <w:r w:rsidR="00955F03">
        <w:t xml:space="preserve">(Yawson,  2020). </w:t>
      </w:r>
      <w:r w:rsidRPr="000374F3">
        <w:t xml:space="preserve">Fostering </w:t>
      </w:r>
      <w:r w:rsidR="00955F03">
        <w:t>strategies for up</w:t>
      </w:r>
      <w:r w:rsidRPr="000374F3">
        <w:t>skill</w:t>
      </w:r>
      <w:r w:rsidR="00955F03">
        <w:t>ing</w:t>
      </w:r>
      <w:r w:rsidRPr="000374F3">
        <w:t xml:space="preserve"> workforce </w:t>
      </w:r>
      <w:r w:rsidR="00955F03">
        <w:t xml:space="preserve">will </w:t>
      </w:r>
      <w:r w:rsidRPr="000374F3">
        <w:t>equip nations to navigate challenges with resilience</w:t>
      </w:r>
      <w:r w:rsidR="00D96918">
        <w:t xml:space="preserve"> (Agrawal et al., 2020).</w:t>
      </w:r>
      <w:r w:rsidR="008D5E16">
        <w:t xml:space="preserve"> </w:t>
      </w:r>
      <w:r w:rsidRPr="000374F3">
        <w:t xml:space="preserve">Simultaneously, </w:t>
      </w:r>
      <w:r w:rsidR="008D5E16" w:rsidRPr="000374F3">
        <w:t>labour</w:t>
      </w:r>
      <w:r w:rsidRPr="000374F3">
        <w:t xml:space="preserve"> market flexibility </w:t>
      </w:r>
      <w:r w:rsidR="008D5E16">
        <w:t xml:space="preserve">with inherent ability of </w:t>
      </w:r>
      <w:r w:rsidR="008D5E16" w:rsidRPr="008D5E16">
        <w:t>employers and employees to quickly adapt to changing economic conditions, allowing for adjustments in working hours, wages, and employment arrangements to meet the demands of the dynamic business environment</w:t>
      </w:r>
      <w:r w:rsidR="008D5E16">
        <w:t xml:space="preserve">, </w:t>
      </w:r>
      <w:r w:rsidRPr="000374F3">
        <w:t>emerges as a key component, allowing swift adjustments to changing demands and unforeseen disruptions</w:t>
      </w:r>
      <w:r w:rsidR="008D5E16">
        <w:t xml:space="preserve"> in Asian economies.</w:t>
      </w:r>
      <w:r w:rsidRPr="000374F3">
        <w:t xml:space="preserve"> </w:t>
      </w:r>
      <w:r w:rsidR="00937D61">
        <w:t xml:space="preserve"> </w:t>
      </w:r>
      <w:r w:rsidR="004D2FD7">
        <w:t>R</w:t>
      </w:r>
      <w:r w:rsidRPr="000374F3">
        <w:t xml:space="preserve">obust social safety nets </w:t>
      </w:r>
      <w:r w:rsidR="004D2FD7">
        <w:t xml:space="preserve">will also </w:t>
      </w:r>
      <w:r w:rsidRPr="000374F3">
        <w:t xml:space="preserve">play a crucial role, providing a support </w:t>
      </w:r>
      <w:r w:rsidRPr="000374F3">
        <w:lastRenderedPageBreak/>
        <w:t>structure for individuals affected by unforeseen adversities. Investing in comprehensive safety nets ensures that vulnerable segments of the population receive the necessary assistance during times of crisis, thereby enhancing social cohesion and stability</w:t>
      </w:r>
      <w:r w:rsidR="003B5FEC">
        <w:t xml:space="preserve"> (Kesar et al., 2021). </w:t>
      </w:r>
      <w:r w:rsidR="004D2FD7">
        <w:t xml:space="preserve">Last but not lease, the </w:t>
      </w:r>
      <w:r w:rsidR="004D2FD7" w:rsidRPr="004D2FD7">
        <w:t xml:space="preserve">credibility of the institutional sector </w:t>
      </w:r>
      <w:r w:rsidR="004D2FD7">
        <w:t xml:space="preserve">pertaining to different economies </w:t>
      </w:r>
      <w:r w:rsidR="004D2FD7" w:rsidRPr="004D2FD7">
        <w:t>tak</w:t>
      </w:r>
      <w:r w:rsidR="004D2FD7">
        <w:t xml:space="preserve">e </w:t>
      </w:r>
      <w:r w:rsidR="00EA5830" w:rsidRPr="004D2FD7">
        <w:t>centre</w:t>
      </w:r>
      <w:r w:rsidR="004D2FD7" w:rsidRPr="004D2FD7">
        <w:t xml:space="preserve"> stage as a prerequisite for societal recovery and stability</w:t>
      </w:r>
      <w:r w:rsidR="00EA5830">
        <w:t xml:space="preserve"> (</w:t>
      </w:r>
      <w:r w:rsidR="00EA5830" w:rsidRPr="00EA5830">
        <w:t>Fleuriet &amp; Williams, 2015).</w:t>
      </w:r>
      <w:r w:rsidR="00635B4A" w:rsidRPr="00635B4A">
        <w:t xml:space="preserve"> </w:t>
      </w:r>
      <w:r w:rsidR="00635B4A" w:rsidRPr="004D2FD7">
        <w:t xml:space="preserve">A credible institutional sector </w:t>
      </w:r>
      <w:r w:rsidR="00635B4A">
        <w:t>will be</w:t>
      </w:r>
      <w:r w:rsidR="00635B4A" w:rsidRPr="004D2FD7">
        <w:t xml:space="preserve"> fundamental for effective crisis management</w:t>
      </w:r>
      <w:r w:rsidR="00635B4A">
        <w:t xml:space="preserve"> </w:t>
      </w:r>
      <w:r w:rsidR="00635B4A" w:rsidRPr="004D2FD7">
        <w:t xml:space="preserve">as </w:t>
      </w:r>
      <w:r w:rsidR="00635B4A">
        <w:t>this will ensure</w:t>
      </w:r>
      <w:r w:rsidR="00635B4A" w:rsidRPr="004D2FD7">
        <w:t xml:space="preserve"> transparent communication and </w:t>
      </w:r>
      <w:r w:rsidR="00635B4A">
        <w:t xml:space="preserve">will </w:t>
      </w:r>
      <w:r w:rsidR="00635B4A" w:rsidRPr="004D2FD7">
        <w:t>foster public cooperation in implementing necessary measures</w:t>
      </w:r>
      <w:r w:rsidR="00635B4A">
        <w:t xml:space="preserve"> (El Idrissi et al., 2022)</w:t>
      </w:r>
      <w:r w:rsidR="00635B4A" w:rsidRPr="004D2FD7">
        <w:t>.</w:t>
      </w:r>
      <w:r w:rsidR="004D2FD7" w:rsidRPr="004D2FD7">
        <w:t>The trustworthiness of institutions influences investor confidence and economic recovery, making credibility a cornerstone for sustainable growth</w:t>
      </w:r>
      <w:r w:rsidR="00635B4A">
        <w:t xml:space="preserve"> of Asian economies. </w:t>
      </w:r>
      <w:r w:rsidR="00A57286">
        <w:t>Thus,</w:t>
      </w:r>
      <w:r w:rsidR="00635B4A">
        <w:t xml:space="preserve"> we posit t</w:t>
      </w:r>
      <w:r w:rsidR="001609C3">
        <w:t>he following:</w:t>
      </w:r>
      <w:r w:rsidR="00635B4A">
        <w:t xml:space="preserve"> </w:t>
      </w:r>
      <w:r w:rsidR="004D2FD7" w:rsidRPr="004D2FD7">
        <w:t xml:space="preserve"> </w:t>
      </w:r>
    </w:p>
    <w:p w14:paraId="69489382" w14:textId="77777777" w:rsidR="00D712C8" w:rsidRPr="00EC5372" w:rsidRDefault="00D712C8" w:rsidP="00882550">
      <w:pPr>
        <w:spacing w:line="276" w:lineRule="auto"/>
        <w:ind w:left="567" w:right="379"/>
        <w:jc w:val="both"/>
        <w:rPr>
          <w:b/>
          <w:bCs/>
          <w:i/>
          <w:iCs/>
        </w:rPr>
      </w:pPr>
    </w:p>
    <w:p w14:paraId="204FC788" w14:textId="77777777" w:rsidR="00D712C8" w:rsidRPr="00EC5372" w:rsidRDefault="00D712C8" w:rsidP="00882550">
      <w:pPr>
        <w:spacing w:line="276" w:lineRule="auto"/>
        <w:ind w:left="567" w:right="379"/>
        <w:jc w:val="both"/>
        <w:rPr>
          <w:b/>
          <w:bCs/>
          <w:i/>
          <w:iCs/>
        </w:rPr>
      </w:pPr>
      <w:r w:rsidRPr="00EC5372">
        <w:rPr>
          <w:b/>
          <w:bCs/>
          <w:i/>
          <w:iCs/>
        </w:rPr>
        <w:t xml:space="preserve">Proposition </w:t>
      </w:r>
      <w:r w:rsidR="0087515C" w:rsidRPr="00EC5372">
        <w:rPr>
          <w:b/>
          <w:bCs/>
          <w:i/>
          <w:iCs/>
        </w:rPr>
        <w:t>2</w:t>
      </w:r>
      <w:r w:rsidRPr="00EC5372">
        <w:rPr>
          <w:b/>
          <w:bCs/>
          <w:i/>
          <w:iCs/>
        </w:rPr>
        <w:t xml:space="preserve">:  </w:t>
      </w:r>
      <w:r w:rsidR="00590890" w:rsidRPr="00EC5372">
        <w:t xml:space="preserve">Monitoring, employment, and credibility are critical factors that assume great importance in the context of institutional sector </w:t>
      </w:r>
      <w:r w:rsidR="00EF2187" w:rsidRPr="00EC5372">
        <w:t xml:space="preserve">transformation </w:t>
      </w:r>
      <w:r w:rsidR="00590890" w:rsidRPr="00EC5372">
        <w:t xml:space="preserve">in a post-pandemic world for sustaining business innovation in </w:t>
      </w:r>
      <w:r w:rsidR="00EF2187" w:rsidRPr="00EC5372">
        <w:t>Asia</w:t>
      </w:r>
      <w:r w:rsidRPr="00EC5372">
        <w:t xml:space="preserve"> in the post-pandemic era.</w:t>
      </w:r>
    </w:p>
    <w:p w14:paraId="2FA67610" w14:textId="77777777" w:rsidR="007175C4" w:rsidRDefault="007175C4" w:rsidP="00882550">
      <w:pPr>
        <w:spacing w:line="276" w:lineRule="auto"/>
        <w:jc w:val="both"/>
      </w:pPr>
    </w:p>
    <w:p w14:paraId="200C0C7F" w14:textId="77777777" w:rsidR="001609C3" w:rsidRDefault="001609C3" w:rsidP="007175C4">
      <w:pPr>
        <w:jc w:val="both"/>
      </w:pPr>
    </w:p>
    <w:p w14:paraId="09481EF6" w14:textId="77777777" w:rsidR="00102477" w:rsidRDefault="00102477" w:rsidP="00102477">
      <w:pPr>
        <w:jc w:val="both"/>
      </w:pPr>
    </w:p>
    <w:p w14:paraId="2ED86709" w14:textId="77777777" w:rsidR="00102477" w:rsidRDefault="00846F69" w:rsidP="00102477">
      <w:pPr>
        <w:jc w:val="both"/>
        <w:rPr>
          <w:b/>
          <w:bCs/>
        </w:rPr>
      </w:pPr>
      <w:r>
        <w:rPr>
          <w:b/>
          <w:bCs/>
        </w:rPr>
        <w:t xml:space="preserve">5.3 </w:t>
      </w:r>
      <w:r w:rsidR="00BC3F42">
        <w:rPr>
          <w:b/>
          <w:bCs/>
        </w:rPr>
        <w:t>S</w:t>
      </w:r>
      <w:r w:rsidR="009B3C48" w:rsidRPr="009B3C48">
        <w:rPr>
          <w:b/>
          <w:bCs/>
        </w:rPr>
        <w:t xml:space="preserve">kill identification, training certification, and training incentivization within </w:t>
      </w:r>
      <w:r w:rsidR="0072393D" w:rsidRPr="009B3C48">
        <w:rPr>
          <w:b/>
          <w:bCs/>
        </w:rPr>
        <w:t>Corporate</w:t>
      </w:r>
      <w:r w:rsidR="00102477" w:rsidRPr="009B3C48">
        <w:rPr>
          <w:b/>
          <w:bCs/>
        </w:rPr>
        <w:t xml:space="preserve"> sector</w:t>
      </w:r>
    </w:p>
    <w:p w14:paraId="3EF5896E" w14:textId="379B8FF8" w:rsidR="00B238E9" w:rsidRDefault="002C0151" w:rsidP="00846F69">
      <w:pPr>
        <w:spacing w:line="480" w:lineRule="auto"/>
        <w:jc w:val="both"/>
      </w:pPr>
      <w:r>
        <w:br/>
      </w:r>
      <w:r w:rsidRPr="002C0151">
        <w:t>In a post-pandemic corporate landscape, skill identification</w:t>
      </w:r>
      <w:r>
        <w:t>, tr</w:t>
      </w:r>
      <w:r w:rsidRPr="002C0151">
        <w:t>aining certification</w:t>
      </w:r>
      <w:r>
        <w:t xml:space="preserve"> and </w:t>
      </w:r>
      <w:r w:rsidRPr="002C0151">
        <w:t>training incentivization</w:t>
      </w:r>
      <w:r w:rsidR="007A24FE">
        <w:t xml:space="preserve"> will play </w:t>
      </w:r>
      <w:r w:rsidRPr="002C0151">
        <w:t xml:space="preserve">a pivotal role by enabling organizations </w:t>
      </w:r>
      <w:r w:rsidR="007A24FE">
        <w:t xml:space="preserve">in Asian economies </w:t>
      </w:r>
      <w:r w:rsidRPr="002C0151">
        <w:t xml:space="preserve">to pinpoint essential competencies required for adaptability and resilience. </w:t>
      </w:r>
      <w:r w:rsidR="001E1589">
        <w:t xml:space="preserve">As businesses undergo </w:t>
      </w:r>
      <w:r w:rsidR="00A412AD">
        <w:t xml:space="preserve">transformation </w:t>
      </w:r>
      <w:r w:rsidR="001E1589" w:rsidRPr="001E1589">
        <w:t>in response to evolving market demands</w:t>
      </w:r>
      <w:r w:rsidR="001E1589">
        <w:t xml:space="preserve"> </w:t>
      </w:r>
      <w:r w:rsidR="007A24FE" w:rsidRPr="001E1589">
        <w:t xml:space="preserve">skill identification </w:t>
      </w:r>
      <w:r w:rsidR="001E1589">
        <w:t>becomes</w:t>
      </w:r>
      <w:r w:rsidR="007A24FE" w:rsidRPr="001E1589">
        <w:t xml:space="preserve"> paramount for organizational resilience and employee effectiveness</w:t>
      </w:r>
      <w:r w:rsidR="001E1589">
        <w:t xml:space="preserve"> (Tan et al., 2022).</w:t>
      </w:r>
      <w:r w:rsidR="00B238E9">
        <w:t xml:space="preserve"> </w:t>
      </w:r>
      <w:r w:rsidR="007A24FE" w:rsidRPr="001E1589">
        <w:t>Identifying emerging skills is essential to stay ahead of industry trends, enabling companies to proactively address skill gaps and capitalize on emerging oppor</w:t>
      </w:r>
      <w:r w:rsidR="007A24FE" w:rsidRPr="00A412AD">
        <w:t>tunitie</w:t>
      </w:r>
      <w:r w:rsidR="007A24FE" w:rsidRPr="001E1589">
        <w:t>s</w:t>
      </w:r>
      <w:r w:rsidR="00A412AD" w:rsidRPr="00A412AD">
        <w:t xml:space="preserve"> </w:t>
      </w:r>
      <w:r w:rsidR="00A412AD">
        <w:t>(</w:t>
      </w:r>
      <w:r w:rsidR="00A412AD" w:rsidRPr="00A412AD">
        <w:t xml:space="preserve">González-Pérez, </w:t>
      </w:r>
      <w:r w:rsidR="004261AA">
        <w:t xml:space="preserve">&amp; </w:t>
      </w:r>
      <w:r w:rsidR="00A412AD" w:rsidRPr="00A412AD">
        <w:t>Ramírez-Montoya, 2022</w:t>
      </w:r>
      <w:r w:rsidR="004261AA">
        <w:t>).</w:t>
      </w:r>
      <w:r w:rsidR="00B238E9">
        <w:t xml:space="preserve"> Also c</w:t>
      </w:r>
      <w:r w:rsidR="007A24FE" w:rsidRPr="001E1589">
        <w:t>ustomized training programs tailored to individual and organizational needs ensure that employees acquire the precise skills required for their roles</w:t>
      </w:r>
      <w:r w:rsidR="00B238E9">
        <w:t xml:space="preserve"> in a post-</w:t>
      </w:r>
      <w:r w:rsidR="00B238E9">
        <w:lastRenderedPageBreak/>
        <w:t xml:space="preserve">pandemic scenario in Asian </w:t>
      </w:r>
      <w:r w:rsidR="00882550">
        <w:t>countries,</w:t>
      </w:r>
      <w:r w:rsidR="007A24FE" w:rsidRPr="001E1589">
        <w:t xml:space="preserve"> fostering a workforce that is not only adaptable but also well-equipped to navigate the complexities of the new normal. </w:t>
      </w:r>
    </w:p>
    <w:p w14:paraId="6CA60D89" w14:textId="77777777" w:rsidR="00192153" w:rsidRDefault="00192153" w:rsidP="00846F69">
      <w:pPr>
        <w:spacing w:line="480" w:lineRule="auto"/>
        <w:jc w:val="both"/>
      </w:pPr>
    </w:p>
    <w:p w14:paraId="39623309" w14:textId="5893A86C" w:rsidR="00B238E9" w:rsidRDefault="00192153" w:rsidP="00846F69">
      <w:pPr>
        <w:spacing w:line="480" w:lineRule="auto"/>
        <w:jc w:val="both"/>
      </w:pPr>
      <w:r>
        <w:t xml:space="preserve">Moreover, </w:t>
      </w:r>
      <w:r w:rsidRPr="00192153">
        <w:t xml:space="preserve">post-pandemic scenario, </w:t>
      </w:r>
      <w:r>
        <w:t>t</w:t>
      </w:r>
      <w:r w:rsidRPr="00192153">
        <w:t xml:space="preserve">raining </w:t>
      </w:r>
      <w:r>
        <w:t>c</w:t>
      </w:r>
      <w:r w:rsidRPr="00192153">
        <w:t xml:space="preserve">ertification </w:t>
      </w:r>
      <w:r>
        <w:t xml:space="preserve">has the potential </w:t>
      </w:r>
      <w:r w:rsidRPr="00192153">
        <w:t xml:space="preserve">play a </w:t>
      </w:r>
      <w:r>
        <w:t xml:space="preserve">significant </w:t>
      </w:r>
      <w:r w:rsidRPr="00192153">
        <w:t xml:space="preserve">role in shaping a resilient and high-performing workforce. Firstly, </w:t>
      </w:r>
      <w:r w:rsidR="009E4A5E">
        <w:t>this helps i</w:t>
      </w:r>
      <w:r w:rsidR="002C7A8C">
        <w:t>n</w:t>
      </w:r>
      <w:r w:rsidRPr="00192153">
        <w:t xml:space="preserve"> measuring competenc</w:t>
      </w:r>
      <w:r w:rsidR="002C7A8C">
        <w:t xml:space="preserve">ies of the workplace in the new normal ensuring </w:t>
      </w:r>
      <w:r w:rsidRPr="00192153">
        <w:t xml:space="preserve">a consistent level of proficiency across the </w:t>
      </w:r>
      <w:r w:rsidR="002C7A8C">
        <w:t>industries in Asia (Ng</w:t>
      </w:r>
      <w:r w:rsidR="007A7560">
        <w:t xml:space="preserve"> et al., 2022).</w:t>
      </w:r>
      <w:r w:rsidRPr="00192153">
        <w:t xml:space="preserve"> Secondly, </w:t>
      </w:r>
      <w:r w:rsidR="00CF3343">
        <w:t>c</w:t>
      </w:r>
      <w:r w:rsidRPr="00192153">
        <w:t xml:space="preserve">ertification </w:t>
      </w:r>
      <w:r w:rsidR="00CF3343">
        <w:t xml:space="preserve">will </w:t>
      </w:r>
      <w:r w:rsidRPr="00192153">
        <w:t>bring about recognition and motivation</w:t>
      </w:r>
      <w:r w:rsidR="00CF3343">
        <w:t xml:space="preserve"> for the Asian workforce to </w:t>
      </w:r>
      <w:r w:rsidRPr="00192153">
        <w:t>continually invest in their professional growth</w:t>
      </w:r>
      <w:r w:rsidR="00CF3343">
        <w:t xml:space="preserve"> and resultant economic growth.</w:t>
      </w:r>
      <w:r w:rsidRPr="00192153">
        <w:t xml:space="preserve"> Thirdly, the inclusion of third-party validation adds an extra layer of credibility, </w:t>
      </w:r>
      <w:r w:rsidR="00E95108" w:rsidRPr="00192153">
        <w:t>enhanc</w:t>
      </w:r>
      <w:r w:rsidR="00E95108">
        <w:t>ing</w:t>
      </w:r>
      <w:r w:rsidR="00E95108" w:rsidRPr="00192153">
        <w:t xml:space="preserve"> the trustworthiness of the certification process, making it a valuable asset in the post-pandemic landscape</w:t>
      </w:r>
      <w:r w:rsidR="00573375">
        <w:t>(Reddy et al., 2021).</w:t>
      </w:r>
      <w:r w:rsidR="00E53427">
        <w:t xml:space="preserve"> </w:t>
      </w:r>
      <w:r w:rsidR="00A57286">
        <w:t>Furthermore,</w:t>
      </w:r>
      <w:r w:rsidR="00E53427">
        <w:t xml:space="preserve"> for fostering a </w:t>
      </w:r>
      <w:r w:rsidR="00E53427" w:rsidRPr="00E53427">
        <w:t>dynamic and responsive learning ecosystem</w:t>
      </w:r>
      <w:r w:rsidR="00E53427">
        <w:t xml:space="preserve"> in Asian economies, </w:t>
      </w:r>
      <w:r w:rsidR="00E53427" w:rsidRPr="00E53427">
        <w:t>incentivizing training providers is crucial</w:t>
      </w:r>
      <w:r w:rsidR="00ED4CF3">
        <w:t xml:space="preserve">. </w:t>
      </w:r>
      <w:r w:rsidR="00E53427" w:rsidRPr="00E53427">
        <w:t xml:space="preserve">Offering incentives to training providers </w:t>
      </w:r>
      <w:r w:rsidR="00ED4CF3">
        <w:t xml:space="preserve">might </w:t>
      </w:r>
      <w:r w:rsidR="00E53427" w:rsidRPr="00E53427">
        <w:t xml:space="preserve">serves as a catalyst for the development and delivery of high-quality, relevant courses that address the rapidly changing needs of the </w:t>
      </w:r>
      <w:r w:rsidR="00ED4CF3">
        <w:t xml:space="preserve">Asian </w:t>
      </w:r>
      <w:r w:rsidR="00E53427" w:rsidRPr="00E53427">
        <w:t>workforce</w:t>
      </w:r>
      <w:r w:rsidR="00ED4CF3">
        <w:t xml:space="preserve"> in a post-pandemic era (Zancajo et al., 2022).</w:t>
      </w:r>
      <w:r w:rsidR="00E53427" w:rsidRPr="00E53427">
        <w:t xml:space="preserve"> By aligning incentives with the strategic goals of post-pandemic recovery, </w:t>
      </w:r>
      <w:r w:rsidR="00272AEE">
        <w:t xml:space="preserve">Asain </w:t>
      </w:r>
      <w:r w:rsidR="00E53427" w:rsidRPr="00E53427">
        <w:t>organizations can build a collaborative and adaptive learning environment that contributes to the overall agility and competitiveness of the workforce.</w:t>
      </w:r>
      <w:r w:rsidR="00272AEE">
        <w:t xml:space="preserve"> In line with this, we propose:</w:t>
      </w:r>
    </w:p>
    <w:p w14:paraId="074CBA43" w14:textId="77777777" w:rsidR="00102477" w:rsidRDefault="00102477" w:rsidP="00102477">
      <w:pPr>
        <w:jc w:val="both"/>
        <w:rPr>
          <w:b/>
          <w:bCs/>
        </w:rPr>
      </w:pPr>
    </w:p>
    <w:p w14:paraId="25925596" w14:textId="77777777" w:rsidR="00102477" w:rsidRPr="002C0151" w:rsidRDefault="00102477" w:rsidP="00882550">
      <w:pPr>
        <w:spacing w:line="276" w:lineRule="auto"/>
        <w:ind w:left="567" w:right="379"/>
        <w:jc w:val="both"/>
        <w:rPr>
          <w:b/>
          <w:bCs/>
          <w:i/>
          <w:iCs/>
        </w:rPr>
      </w:pPr>
      <w:r w:rsidRPr="002C0151">
        <w:rPr>
          <w:b/>
          <w:bCs/>
          <w:i/>
          <w:iCs/>
        </w:rPr>
        <w:t xml:space="preserve">Proposition </w:t>
      </w:r>
      <w:r w:rsidR="0087515C" w:rsidRPr="002C0151">
        <w:rPr>
          <w:b/>
          <w:bCs/>
          <w:i/>
          <w:iCs/>
        </w:rPr>
        <w:t>3</w:t>
      </w:r>
      <w:r w:rsidR="0072393D" w:rsidRPr="002C0151">
        <w:rPr>
          <w:b/>
          <w:bCs/>
          <w:i/>
          <w:iCs/>
        </w:rPr>
        <w:t xml:space="preserve">: </w:t>
      </w:r>
      <w:r w:rsidR="0072393D" w:rsidRPr="002C0151">
        <w:t>Skill identification, training certification, and training incentivization assume great importance in the context of corporate sector change in a post-pandemic world in Asia</w:t>
      </w:r>
      <w:r w:rsidR="002C0151">
        <w:t>.</w:t>
      </w:r>
    </w:p>
    <w:p w14:paraId="79EA2CA3" w14:textId="77777777" w:rsidR="007175C4" w:rsidRDefault="007175C4" w:rsidP="00D712C8">
      <w:pPr>
        <w:rPr>
          <w:b/>
          <w:bCs/>
        </w:rPr>
      </w:pPr>
    </w:p>
    <w:p w14:paraId="27BF5E8E" w14:textId="77777777" w:rsidR="00BD0C93" w:rsidRPr="00ED070E" w:rsidRDefault="00BD0C93" w:rsidP="00BD0C93">
      <w:pPr>
        <w:rPr>
          <w:b/>
          <w:bCs/>
        </w:rPr>
      </w:pPr>
    </w:p>
    <w:p w14:paraId="739B3271" w14:textId="77777777" w:rsidR="00A91B90" w:rsidRDefault="00846F69" w:rsidP="00A91B90">
      <w:pPr>
        <w:jc w:val="both"/>
        <w:rPr>
          <w:b/>
          <w:bCs/>
        </w:rPr>
      </w:pPr>
      <w:r>
        <w:rPr>
          <w:b/>
          <w:bCs/>
        </w:rPr>
        <w:t xml:space="preserve">5.4 </w:t>
      </w:r>
      <w:r w:rsidR="00ED070E" w:rsidRPr="00ED070E">
        <w:rPr>
          <w:b/>
          <w:bCs/>
        </w:rPr>
        <w:t>Role of digitised education, teacher training &amp; support, inclusive education and quality assurance &amp; accreditation</w:t>
      </w:r>
    </w:p>
    <w:p w14:paraId="23EB167C" w14:textId="77777777" w:rsidR="00103004" w:rsidRDefault="00103004" w:rsidP="00A91B90">
      <w:pPr>
        <w:jc w:val="both"/>
        <w:rPr>
          <w:b/>
          <w:bCs/>
        </w:rPr>
      </w:pPr>
    </w:p>
    <w:p w14:paraId="0CCA4939" w14:textId="77777777" w:rsidR="00CB5584" w:rsidRDefault="00103004" w:rsidP="00846F69">
      <w:pPr>
        <w:spacing w:line="480" w:lineRule="auto"/>
        <w:jc w:val="both"/>
      </w:pPr>
      <w:r w:rsidRPr="00CA7A85">
        <w:t xml:space="preserve">We believe that , in the post pandemic scenario  </w:t>
      </w:r>
      <w:r w:rsidR="00E53D90" w:rsidRPr="00CA7A85">
        <w:t>digitized education, teacher training and support, inclusive education, and quality assurance &amp; accreditation</w:t>
      </w:r>
      <w:r w:rsidR="00CA7A85">
        <w:t xml:space="preserve"> will </w:t>
      </w:r>
      <w:r w:rsidR="00E53D90" w:rsidRPr="00CA7A85">
        <w:t xml:space="preserve"> play crucial roles in addressing the challenges and adapting to the new educational landscape</w:t>
      </w:r>
      <w:r w:rsidR="00CA7A85">
        <w:t xml:space="preserve"> in Asian economies. </w:t>
      </w:r>
      <w:r w:rsidR="00CA7A85">
        <w:lastRenderedPageBreak/>
        <w:t>While s</w:t>
      </w:r>
      <w:r w:rsidR="00CA7A85" w:rsidRPr="00CA7A85">
        <w:t>trategizing digitized education</w:t>
      </w:r>
      <w:r w:rsidR="003C5670">
        <w:t xml:space="preserve"> (i.e. </w:t>
      </w:r>
      <w:r w:rsidR="003C5670" w:rsidRPr="00CA7A85">
        <w:t>personalized learning experiences, enabled by digital tools</w:t>
      </w:r>
      <w:r w:rsidR="003C5670">
        <w:t>)</w:t>
      </w:r>
      <w:r w:rsidR="00503DBC">
        <w:t xml:space="preserve"> </w:t>
      </w:r>
      <w:r w:rsidR="003C5670">
        <w:t xml:space="preserve">will </w:t>
      </w:r>
      <w:r w:rsidR="00CA7A85" w:rsidRPr="00CA7A85">
        <w:t>enhance</w:t>
      </w:r>
      <w:r w:rsidR="003C5670">
        <w:t xml:space="preserve"> the </w:t>
      </w:r>
      <w:r w:rsidR="00CA7A85" w:rsidRPr="00CA7A85">
        <w:t>accessibility, reaching students in diverse locations and mitigating disparities in educational opportunities</w:t>
      </w:r>
      <w:r w:rsidR="003C5670">
        <w:t xml:space="preserve"> (Pit</w:t>
      </w:r>
      <w:r w:rsidR="00503DBC">
        <w:t>t</w:t>
      </w:r>
      <w:r w:rsidR="003C5670">
        <w:t xml:space="preserve">man et al., 2021), </w:t>
      </w:r>
      <w:r w:rsidR="00503DBC">
        <w:t xml:space="preserve">a </w:t>
      </w:r>
      <w:r w:rsidR="00503DBC" w:rsidRPr="00503DBC">
        <w:t>well-trained and supported teaching workforce is essential for the successful implementation of innovative pedagogies and digital learning methods, fostering a more skilled and adaptable future workforce</w:t>
      </w:r>
      <w:r w:rsidR="00503DBC">
        <w:t xml:space="preserve"> </w:t>
      </w:r>
      <w:r w:rsidR="00503DBC" w:rsidRPr="00503DBC">
        <w:t xml:space="preserve">that </w:t>
      </w:r>
      <w:r w:rsidR="00503DBC">
        <w:t xml:space="preserve">will </w:t>
      </w:r>
      <w:r w:rsidR="00503DBC" w:rsidRPr="00503DBC">
        <w:t>pay dividends in the form of a more resilient and competitive econom</w:t>
      </w:r>
      <w:r w:rsidR="00503DBC">
        <w:t>ies across Asia</w:t>
      </w:r>
      <w:r w:rsidR="00244A3B">
        <w:t xml:space="preserve"> (Aderibigbe et al., 2023).</w:t>
      </w:r>
      <w:r w:rsidR="0060056D">
        <w:t xml:space="preserve"> Further, </w:t>
      </w:r>
      <w:r w:rsidR="001F7CEE">
        <w:t>s</w:t>
      </w:r>
      <w:r w:rsidR="0060056D" w:rsidRPr="0060056D">
        <w:t xml:space="preserve">trategizing inclusive education in the post-pandemic era for </w:t>
      </w:r>
      <w:r w:rsidR="001F7CEE">
        <w:t xml:space="preserve">Asian </w:t>
      </w:r>
      <w:r w:rsidR="0060056D" w:rsidRPr="0060056D">
        <w:t xml:space="preserve">economies </w:t>
      </w:r>
      <w:r w:rsidR="001F7CEE">
        <w:t xml:space="preserve">require </w:t>
      </w:r>
      <w:r w:rsidR="0060056D" w:rsidRPr="0060056D">
        <w:t>a multifaceted approach</w:t>
      </w:r>
      <w:r w:rsidR="001F7CEE">
        <w:t xml:space="preserve"> that should involve an evaluation and </w:t>
      </w:r>
      <w:r w:rsidR="0060056D" w:rsidRPr="0060056D">
        <w:t xml:space="preserve">thorough assessment of the existing educational landscape, identifying barriers to inclusivity. </w:t>
      </w:r>
      <w:r w:rsidR="001F7CEE">
        <w:t xml:space="preserve">There is </w:t>
      </w:r>
      <w:r w:rsidR="0060056D" w:rsidRPr="0060056D">
        <w:t xml:space="preserve">a critical need for policy development and reform </w:t>
      </w:r>
      <w:r w:rsidR="001F7CEE">
        <w:t xml:space="preserve">on the part of Asian education policy makers </w:t>
      </w:r>
      <w:r w:rsidR="0060056D" w:rsidRPr="0060056D">
        <w:t>to explicitly support inclusive practices, ensuring that diverse learners, including those with disabilities, are accommodated. Community engagement and awareness initiative</w:t>
      </w:r>
      <w:r w:rsidR="00053E79">
        <w:t xml:space="preserve"> will </w:t>
      </w:r>
      <w:r w:rsidR="0060056D" w:rsidRPr="0060056D">
        <w:t xml:space="preserve">play a pivotal role, fostering collaboration between </w:t>
      </w:r>
      <w:r w:rsidR="00053E79">
        <w:t>institutions, industry</w:t>
      </w:r>
      <w:r w:rsidR="0060056D" w:rsidRPr="0060056D">
        <w:t xml:space="preserve">, parents, and communities to create a more </w:t>
      </w:r>
      <w:r w:rsidR="004B6CB2">
        <w:t xml:space="preserve">culturally </w:t>
      </w:r>
      <w:r w:rsidR="0060056D" w:rsidRPr="0060056D">
        <w:t>inclusive educational ecosystem</w:t>
      </w:r>
      <w:r w:rsidR="004B6CB2">
        <w:t xml:space="preserve"> for </w:t>
      </w:r>
      <w:r w:rsidR="00053E79">
        <w:t xml:space="preserve">sustenance </w:t>
      </w:r>
      <w:r w:rsidR="004B6CB2">
        <w:t>(McWayne et al., 2022).</w:t>
      </w:r>
      <w:r w:rsidR="006D2420">
        <w:t xml:space="preserve"> </w:t>
      </w:r>
    </w:p>
    <w:p w14:paraId="4767CFB2" w14:textId="77777777" w:rsidR="00CB5584" w:rsidRDefault="00CB5584" w:rsidP="00846F69">
      <w:pPr>
        <w:spacing w:line="480" w:lineRule="auto"/>
        <w:jc w:val="both"/>
      </w:pPr>
    </w:p>
    <w:p w14:paraId="7497BE25" w14:textId="77777777" w:rsidR="00053E79" w:rsidRDefault="006D2420" w:rsidP="00846F69">
      <w:pPr>
        <w:spacing w:line="480" w:lineRule="auto"/>
        <w:jc w:val="both"/>
      </w:pPr>
      <w:r>
        <w:t xml:space="preserve">Moreover, </w:t>
      </w:r>
      <w:r w:rsidRPr="006D2420">
        <w:t xml:space="preserve">quality assurance and accreditation in education are paramount for the development of </w:t>
      </w:r>
      <w:r>
        <w:t xml:space="preserve">Asian </w:t>
      </w:r>
      <w:r w:rsidRPr="006D2420">
        <w:t>economies in the developing world</w:t>
      </w:r>
      <w:r w:rsidR="00FE68BE">
        <w:t xml:space="preserve"> </w:t>
      </w:r>
      <w:r w:rsidR="00FE68BE" w:rsidRPr="00FE68BE">
        <w:t>the new normal in post-crisis era</w:t>
      </w:r>
      <w:r w:rsidR="00FE68BE">
        <w:t xml:space="preserve"> (Ngo &amp; Phan, 2023).</w:t>
      </w:r>
      <w:r w:rsidR="00657D8C">
        <w:t xml:space="preserve"> These assurance measures </w:t>
      </w:r>
      <w:r w:rsidRPr="006D2420">
        <w:t xml:space="preserve">become particularly vital as </w:t>
      </w:r>
      <w:r w:rsidR="00657D8C">
        <w:t xml:space="preserve">different Asian </w:t>
      </w:r>
      <w:r w:rsidRPr="006D2420">
        <w:t xml:space="preserve">economies strive to recover and adapt to new educational paradigms post-pandemic. A focus on quality assurance and accreditation not only </w:t>
      </w:r>
      <w:r w:rsidR="00665374">
        <w:t xml:space="preserve">will </w:t>
      </w:r>
      <w:r w:rsidRPr="006D2420">
        <w:t xml:space="preserve">enhance the overall reputation of </w:t>
      </w:r>
      <w:r w:rsidR="00665374">
        <w:t xml:space="preserve">Asian </w:t>
      </w:r>
      <w:r w:rsidRPr="006D2420">
        <w:t xml:space="preserve">educational institutions </w:t>
      </w:r>
      <w:r w:rsidR="00665374">
        <w:t xml:space="preserve">around globe, </w:t>
      </w:r>
      <w:r w:rsidRPr="006D2420">
        <w:t xml:space="preserve">but </w:t>
      </w:r>
      <w:r w:rsidR="00665374">
        <w:t xml:space="preserve">will </w:t>
      </w:r>
      <w:r w:rsidRPr="006D2420">
        <w:t xml:space="preserve">also </w:t>
      </w:r>
      <w:r w:rsidR="00665374" w:rsidRPr="006D2420">
        <w:t>instil</w:t>
      </w:r>
      <w:r w:rsidRPr="006D2420">
        <w:t xml:space="preserve"> confidence in the workforce, contributing to economic growth by producing a skilled and competitive </w:t>
      </w:r>
      <w:r w:rsidR="00665374" w:rsidRPr="006D2420">
        <w:t>labour</w:t>
      </w:r>
      <w:r w:rsidRPr="006D2420">
        <w:t xml:space="preserve"> force</w:t>
      </w:r>
      <w:r w:rsidR="00665374">
        <w:t xml:space="preserve"> (Komotar et al., 2020).</w:t>
      </w:r>
      <w:r w:rsidR="003E297B">
        <w:t xml:space="preserve"> Thus adherence to above mentioned points may result in </w:t>
      </w:r>
      <w:r w:rsidRPr="006D2420">
        <w:t xml:space="preserve">high-quality educational standards </w:t>
      </w:r>
      <w:r w:rsidR="003E297B">
        <w:t xml:space="preserve">that will </w:t>
      </w:r>
      <w:r w:rsidRPr="006D2420">
        <w:t xml:space="preserve">attract investment and collaboration, positioning developing economies on a trajectory </w:t>
      </w:r>
      <w:r w:rsidRPr="006D2420">
        <w:lastRenderedPageBreak/>
        <w:t>towards sustainable development in the aftermath of global disruption</w:t>
      </w:r>
      <w:r w:rsidR="003E297B">
        <w:t>. Thus, the following proposition:</w:t>
      </w:r>
    </w:p>
    <w:p w14:paraId="7C669383" w14:textId="77777777" w:rsidR="00053E79" w:rsidRDefault="00053E79" w:rsidP="00A91B90">
      <w:pPr>
        <w:jc w:val="both"/>
      </w:pPr>
    </w:p>
    <w:p w14:paraId="06361562" w14:textId="77777777" w:rsidR="00A91B90" w:rsidRDefault="00A91B90" w:rsidP="00A91B90">
      <w:pPr>
        <w:jc w:val="both"/>
        <w:rPr>
          <w:b/>
          <w:bCs/>
        </w:rPr>
      </w:pPr>
    </w:p>
    <w:p w14:paraId="63DF0FC4" w14:textId="77777777" w:rsidR="00A91B90" w:rsidRDefault="00A91B90" w:rsidP="00882550">
      <w:pPr>
        <w:spacing w:line="276" w:lineRule="auto"/>
        <w:ind w:left="567" w:right="379"/>
        <w:jc w:val="both"/>
      </w:pPr>
      <w:r w:rsidRPr="00FD2D0F">
        <w:rPr>
          <w:b/>
          <w:bCs/>
          <w:i/>
          <w:iCs/>
        </w:rPr>
        <w:t xml:space="preserve">Proposition </w:t>
      </w:r>
      <w:r w:rsidR="0087515C" w:rsidRPr="00FD2D0F">
        <w:rPr>
          <w:b/>
          <w:bCs/>
          <w:i/>
          <w:iCs/>
        </w:rPr>
        <w:t>4</w:t>
      </w:r>
      <w:r w:rsidRPr="00FD2D0F">
        <w:rPr>
          <w:b/>
          <w:bCs/>
          <w:i/>
          <w:iCs/>
        </w:rPr>
        <w:t xml:space="preserve">: </w:t>
      </w:r>
      <w:r w:rsidR="0050036C" w:rsidRPr="00FD2D0F">
        <w:t>Digi</w:t>
      </w:r>
      <w:r w:rsidR="00CA7A85">
        <w:t xml:space="preserve">tised </w:t>
      </w:r>
      <w:r w:rsidR="0050036C" w:rsidRPr="00FD2D0F">
        <w:t>education,</w:t>
      </w:r>
      <w:r w:rsidR="008052A3" w:rsidRPr="00FD2D0F">
        <w:t xml:space="preserve"> teacher </w:t>
      </w:r>
      <w:r w:rsidR="004509A7" w:rsidRPr="00FD2D0F">
        <w:t>training</w:t>
      </w:r>
      <w:r w:rsidR="008052A3" w:rsidRPr="00FD2D0F">
        <w:t xml:space="preserve"> and support</w:t>
      </w:r>
      <w:r w:rsidR="004509A7" w:rsidRPr="00FD2D0F">
        <w:t>, inclusive education and quality assurance and accreditation</w:t>
      </w:r>
      <w:r w:rsidR="00FD2D0F">
        <w:t xml:space="preserve"> </w:t>
      </w:r>
      <w:r w:rsidR="007605CE" w:rsidRPr="00FD2D0F">
        <w:t xml:space="preserve">assume much </w:t>
      </w:r>
      <w:r w:rsidR="003E297B">
        <w:t xml:space="preserve">importance for  a positive </w:t>
      </w:r>
      <w:r w:rsidR="003E297B" w:rsidRPr="006D2420">
        <w:t xml:space="preserve">trajectory towards </w:t>
      </w:r>
      <w:r w:rsidR="000348F0">
        <w:t xml:space="preserve">Asian </w:t>
      </w:r>
      <w:r w:rsidR="003E297B" w:rsidRPr="006D2420">
        <w:t>sustainable development in the aftermath of global disruption</w:t>
      </w:r>
      <w:r w:rsidR="000348F0">
        <w:t>.</w:t>
      </w:r>
    </w:p>
    <w:p w14:paraId="7F6CB0C2" w14:textId="77777777" w:rsidR="00B669C9" w:rsidRDefault="00B669C9" w:rsidP="00FD2D0F">
      <w:pPr>
        <w:ind w:left="567" w:right="379"/>
        <w:jc w:val="both"/>
      </w:pPr>
    </w:p>
    <w:p w14:paraId="07C60B86" w14:textId="77777777" w:rsidR="00597B0C" w:rsidRDefault="00597B0C" w:rsidP="00FD2D0F">
      <w:pPr>
        <w:ind w:left="567" w:right="379"/>
        <w:jc w:val="both"/>
        <w:rPr>
          <w:b/>
          <w:bCs/>
          <w:i/>
          <w:iCs/>
        </w:rPr>
      </w:pPr>
    </w:p>
    <w:p w14:paraId="53B4CFB2" w14:textId="2F190756" w:rsidR="00597B0C" w:rsidRDefault="00846F69" w:rsidP="00B669C9">
      <w:pPr>
        <w:jc w:val="both"/>
        <w:rPr>
          <w:b/>
          <w:bCs/>
        </w:rPr>
      </w:pPr>
      <w:r>
        <w:rPr>
          <w:b/>
          <w:bCs/>
        </w:rPr>
        <w:t xml:space="preserve">5.5 </w:t>
      </w:r>
      <w:r w:rsidR="00597B0C" w:rsidRPr="00B669C9">
        <w:rPr>
          <w:b/>
          <w:bCs/>
        </w:rPr>
        <w:t xml:space="preserve">Regional Innovation System (RIS) </w:t>
      </w:r>
      <w:r>
        <w:rPr>
          <w:b/>
          <w:bCs/>
        </w:rPr>
        <w:t>for sustaining Asian business</w:t>
      </w:r>
      <w:r w:rsidR="00597B0C" w:rsidRPr="00B669C9">
        <w:rPr>
          <w:b/>
          <w:bCs/>
        </w:rPr>
        <w:t xml:space="preserve"> </w:t>
      </w:r>
    </w:p>
    <w:p w14:paraId="5A90CC75" w14:textId="77777777" w:rsidR="004065A8" w:rsidRDefault="00386E0A" w:rsidP="00846F69">
      <w:pPr>
        <w:spacing w:line="480" w:lineRule="auto"/>
        <w:jc w:val="both"/>
      </w:pPr>
      <w:r>
        <w:br/>
      </w:r>
      <w:r w:rsidRPr="00386E0A">
        <w:t xml:space="preserve">The role of a robust regional innovation ecosystem is pivotal in sustaining economies in a post-pandemic era. </w:t>
      </w:r>
      <w:r w:rsidR="00E62CDB" w:rsidRPr="00E62CDB">
        <w:t xml:space="preserve">The collaboration among academia, industry, and government within the Triple Helix model </w:t>
      </w:r>
      <w:r w:rsidR="00E62CDB">
        <w:t>would be instrumental in</w:t>
      </w:r>
      <w:r w:rsidR="00E62CDB" w:rsidRPr="00E62CDB">
        <w:t xml:space="preserve"> innovation, leading to the development of resilient solutions for economic challenges.</w:t>
      </w:r>
      <w:r w:rsidR="00E76D62">
        <w:t xml:space="preserve"> Firstly, the knowledge exchange among all the triple helix partners </w:t>
      </w:r>
      <w:r w:rsidR="00E76D62" w:rsidRPr="00E76D62">
        <w:t>is crucial for fostering a dynamic and thriving regional innovation ecosystem. Th</w:t>
      </w:r>
      <w:r w:rsidR="00E76D62">
        <w:t>e</w:t>
      </w:r>
      <w:r w:rsidR="00E76D62" w:rsidRPr="00E76D62">
        <w:t xml:space="preserve"> continuous exchange of knowledge </w:t>
      </w:r>
      <w:r w:rsidR="00E76D62">
        <w:t xml:space="preserve">has the capacity to </w:t>
      </w:r>
      <w:r w:rsidR="00E76D62" w:rsidRPr="00E76D62">
        <w:t>stimulate creativity, problem-solving, and the development of new ideas</w:t>
      </w:r>
      <w:r w:rsidR="004065A8">
        <w:t xml:space="preserve"> that will enhance </w:t>
      </w:r>
      <w:r w:rsidR="00E76D62" w:rsidRPr="00E76D62">
        <w:t>adaptability of businesses to changing economic landscapes</w:t>
      </w:r>
      <w:r w:rsidR="004065A8">
        <w:t xml:space="preserve"> and make them resilient towards </w:t>
      </w:r>
      <w:r w:rsidR="00E76D62" w:rsidRPr="00E76D62">
        <w:t>address</w:t>
      </w:r>
      <w:r w:rsidR="004065A8">
        <w:t>ing</w:t>
      </w:r>
      <w:r w:rsidR="00E76D62" w:rsidRPr="00E76D62">
        <w:t xml:space="preserve"> challenges, drive economic growth, and ensure sustained innovation in a rapidly evolving post-pandemic era</w:t>
      </w:r>
      <w:r w:rsidR="004065A8">
        <w:t xml:space="preserve"> (Tucker et al</w:t>
      </w:r>
      <w:r w:rsidR="000878AF">
        <w:t>., 2023).</w:t>
      </w:r>
      <w:r w:rsidR="002D6A2C" w:rsidRPr="002D6A2C">
        <w:t>Cluster</w:t>
      </w:r>
      <w:r w:rsidR="002D6A2C">
        <w:t xml:space="preserve"> development</w:t>
      </w:r>
      <w:r w:rsidR="002D6A2C" w:rsidRPr="002D6A2C">
        <w:t xml:space="preserve"> representing collaborative networks of businesses, research institutions, and government bodies</w:t>
      </w:r>
      <w:r w:rsidR="002D6A2C">
        <w:t xml:space="preserve"> will be the need of the hour to </w:t>
      </w:r>
      <w:r w:rsidR="002D6A2C" w:rsidRPr="002D6A2C">
        <w:t xml:space="preserve">facilitate knowledge exchange, allowing research findings from academic institutions to inform industry practices and government </w:t>
      </w:r>
      <w:r w:rsidR="00F957A0" w:rsidRPr="002D6A2C">
        <w:t>policies</w:t>
      </w:r>
      <w:r w:rsidR="005629CC">
        <w:t xml:space="preserve"> (Pan &amp; Guo., 2022).</w:t>
      </w:r>
      <w:r w:rsidR="00F957A0">
        <w:t xml:space="preserve"> </w:t>
      </w:r>
      <w:r w:rsidR="00123343">
        <w:t xml:space="preserve">Moreover, R&amp;D efforts aiming at research that </w:t>
      </w:r>
      <w:r w:rsidR="006F48FF" w:rsidRPr="006F48FF">
        <w:t>is not confined to academic realms but actively informs industry practices and government policies</w:t>
      </w:r>
      <w:r w:rsidR="00123343">
        <w:t xml:space="preserve"> will help in </w:t>
      </w:r>
      <w:r w:rsidR="006F48FF" w:rsidRPr="006F48FF">
        <w:t>leading to</w:t>
      </w:r>
      <w:r w:rsidR="00123343">
        <w:t xml:space="preserve"> </w:t>
      </w:r>
      <w:r w:rsidR="006F48FF" w:rsidRPr="006F48FF">
        <w:t xml:space="preserve">a dynamic and adaptive regional innovation ecosystem that is well-positioned for sustained growth in </w:t>
      </w:r>
      <w:r w:rsidR="0062018D">
        <w:t>Asia in t</w:t>
      </w:r>
      <w:r w:rsidR="006F48FF" w:rsidRPr="006F48FF">
        <w:t>he post-pandemic landscape.</w:t>
      </w:r>
      <w:r w:rsidR="0062018D">
        <w:t xml:space="preserve"> Last but not least, </w:t>
      </w:r>
      <w:r w:rsidR="00E22285">
        <w:t>g</w:t>
      </w:r>
      <w:r w:rsidR="00F957A0" w:rsidRPr="00E22285">
        <w:t xml:space="preserve">lobal engagement and integration within the Triple Helix framework </w:t>
      </w:r>
      <w:r w:rsidR="00E22285">
        <w:t xml:space="preserve">might be the key to </w:t>
      </w:r>
      <w:r w:rsidR="00F957A0" w:rsidRPr="00E22285">
        <w:lastRenderedPageBreak/>
        <w:t xml:space="preserve">exchange of diverse perspectives, cutting-edge research, and technological advancements. </w:t>
      </w:r>
      <w:r w:rsidR="00E22285">
        <w:t xml:space="preserve">Given that the challenges posed by pandemic were </w:t>
      </w:r>
      <w:r w:rsidR="005916E6">
        <w:t xml:space="preserve">largely </w:t>
      </w:r>
      <w:r w:rsidR="00F957A0" w:rsidRPr="00E22285">
        <w:t xml:space="preserve">interconnected, </w:t>
      </w:r>
      <w:r w:rsidR="005916E6">
        <w:t xml:space="preserve">thus </w:t>
      </w:r>
      <w:r w:rsidR="00F957A0" w:rsidRPr="00E22285">
        <w:t xml:space="preserve">global engagement within the </w:t>
      </w:r>
      <w:r w:rsidR="005916E6">
        <w:t>t</w:t>
      </w:r>
      <w:r w:rsidR="00F957A0" w:rsidRPr="00E22285">
        <w:t xml:space="preserve">riple Helix framework </w:t>
      </w:r>
      <w:r w:rsidR="005916E6">
        <w:t xml:space="preserve">can </w:t>
      </w:r>
      <w:r w:rsidR="00F957A0" w:rsidRPr="00E22285">
        <w:t xml:space="preserve">become a </w:t>
      </w:r>
      <w:r w:rsidR="005916E6">
        <w:t xml:space="preserve">major </w:t>
      </w:r>
      <w:r w:rsidR="00F957A0" w:rsidRPr="00E22285">
        <w:t>catalyst for addressing complex issues, harnessing a collective intelligence that transcends regional boundaries</w:t>
      </w:r>
      <w:r w:rsidR="005916E6">
        <w:t xml:space="preserve"> and </w:t>
      </w:r>
      <w:r w:rsidR="00F957A0" w:rsidRPr="00E22285">
        <w:t>bolsters the resilience of the regional innovation ecosystem</w:t>
      </w:r>
      <w:r w:rsidR="005916E6">
        <w:t xml:space="preserve">. </w:t>
      </w:r>
    </w:p>
    <w:p w14:paraId="00009AD2" w14:textId="77777777" w:rsidR="004065A8" w:rsidRPr="00E76D62" w:rsidRDefault="004065A8" w:rsidP="00B669C9">
      <w:pPr>
        <w:jc w:val="both"/>
      </w:pPr>
    </w:p>
    <w:p w14:paraId="3240167F" w14:textId="77777777" w:rsidR="00EF2187" w:rsidRPr="00DE56C3" w:rsidRDefault="00EF2187" w:rsidP="00DE56C3">
      <w:pPr>
        <w:ind w:left="567" w:right="379"/>
        <w:jc w:val="both"/>
        <w:rPr>
          <w:b/>
          <w:bCs/>
          <w:i/>
          <w:iCs/>
        </w:rPr>
      </w:pPr>
    </w:p>
    <w:p w14:paraId="5FABE66B" w14:textId="77777777" w:rsidR="00EF2187" w:rsidRPr="006E0AAD" w:rsidRDefault="0001382D" w:rsidP="00882550">
      <w:pPr>
        <w:spacing w:line="276" w:lineRule="auto"/>
        <w:ind w:left="567" w:right="379"/>
        <w:jc w:val="both"/>
      </w:pPr>
      <w:r w:rsidRPr="00DE56C3">
        <w:rPr>
          <w:b/>
          <w:bCs/>
          <w:i/>
          <w:iCs/>
        </w:rPr>
        <w:t xml:space="preserve">Proposition </w:t>
      </w:r>
      <w:r w:rsidR="0087515C" w:rsidRPr="00DE56C3">
        <w:rPr>
          <w:b/>
          <w:bCs/>
          <w:i/>
          <w:iCs/>
        </w:rPr>
        <w:t>5</w:t>
      </w:r>
      <w:r w:rsidRPr="00DE56C3">
        <w:rPr>
          <w:b/>
          <w:bCs/>
          <w:i/>
          <w:iCs/>
        </w:rPr>
        <w:t xml:space="preserve">: </w:t>
      </w:r>
      <w:r w:rsidRPr="00DE56C3">
        <w:t xml:space="preserve">The </w:t>
      </w:r>
      <w:r w:rsidR="00A74932" w:rsidRPr="00DE56C3">
        <w:t>Regional Innovation System</w:t>
      </w:r>
      <w:r w:rsidR="00B2599F" w:rsidRPr="00DE56C3">
        <w:t xml:space="preserve"> </w:t>
      </w:r>
      <w:r w:rsidR="00A74932" w:rsidRPr="00DE56C3">
        <w:t>(RIS)</w:t>
      </w:r>
      <w:r w:rsidRPr="00DE56C3">
        <w:t xml:space="preserve"> </w:t>
      </w:r>
      <w:r w:rsidR="006E0AAD">
        <w:t xml:space="preserve">comprising </w:t>
      </w:r>
      <w:r w:rsidR="006E0AAD" w:rsidRPr="00DE56C3">
        <w:t>synerg</w:t>
      </w:r>
      <w:r w:rsidR="006E0AAD">
        <w:t>etic efforts</w:t>
      </w:r>
      <w:r w:rsidR="006E0AAD" w:rsidRPr="00DE56C3">
        <w:t xml:space="preserve"> </w:t>
      </w:r>
      <w:r w:rsidR="006E0AAD">
        <w:t>among</w:t>
      </w:r>
      <w:r w:rsidR="006E0AAD" w:rsidRPr="00DE56C3">
        <w:t xml:space="preserve"> universities, industry, and government</w:t>
      </w:r>
      <w:r w:rsidR="006E0AAD">
        <w:t xml:space="preserve"> (</w:t>
      </w:r>
      <w:r w:rsidRPr="00DE56C3">
        <w:t>Triple Helix framework</w:t>
      </w:r>
      <w:r w:rsidR="006E0AAD">
        <w:t xml:space="preserve">) has the potential </w:t>
      </w:r>
      <w:r w:rsidRPr="00DE56C3">
        <w:t xml:space="preserve">to </w:t>
      </w:r>
      <w:r w:rsidR="00F86802" w:rsidRPr="00DE56C3">
        <w:t>sustain business</w:t>
      </w:r>
      <w:r w:rsidR="00DE56C3" w:rsidRPr="00DE56C3">
        <w:t>es</w:t>
      </w:r>
      <w:r w:rsidR="00F86802" w:rsidRPr="00DE56C3">
        <w:t xml:space="preserve"> in post-pandemic Asia</w:t>
      </w:r>
      <w:r w:rsidR="00386E0A">
        <w:t>.</w:t>
      </w:r>
    </w:p>
    <w:p w14:paraId="60B38E28" w14:textId="77777777" w:rsidR="00386E0A" w:rsidRDefault="00386E0A" w:rsidP="00DE56C3">
      <w:pPr>
        <w:ind w:left="567" w:right="379"/>
        <w:jc w:val="both"/>
        <w:rPr>
          <w:b/>
          <w:bCs/>
          <w:i/>
          <w:iCs/>
        </w:rPr>
      </w:pPr>
    </w:p>
    <w:p w14:paraId="636174F6" w14:textId="77777777" w:rsidR="00386E0A" w:rsidRDefault="00386E0A" w:rsidP="00DE56C3">
      <w:pPr>
        <w:ind w:left="567" w:right="379"/>
        <w:jc w:val="both"/>
        <w:rPr>
          <w:b/>
          <w:bCs/>
          <w:i/>
          <w:iCs/>
        </w:rPr>
      </w:pPr>
    </w:p>
    <w:p w14:paraId="2CD0F8CE" w14:textId="77777777" w:rsidR="00386E0A" w:rsidRDefault="00386E0A" w:rsidP="00DE56C3">
      <w:pPr>
        <w:ind w:left="567" w:right="379"/>
        <w:jc w:val="both"/>
        <w:rPr>
          <w:b/>
          <w:bCs/>
          <w:i/>
          <w:iCs/>
        </w:rPr>
      </w:pPr>
    </w:p>
    <w:p w14:paraId="67E5BED7" w14:textId="77777777" w:rsidR="00386E0A" w:rsidRDefault="00DB0152" w:rsidP="00846F69">
      <w:pPr>
        <w:spacing w:line="276" w:lineRule="auto"/>
        <w:jc w:val="both"/>
        <w:rPr>
          <w:b/>
          <w:bCs/>
        </w:rPr>
      </w:pPr>
      <w:r>
        <w:rPr>
          <w:b/>
          <w:bCs/>
        </w:rPr>
        <w:t>6.</w:t>
      </w:r>
      <w:r w:rsidR="00846F69" w:rsidRPr="00846F69">
        <w:rPr>
          <w:b/>
          <w:bCs/>
        </w:rPr>
        <w:t xml:space="preserve">Conclusion </w:t>
      </w:r>
    </w:p>
    <w:p w14:paraId="2EEE3D5F" w14:textId="77777777" w:rsidR="00F8336A" w:rsidRDefault="00F8336A" w:rsidP="00846F69">
      <w:pPr>
        <w:spacing w:line="276" w:lineRule="auto"/>
        <w:jc w:val="both"/>
        <w:rPr>
          <w:b/>
          <w:bCs/>
        </w:rPr>
      </w:pPr>
    </w:p>
    <w:p w14:paraId="15BA548A" w14:textId="1CC6EDC9" w:rsidR="009A1DA3" w:rsidRDefault="00F8336A" w:rsidP="00F2459F">
      <w:pPr>
        <w:spacing w:line="480" w:lineRule="auto"/>
        <w:jc w:val="both"/>
      </w:pPr>
      <w:r w:rsidRPr="00E2227E">
        <w:rPr>
          <w:rFonts w:eastAsiaTheme="minorHAnsi"/>
          <w:kern w:val="2"/>
          <w:sz w:val="22"/>
          <w:szCs w:val="22"/>
          <w:lang w:val="en-GB" w:eastAsia="en-US"/>
          <w14:ligatures w14:val="standardContextual"/>
        </w:rPr>
        <w:t xml:space="preserve">Given the importance of </w:t>
      </w:r>
      <w:r w:rsidR="006777A9" w:rsidRPr="00E2227E">
        <w:rPr>
          <w:rFonts w:eastAsiaTheme="minorHAnsi"/>
          <w:kern w:val="2"/>
          <w:sz w:val="22"/>
          <w:szCs w:val="22"/>
          <w:lang w:val="en-GB" w:eastAsia="en-US"/>
          <w14:ligatures w14:val="standardContextual"/>
        </w:rPr>
        <w:t xml:space="preserve">paradigm shifts and adjustments </w:t>
      </w:r>
      <w:r w:rsidR="00083DA5" w:rsidRPr="00E2227E">
        <w:rPr>
          <w:rFonts w:eastAsiaTheme="minorHAnsi"/>
          <w:kern w:val="2"/>
          <w:sz w:val="22"/>
          <w:szCs w:val="22"/>
          <w:lang w:val="en-GB" w:eastAsia="en-US"/>
          <w14:ligatures w14:val="standardContextual"/>
        </w:rPr>
        <w:t>in business models during and after Covid-19, this special issue</w:t>
      </w:r>
      <w:r w:rsidR="00801D9F" w:rsidRPr="00E2227E">
        <w:rPr>
          <w:rFonts w:eastAsiaTheme="minorHAnsi"/>
          <w:kern w:val="2"/>
          <w:sz w:val="22"/>
          <w:szCs w:val="22"/>
          <w:lang w:val="en-GB" w:eastAsia="en-US"/>
          <w14:ligatures w14:val="standardContextual"/>
        </w:rPr>
        <w:t xml:space="preserve"> assesses and compare the difference before </w:t>
      </w:r>
      <w:r w:rsidRPr="00E2227E">
        <w:rPr>
          <w:rFonts w:eastAsiaTheme="minorHAnsi"/>
          <w:kern w:val="2"/>
          <w:sz w:val="22"/>
          <w:szCs w:val="22"/>
          <w:lang w:val="en-GB" w:eastAsia="en-US"/>
          <w14:ligatures w14:val="standardContextual"/>
        </w:rPr>
        <w:t xml:space="preserve">and </w:t>
      </w:r>
      <w:r w:rsidR="00801D9F" w:rsidRPr="00E2227E">
        <w:rPr>
          <w:rFonts w:eastAsiaTheme="minorHAnsi"/>
          <w:kern w:val="2"/>
          <w:sz w:val="22"/>
          <w:szCs w:val="22"/>
          <w:lang w:val="en-GB" w:eastAsia="en-US"/>
          <w14:ligatures w14:val="standardContextual"/>
        </w:rPr>
        <w:t xml:space="preserve">after the </w:t>
      </w:r>
      <w:r w:rsidR="002E6D78" w:rsidRPr="00E2227E">
        <w:rPr>
          <w:rFonts w:eastAsiaTheme="minorHAnsi"/>
          <w:kern w:val="2"/>
          <w:sz w:val="22"/>
          <w:szCs w:val="22"/>
          <w:lang w:val="en-GB" w:eastAsia="en-US"/>
          <w14:ligatures w14:val="standardContextual"/>
        </w:rPr>
        <w:t xml:space="preserve">pandemic to capture the essence of </w:t>
      </w:r>
      <w:r w:rsidR="00496DC3" w:rsidRPr="00E2227E">
        <w:rPr>
          <w:rFonts w:eastAsiaTheme="minorHAnsi"/>
          <w:kern w:val="2"/>
          <w:sz w:val="22"/>
          <w:szCs w:val="22"/>
          <w:lang w:val="en-GB" w:eastAsia="en-US"/>
          <w14:ligatures w14:val="standardContextual"/>
        </w:rPr>
        <w:t>post- pandemic strategies for business in Asia.</w:t>
      </w:r>
      <w:r w:rsidR="00E2227E" w:rsidRPr="00E2227E">
        <w:rPr>
          <w:rFonts w:eastAsiaTheme="minorHAnsi"/>
          <w:kern w:val="2"/>
          <w:sz w:val="22"/>
          <w:szCs w:val="22"/>
          <w:lang w:val="en-GB" w:eastAsia="en-US"/>
          <w14:ligatures w14:val="standardContextual"/>
        </w:rPr>
        <w:t xml:space="preserve"> This </w:t>
      </w:r>
      <w:r w:rsidR="00E2227E">
        <w:rPr>
          <w:rFonts w:eastAsiaTheme="minorHAnsi"/>
          <w:kern w:val="2"/>
          <w:sz w:val="22"/>
          <w:szCs w:val="22"/>
          <w:lang w:val="en-GB" w:eastAsia="en-US"/>
          <w14:ligatures w14:val="standardContextual"/>
        </w:rPr>
        <w:t xml:space="preserve">special </w:t>
      </w:r>
      <w:r w:rsidR="00E2227E" w:rsidRPr="00E2227E">
        <w:rPr>
          <w:rFonts w:eastAsiaTheme="minorHAnsi"/>
          <w:kern w:val="2"/>
          <w:sz w:val="22"/>
          <w:szCs w:val="22"/>
          <w:lang w:val="en-GB" w:eastAsia="en-US"/>
          <w14:ligatures w14:val="standardContextual"/>
        </w:rPr>
        <w:t xml:space="preserve">issue offers </w:t>
      </w:r>
      <w:r w:rsidR="00E2227E" w:rsidRPr="0023576A">
        <w:rPr>
          <w:rFonts w:eastAsiaTheme="minorHAnsi"/>
          <w:kern w:val="2"/>
          <w:sz w:val="22"/>
          <w:szCs w:val="22"/>
          <w:lang w:val="en-GB" w:eastAsia="en-US"/>
          <w14:ligatures w14:val="standardContextual"/>
        </w:rPr>
        <w:t>a panoramic view of the innovation-sustainability-post-pandemic era nexus</w:t>
      </w:r>
      <w:r w:rsidR="005457F3">
        <w:rPr>
          <w:rFonts w:eastAsiaTheme="minorHAnsi"/>
          <w:kern w:val="2"/>
          <w:sz w:val="22"/>
          <w:szCs w:val="22"/>
          <w:lang w:val="en-GB" w:eastAsia="en-US"/>
          <w14:ligatures w14:val="standardContextual"/>
        </w:rPr>
        <w:t xml:space="preserve"> in business in </w:t>
      </w:r>
      <w:r w:rsidR="00AE0097">
        <w:rPr>
          <w:rFonts w:eastAsiaTheme="minorHAnsi"/>
          <w:kern w:val="2"/>
          <w:sz w:val="22"/>
          <w:szCs w:val="22"/>
          <w:lang w:val="en-GB" w:eastAsia="en-US"/>
          <w14:ligatures w14:val="standardContextual"/>
        </w:rPr>
        <w:t xml:space="preserve">Asia and ensuing strategies that have the potential to inform further research in this domain. </w:t>
      </w:r>
      <w:r w:rsidR="00F2459F">
        <w:rPr>
          <w:rFonts w:eastAsiaTheme="minorHAnsi"/>
          <w:kern w:val="2"/>
          <w:sz w:val="22"/>
          <w:szCs w:val="22"/>
          <w:lang w:val="en-GB" w:eastAsia="en-US"/>
          <w14:ligatures w14:val="standardContextual"/>
        </w:rPr>
        <w:t>Based upon i</w:t>
      </w:r>
      <w:r w:rsidR="00783217">
        <w:rPr>
          <w:rFonts w:eastAsiaTheme="minorHAnsi"/>
          <w:kern w:val="2"/>
          <w:sz w:val="22"/>
          <w:szCs w:val="22"/>
          <w:lang w:val="en-GB" w:eastAsia="en-US"/>
          <w14:ligatures w14:val="standardContextual"/>
        </w:rPr>
        <w:t xml:space="preserve">nputs from research scholars from Asian countries, we further </w:t>
      </w:r>
      <w:r w:rsidR="00F2459F">
        <w:t>conceptualise a ‘Regional Innovation Ecosystem (RIS)’ underpinned by Helix Framework</w:t>
      </w:r>
      <w:r w:rsidR="0024004A">
        <w:t xml:space="preserve">, that </w:t>
      </w:r>
      <w:r w:rsidR="009A1DA3">
        <w:t>advocates</w:t>
      </w:r>
      <w:r w:rsidR="0024004A">
        <w:t xml:space="preserve"> </w:t>
      </w:r>
      <w:r w:rsidR="00F2459F" w:rsidRPr="00312954">
        <w:t xml:space="preserve">collaboration between government, industry, and academia, </w:t>
      </w:r>
      <w:r w:rsidR="0024004A">
        <w:t xml:space="preserve">which has the potential to </w:t>
      </w:r>
      <w:r w:rsidR="009A1DA3">
        <w:t xml:space="preserve">drive recovery, </w:t>
      </w:r>
      <w:r w:rsidR="009A1DA3" w:rsidRPr="00312954">
        <w:t>innovation,</w:t>
      </w:r>
      <w:r w:rsidR="00F2459F" w:rsidRPr="00312954">
        <w:t xml:space="preserve"> and resilience</w:t>
      </w:r>
      <w:r w:rsidR="009A1DA3" w:rsidRPr="009A1DA3">
        <w:t xml:space="preserve"> </w:t>
      </w:r>
      <w:r w:rsidR="009A1DA3">
        <w:t>in a post-pandemic era</w:t>
      </w:r>
      <w:r w:rsidR="009A1DA3">
        <w:t xml:space="preserve"> or in any future disaster situations.</w:t>
      </w:r>
      <w:r w:rsidR="00130C1B">
        <w:t xml:space="preserve"> We also </w:t>
      </w:r>
      <w:r w:rsidR="00F94CDA">
        <w:t>present</w:t>
      </w:r>
      <w:r w:rsidR="00130C1B">
        <w:t xml:space="preserve"> researchable </w:t>
      </w:r>
      <w:r w:rsidR="00F94CDA">
        <w:t>proposition</w:t>
      </w:r>
      <w:r w:rsidR="00130C1B">
        <w:t xml:space="preserve"> round the </w:t>
      </w:r>
      <w:r w:rsidR="00F94CDA">
        <w:t xml:space="preserve">three key components of the framework. </w:t>
      </w:r>
      <w:r w:rsidR="00130C1B">
        <w:t xml:space="preserve"> </w:t>
      </w:r>
      <w:r w:rsidR="009A1DA3">
        <w:t xml:space="preserve"> </w:t>
      </w:r>
      <w:r w:rsidR="00A0075B">
        <w:t>This proposed ecosystem can act as a catalyst to sustain and propel Asian businesses forward</w:t>
      </w:r>
      <w:r w:rsidR="009571E1">
        <w:t xml:space="preserve"> by overcoming challenges and adversities related to any disaster situation</w:t>
      </w:r>
      <w:r w:rsidR="00130C1B">
        <w:t xml:space="preserve"> in a </w:t>
      </w:r>
      <w:r w:rsidR="009571E1">
        <w:t xml:space="preserve"> post-pandemic era.</w:t>
      </w:r>
      <w:r w:rsidR="00A0075B">
        <w:t xml:space="preserve"> </w:t>
      </w:r>
    </w:p>
    <w:p w14:paraId="1AD18C12" w14:textId="77777777" w:rsidR="00DB0152" w:rsidRDefault="00DB0152" w:rsidP="00156768">
      <w:pPr>
        <w:rPr>
          <w:rFonts w:ascii="Segoe UI" w:hAnsi="Segoe UI" w:cs="Segoe UI"/>
          <w:color w:val="374151"/>
        </w:rPr>
      </w:pPr>
    </w:p>
    <w:p w14:paraId="7575828A" w14:textId="77777777" w:rsidR="00DB0152" w:rsidRDefault="00DB0152" w:rsidP="00156768">
      <w:pPr>
        <w:rPr>
          <w:rFonts w:ascii="Segoe UI" w:hAnsi="Segoe UI" w:cs="Segoe UI"/>
          <w:color w:val="374151"/>
        </w:rPr>
      </w:pPr>
    </w:p>
    <w:p w14:paraId="157CC90C" w14:textId="77777777" w:rsidR="00DB0152" w:rsidRDefault="00DB0152" w:rsidP="00156768">
      <w:pPr>
        <w:rPr>
          <w:rFonts w:ascii="Segoe UI" w:hAnsi="Segoe UI" w:cs="Segoe UI"/>
          <w:color w:val="374151"/>
        </w:rPr>
      </w:pPr>
    </w:p>
    <w:p w14:paraId="0022182E" w14:textId="77777777" w:rsidR="00747050" w:rsidRDefault="00747050" w:rsidP="00156768">
      <w:pPr>
        <w:rPr>
          <w:rFonts w:ascii="Segoe UI" w:hAnsi="Segoe UI" w:cs="Segoe UI"/>
          <w:color w:val="374151"/>
        </w:rPr>
      </w:pPr>
    </w:p>
    <w:p w14:paraId="71DBC613" w14:textId="77777777" w:rsidR="00783969" w:rsidRDefault="00783969" w:rsidP="00156768">
      <w:pPr>
        <w:rPr>
          <w:rFonts w:ascii="Segoe UI" w:hAnsi="Segoe UI" w:cs="Segoe UI"/>
          <w:color w:val="374151"/>
        </w:rPr>
      </w:pPr>
    </w:p>
    <w:p w14:paraId="37065F19" w14:textId="77777777" w:rsidR="007E3F80" w:rsidRDefault="00747050" w:rsidP="00590890">
      <w:pPr>
        <w:spacing w:line="276" w:lineRule="auto"/>
        <w:jc w:val="both"/>
        <w:rPr>
          <w:b/>
          <w:bCs/>
        </w:rPr>
      </w:pPr>
      <w:r w:rsidRPr="00747050">
        <w:rPr>
          <w:b/>
          <w:bCs/>
        </w:rPr>
        <w:lastRenderedPageBreak/>
        <w:t>References:</w:t>
      </w:r>
    </w:p>
    <w:p w14:paraId="0A7B1961" w14:textId="77777777" w:rsidR="00D5197F" w:rsidRPr="00747050" w:rsidRDefault="00D5197F" w:rsidP="00590890">
      <w:pPr>
        <w:spacing w:line="276" w:lineRule="auto"/>
        <w:jc w:val="both"/>
        <w:rPr>
          <w:b/>
          <w:bCs/>
        </w:rPr>
      </w:pPr>
    </w:p>
    <w:p w14:paraId="2F895131" w14:textId="77777777" w:rsidR="00244A3B" w:rsidRPr="00DB0152" w:rsidRDefault="00244A3B" w:rsidP="00DB0152">
      <w:pPr>
        <w:jc w:val="both"/>
      </w:pPr>
      <w:r w:rsidRPr="00DB0152">
        <w:rPr>
          <w:color w:val="222222"/>
          <w:shd w:val="clear" w:color="auto" w:fill="FFFFFF"/>
        </w:rPr>
        <w:t>Aderibigbe, J.K., 2023. Aggrandising Education 4.0 for Effective Post-Pandemic Higher Education: The Capacity of Industry 4.0 Technologies and Meaningful Hybrid E-Training. In </w:t>
      </w:r>
      <w:r w:rsidRPr="00DB0152">
        <w:rPr>
          <w:i/>
          <w:iCs/>
          <w:color w:val="222222"/>
          <w:shd w:val="clear" w:color="auto" w:fill="FFFFFF"/>
        </w:rPr>
        <w:t>Mobile and Sensor-Based Technologies in Higher Education</w:t>
      </w:r>
      <w:r w:rsidRPr="00DB0152">
        <w:rPr>
          <w:color w:val="222222"/>
          <w:shd w:val="clear" w:color="auto" w:fill="FFFFFF"/>
        </w:rPr>
        <w:t> (pp. 169-191). IGI Global.</w:t>
      </w:r>
    </w:p>
    <w:p w14:paraId="41FC8C0F" w14:textId="77777777" w:rsidR="00747050" w:rsidRPr="00DB0152" w:rsidRDefault="00747050" w:rsidP="00DB0152">
      <w:pPr>
        <w:spacing w:line="276" w:lineRule="auto"/>
        <w:jc w:val="both"/>
      </w:pPr>
    </w:p>
    <w:p w14:paraId="05AC1007" w14:textId="77777777" w:rsidR="00764C05" w:rsidRDefault="00D96918" w:rsidP="00DB0152">
      <w:pPr>
        <w:spacing w:line="276" w:lineRule="auto"/>
        <w:jc w:val="both"/>
        <w:rPr>
          <w:color w:val="222222"/>
          <w:shd w:val="clear" w:color="auto" w:fill="FFFFFF"/>
        </w:rPr>
      </w:pPr>
      <w:r w:rsidRPr="00DB0152">
        <w:rPr>
          <w:color w:val="222222"/>
          <w:shd w:val="clear" w:color="auto" w:fill="FFFFFF"/>
        </w:rPr>
        <w:t>Agrawal, S., De Smet, A., Lacroix, S. and Reich, A., 2020. To emerge stronger from the COVID-19 crisis, companies should start reskilling their workforces now. </w:t>
      </w:r>
      <w:r w:rsidRPr="00DB0152">
        <w:rPr>
          <w:i/>
          <w:iCs/>
          <w:color w:val="222222"/>
          <w:shd w:val="clear" w:color="auto" w:fill="FFFFFF"/>
        </w:rPr>
        <w:t>McKinsey Insights (Issue May)</w:t>
      </w:r>
      <w:r w:rsidRPr="00DB0152">
        <w:rPr>
          <w:color w:val="222222"/>
          <w:shd w:val="clear" w:color="auto" w:fill="FFFFFF"/>
        </w:rPr>
        <w:t>, pp.1-7.</w:t>
      </w:r>
    </w:p>
    <w:p w14:paraId="64B44A27" w14:textId="77777777" w:rsidR="00764C05" w:rsidRDefault="00764C05" w:rsidP="00DB0152">
      <w:pPr>
        <w:spacing w:line="276" w:lineRule="auto"/>
        <w:jc w:val="both"/>
        <w:rPr>
          <w:color w:val="222222"/>
          <w:shd w:val="clear" w:color="auto" w:fill="FFFFFF"/>
        </w:rPr>
      </w:pPr>
    </w:p>
    <w:p w14:paraId="0F0941D4" w14:textId="34EF8B00" w:rsidR="00764C05" w:rsidRPr="00764C05" w:rsidRDefault="00764C05" w:rsidP="00DB0152">
      <w:pPr>
        <w:spacing w:line="276" w:lineRule="auto"/>
        <w:jc w:val="both"/>
        <w:rPr>
          <w:color w:val="222222"/>
          <w:shd w:val="clear" w:color="auto" w:fill="FFFFFF"/>
        </w:rPr>
      </w:pPr>
      <w:r w:rsidRPr="00764C05">
        <w:rPr>
          <w:color w:val="222222"/>
          <w:shd w:val="clear" w:color="auto" w:fill="FFFFFF"/>
        </w:rPr>
        <w:t>Agarwal, S., He, Z. and Yeung, B. eds., 2020. </w:t>
      </w:r>
      <w:r w:rsidRPr="00764C05">
        <w:rPr>
          <w:i/>
          <w:iCs/>
          <w:color w:val="222222"/>
          <w:shd w:val="clear" w:color="auto" w:fill="FFFFFF"/>
        </w:rPr>
        <w:t>Impact of COVID-19 on Asian economies and policy responses</w:t>
      </w:r>
      <w:r w:rsidRPr="00764C05">
        <w:rPr>
          <w:color w:val="222222"/>
          <w:shd w:val="clear" w:color="auto" w:fill="FFFFFF"/>
        </w:rPr>
        <w:t>. World Scientific.</w:t>
      </w:r>
    </w:p>
    <w:p w14:paraId="62719AC1" w14:textId="77777777" w:rsidR="00D96918" w:rsidRPr="00DB0152" w:rsidRDefault="00D96918" w:rsidP="00DB0152">
      <w:pPr>
        <w:spacing w:line="276" w:lineRule="auto"/>
        <w:jc w:val="both"/>
      </w:pPr>
    </w:p>
    <w:p w14:paraId="2654D588" w14:textId="77777777" w:rsidR="0048322C" w:rsidRDefault="00747050" w:rsidP="0048322C">
      <w:pPr>
        <w:jc w:val="both"/>
        <w:rPr>
          <w:color w:val="222222"/>
          <w:shd w:val="clear" w:color="auto" w:fill="FFFFFF"/>
        </w:rPr>
      </w:pPr>
      <w:r w:rsidRPr="00DB0152">
        <w:rPr>
          <w:color w:val="222222"/>
          <w:shd w:val="clear" w:color="auto" w:fill="FFFFFF"/>
        </w:rPr>
        <w:t>Azizi, M.R., Atlasi, R., Ziapour, A., Abbas, J. and Naemi, R., 2021. Innovative human resource management strategies during the COVID-19 pandemic: A systematic narrative review approach. </w:t>
      </w:r>
      <w:r w:rsidRPr="00DB0152">
        <w:rPr>
          <w:i/>
          <w:iCs/>
          <w:color w:val="222222"/>
          <w:shd w:val="clear" w:color="auto" w:fill="FFFFFF"/>
        </w:rPr>
        <w:t>Heliyon</w:t>
      </w:r>
      <w:r w:rsidRPr="00DB0152">
        <w:rPr>
          <w:color w:val="222222"/>
          <w:shd w:val="clear" w:color="auto" w:fill="FFFFFF"/>
        </w:rPr>
        <w:t>, </w:t>
      </w:r>
      <w:r w:rsidRPr="00DB0152">
        <w:rPr>
          <w:i/>
          <w:iCs/>
          <w:color w:val="222222"/>
          <w:shd w:val="clear" w:color="auto" w:fill="FFFFFF"/>
        </w:rPr>
        <w:t>7</w:t>
      </w:r>
      <w:r w:rsidRPr="00DB0152">
        <w:rPr>
          <w:color w:val="222222"/>
          <w:shd w:val="clear" w:color="auto" w:fill="FFFFFF"/>
        </w:rPr>
        <w:t>(6).</w:t>
      </w:r>
    </w:p>
    <w:p w14:paraId="1A09A85B" w14:textId="77777777" w:rsidR="0048322C" w:rsidRDefault="0048322C" w:rsidP="0048322C">
      <w:pPr>
        <w:jc w:val="both"/>
        <w:rPr>
          <w:color w:val="222222"/>
          <w:shd w:val="clear" w:color="auto" w:fill="FFFFFF"/>
        </w:rPr>
      </w:pPr>
    </w:p>
    <w:p w14:paraId="04A7C946" w14:textId="00CED68E" w:rsidR="0048322C" w:rsidRPr="0048322C" w:rsidRDefault="0048322C" w:rsidP="0048322C">
      <w:pPr>
        <w:jc w:val="both"/>
        <w:rPr>
          <w:color w:val="222222"/>
          <w:shd w:val="clear" w:color="auto" w:fill="FFFFFF"/>
        </w:rPr>
      </w:pPr>
      <w:r w:rsidRPr="0048322C">
        <w:rPr>
          <w:color w:val="222222"/>
          <w:shd w:val="clear" w:color="auto" w:fill="FFFFFF"/>
        </w:rPr>
        <w:t>Chan, X.W., Shang, S., Brough, P., Wilkinson, A. and Lu, C.Q., 2023. Work, life and COVID‐19: a rapid review and practical recommendations for the post‐pandemic workplace. </w:t>
      </w:r>
      <w:r w:rsidRPr="0048322C">
        <w:rPr>
          <w:i/>
          <w:iCs/>
          <w:color w:val="222222"/>
          <w:shd w:val="clear" w:color="auto" w:fill="FFFFFF"/>
        </w:rPr>
        <w:t>Asia Pacific journal of human resources</w:t>
      </w:r>
      <w:r w:rsidRPr="0048322C">
        <w:rPr>
          <w:color w:val="222222"/>
          <w:shd w:val="clear" w:color="auto" w:fill="FFFFFF"/>
        </w:rPr>
        <w:t>, 61(2), pp.257-276.</w:t>
      </w:r>
    </w:p>
    <w:p w14:paraId="0BEC55E4" w14:textId="77777777" w:rsidR="0048322C" w:rsidRPr="00DB0152" w:rsidRDefault="0048322C" w:rsidP="00DB0152">
      <w:pPr>
        <w:jc w:val="both"/>
        <w:rPr>
          <w:color w:val="222222"/>
          <w:shd w:val="clear" w:color="auto" w:fill="FFFFFF"/>
        </w:rPr>
      </w:pPr>
    </w:p>
    <w:p w14:paraId="3E152B14" w14:textId="77777777" w:rsidR="00DE184F" w:rsidRPr="00DB0152" w:rsidRDefault="00DE184F" w:rsidP="00DB0152">
      <w:pPr>
        <w:jc w:val="both"/>
        <w:rPr>
          <w:color w:val="222222"/>
          <w:shd w:val="clear" w:color="auto" w:fill="FFFFFF"/>
        </w:rPr>
      </w:pPr>
    </w:p>
    <w:p w14:paraId="4D227209" w14:textId="77777777" w:rsidR="00DE184F" w:rsidRPr="00DB0152" w:rsidRDefault="00DE184F" w:rsidP="00DB0152">
      <w:pPr>
        <w:jc w:val="both"/>
      </w:pPr>
      <w:r w:rsidRPr="00DB0152">
        <w:rPr>
          <w:color w:val="222222"/>
          <w:shd w:val="clear" w:color="auto" w:fill="FFFFFF"/>
        </w:rPr>
        <w:t>El Idrissi, M., El Manzani, Y., Maatalah, W.A. and Lissaneddine, Z., 2022. Organizational crisis preparedness during the COVID-19 pandemic: an investigation of dynamic capabilities and organizational agility roles. </w:t>
      </w:r>
      <w:r w:rsidRPr="00DB0152">
        <w:rPr>
          <w:i/>
          <w:iCs/>
          <w:color w:val="222222"/>
          <w:shd w:val="clear" w:color="auto" w:fill="FFFFFF"/>
        </w:rPr>
        <w:t>International Journal of Organizational Analysis</w:t>
      </w:r>
      <w:r w:rsidRPr="00DB0152">
        <w:rPr>
          <w:color w:val="222222"/>
          <w:shd w:val="clear" w:color="auto" w:fill="FFFFFF"/>
        </w:rPr>
        <w:t>, (ahead-of-print).</w:t>
      </w:r>
    </w:p>
    <w:p w14:paraId="3D7D9FF5" w14:textId="77777777" w:rsidR="00EA5830" w:rsidRPr="00DB0152" w:rsidRDefault="00EA5830" w:rsidP="00DB0152">
      <w:pPr>
        <w:jc w:val="both"/>
        <w:rPr>
          <w:color w:val="222222"/>
          <w:shd w:val="clear" w:color="auto" w:fill="FFFFFF"/>
        </w:rPr>
      </w:pPr>
    </w:p>
    <w:p w14:paraId="176E47EF" w14:textId="77777777" w:rsidR="00EA5830" w:rsidRPr="00DB0152" w:rsidRDefault="00EA5830" w:rsidP="00DB0152">
      <w:pPr>
        <w:jc w:val="both"/>
      </w:pPr>
    </w:p>
    <w:p w14:paraId="7CCA4BB3" w14:textId="77777777" w:rsidR="00EA5830" w:rsidRPr="00DB0152" w:rsidRDefault="00EA5830" w:rsidP="00DB0152">
      <w:pPr>
        <w:jc w:val="both"/>
      </w:pPr>
      <w:r w:rsidRPr="00DB0152">
        <w:rPr>
          <w:color w:val="222222"/>
          <w:shd w:val="clear" w:color="auto" w:fill="FFFFFF"/>
        </w:rPr>
        <w:t>Fleuriet, C.A. and Williams, M.L., 2015. Improving Institutional Credibility: Communication as the Centerpiece of Planning in the Age of Accountability. </w:t>
      </w:r>
      <w:r w:rsidRPr="00DB0152">
        <w:rPr>
          <w:i/>
          <w:iCs/>
          <w:color w:val="222222"/>
          <w:shd w:val="clear" w:color="auto" w:fill="FFFFFF"/>
        </w:rPr>
        <w:t>Educational Planning</w:t>
      </w:r>
      <w:r w:rsidRPr="00DB0152">
        <w:rPr>
          <w:color w:val="222222"/>
          <w:shd w:val="clear" w:color="auto" w:fill="FFFFFF"/>
        </w:rPr>
        <w:t>, </w:t>
      </w:r>
      <w:r w:rsidRPr="00DB0152">
        <w:rPr>
          <w:i/>
          <w:iCs/>
          <w:color w:val="222222"/>
          <w:shd w:val="clear" w:color="auto" w:fill="FFFFFF"/>
        </w:rPr>
        <w:t>22</w:t>
      </w:r>
      <w:r w:rsidRPr="00DB0152">
        <w:rPr>
          <w:color w:val="222222"/>
          <w:shd w:val="clear" w:color="auto" w:fill="FFFFFF"/>
        </w:rPr>
        <w:t>(1), pp.67-84.</w:t>
      </w:r>
    </w:p>
    <w:p w14:paraId="77C714D9" w14:textId="77777777" w:rsidR="00EA5830" w:rsidRPr="00DB0152" w:rsidRDefault="00EA5830" w:rsidP="00DB0152">
      <w:pPr>
        <w:jc w:val="both"/>
      </w:pPr>
    </w:p>
    <w:p w14:paraId="2B77CEBB" w14:textId="77777777" w:rsidR="004261AA" w:rsidRPr="00DB0152" w:rsidRDefault="004261AA" w:rsidP="00DB0152">
      <w:pPr>
        <w:jc w:val="both"/>
      </w:pPr>
      <w:r w:rsidRPr="00DB0152">
        <w:rPr>
          <w:color w:val="222222"/>
          <w:shd w:val="clear" w:color="auto" w:fill="FFFFFF"/>
        </w:rPr>
        <w:t>González-Pérez, L.I. and Ramírez-Montoya, M.S., 2022. Components of Education 4.0 in 21st century skills frameworks: systematic review. </w:t>
      </w:r>
      <w:r w:rsidRPr="00DB0152">
        <w:rPr>
          <w:i/>
          <w:iCs/>
          <w:color w:val="222222"/>
          <w:shd w:val="clear" w:color="auto" w:fill="FFFFFF"/>
        </w:rPr>
        <w:t>Sustainability</w:t>
      </w:r>
      <w:r w:rsidRPr="00DB0152">
        <w:rPr>
          <w:color w:val="222222"/>
          <w:shd w:val="clear" w:color="auto" w:fill="FFFFFF"/>
        </w:rPr>
        <w:t>, </w:t>
      </w:r>
      <w:r w:rsidRPr="00DB0152">
        <w:rPr>
          <w:i/>
          <w:iCs/>
          <w:color w:val="222222"/>
          <w:shd w:val="clear" w:color="auto" w:fill="FFFFFF"/>
        </w:rPr>
        <w:t>14</w:t>
      </w:r>
      <w:r w:rsidRPr="00DB0152">
        <w:rPr>
          <w:color w:val="222222"/>
          <w:shd w:val="clear" w:color="auto" w:fill="FFFFFF"/>
        </w:rPr>
        <w:t>(3), p.1493.</w:t>
      </w:r>
    </w:p>
    <w:p w14:paraId="2E42A630" w14:textId="77777777" w:rsidR="00747050" w:rsidRPr="00DB0152" w:rsidRDefault="00747050" w:rsidP="00DB0152">
      <w:pPr>
        <w:jc w:val="both"/>
        <w:rPr>
          <w:b/>
          <w:bCs/>
        </w:rPr>
      </w:pPr>
    </w:p>
    <w:p w14:paraId="4DEE5980" w14:textId="77777777" w:rsidR="00747050" w:rsidRPr="00DB0152" w:rsidRDefault="00747050" w:rsidP="00DB0152">
      <w:pPr>
        <w:jc w:val="both"/>
        <w:rPr>
          <w:color w:val="222222"/>
          <w:shd w:val="clear" w:color="auto" w:fill="FFFFFF"/>
        </w:rPr>
      </w:pPr>
      <w:r w:rsidRPr="00DB0152">
        <w:rPr>
          <w:color w:val="222222"/>
          <w:shd w:val="clear" w:color="auto" w:fill="FFFFFF"/>
        </w:rPr>
        <w:t>Henderson, J.C., 2004. Managing a health-related crisis: SARS in Singapore. </w:t>
      </w:r>
      <w:r w:rsidRPr="00DB0152">
        <w:rPr>
          <w:i/>
          <w:iCs/>
          <w:color w:val="222222"/>
          <w:shd w:val="clear" w:color="auto" w:fill="FFFFFF"/>
        </w:rPr>
        <w:t>Journal of Vacation Marketing</w:t>
      </w:r>
      <w:r w:rsidRPr="00DB0152">
        <w:rPr>
          <w:color w:val="222222"/>
          <w:shd w:val="clear" w:color="auto" w:fill="FFFFFF"/>
        </w:rPr>
        <w:t>, </w:t>
      </w:r>
      <w:r w:rsidRPr="00DB0152">
        <w:rPr>
          <w:i/>
          <w:iCs/>
          <w:color w:val="222222"/>
          <w:shd w:val="clear" w:color="auto" w:fill="FFFFFF"/>
        </w:rPr>
        <w:t>10</w:t>
      </w:r>
      <w:r w:rsidRPr="00DB0152">
        <w:rPr>
          <w:color w:val="222222"/>
          <w:shd w:val="clear" w:color="auto" w:fill="FFFFFF"/>
        </w:rPr>
        <w:t>(1), pp.67-77.</w:t>
      </w:r>
    </w:p>
    <w:p w14:paraId="4BEC6A14" w14:textId="77777777" w:rsidR="001B6A8D" w:rsidRPr="00DB0152" w:rsidRDefault="001B6A8D" w:rsidP="00DB0152">
      <w:pPr>
        <w:jc w:val="both"/>
        <w:rPr>
          <w:color w:val="222222"/>
          <w:shd w:val="clear" w:color="auto" w:fill="FFFFFF"/>
        </w:rPr>
      </w:pPr>
    </w:p>
    <w:p w14:paraId="47AE4E4B" w14:textId="77777777" w:rsidR="001B6A8D" w:rsidRPr="00DB0152" w:rsidRDefault="001B6A8D" w:rsidP="00DB0152">
      <w:pPr>
        <w:jc w:val="both"/>
      </w:pPr>
      <w:r w:rsidRPr="00DB0152">
        <w:rPr>
          <w:color w:val="222222"/>
          <w:shd w:val="clear" w:color="auto" w:fill="FFFFFF"/>
        </w:rPr>
        <w:t>Hauptman Komotar, M., 2020. Discourses on quality and quality assurance in higher education from the perspective of global university rankings. </w:t>
      </w:r>
      <w:r w:rsidRPr="00DB0152">
        <w:rPr>
          <w:i/>
          <w:iCs/>
          <w:color w:val="222222"/>
          <w:shd w:val="clear" w:color="auto" w:fill="FFFFFF"/>
        </w:rPr>
        <w:t>Quality Assurance in Education</w:t>
      </w:r>
      <w:r w:rsidRPr="00DB0152">
        <w:rPr>
          <w:color w:val="222222"/>
          <w:shd w:val="clear" w:color="auto" w:fill="FFFFFF"/>
        </w:rPr>
        <w:t>, </w:t>
      </w:r>
      <w:r w:rsidRPr="00DB0152">
        <w:rPr>
          <w:i/>
          <w:iCs/>
          <w:color w:val="222222"/>
          <w:shd w:val="clear" w:color="auto" w:fill="FFFFFF"/>
        </w:rPr>
        <w:t>28</w:t>
      </w:r>
      <w:r w:rsidRPr="00DB0152">
        <w:rPr>
          <w:color w:val="222222"/>
          <w:shd w:val="clear" w:color="auto" w:fill="FFFFFF"/>
        </w:rPr>
        <w:t>(1), pp.78-88.</w:t>
      </w:r>
    </w:p>
    <w:p w14:paraId="04FE6299" w14:textId="77777777" w:rsidR="005B6646" w:rsidRPr="00DB0152" w:rsidRDefault="005B6646" w:rsidP="00DB0152">
      <w:pPr>
        <w:jc w:val="both"/>
        <w:rPr>
          <w:color w:val="222222"/>
          <w:shd w:val="clear" w:color="auto" w:fill="FFFFFF"/>
        </w:rPr>
      </w:pPr>
    </w:p>
    <w:p w14:paraId="2E1948C5" w14:textId="77777777" w:rsidR="005B6646" w:rsidRPr="00DB0152" w:rsidRDefault="005B6646" w:rsidP="00DB0152">
      <w:pPr>
        <w:jc w:val="both"/>
        <w:rPr>
          <w:color w:val="222222"/>
          <w:shd w:val="clear" w:color="auto" w:fill="FFFFFF"/>
        </w:rPr>
      </w:pPr>
      <w:r w:rsidRPr="00DB0152">
        <w:rPr>
          <w:color w:val="222222"/>
          <w:shd w:val="clear" w:color="auto" w:fill="FFFFFF"/>
        </w:rPr>
        <w:t>Jiaqi, X., 2023. Conceptualizing Public-Private Partnerships for Technology Innovation and Digital Transformation in China's Post-Pandemic Recovery. </w:t>
      </w:r>
      <w:r w:rsidRPr="00DB0152">
        <w:rPr>
          <w:i/>
          <w:iCs/>
          <w:color w:val="222222"/>
          <w:shd w:val="clear" w:color="auto" w:fill="FFFFFF"/>
        </w:rPr>
        <w:t>Journal of Digitainability, Realism &amp; Mastery (DREAM)</w:t>
      </w:r>
      <w:r w:rsidRPr="00DB0152">
        <w:rPr>
          <w:color w:val="222222"/>
          <w:shd w:val="clear" w:color="auto" w:fill="FFFFFF"/>
        </w:rPr>
        <w:t>, </w:t>
      </w:r>
      <w:r w:rsidRPr="00DB0152">
        <w:rPr>
          <w:i/>
          <w:iCs/>
          <w:color w:val="222222"/>
          <w:shd w:val="clear" w:color="auto" w:fill="FFFFFF"/>
        </w:rPr>
        <w:t>2</w:t>
      </w:r>
      <w:r w:rsidRPr="00DB0152">
        <w:rPr>
          <w:color w:val="222222"/>
          <w:shd w:val="clear" w:color="auto" w:fill="FFFFFF"/>
        </w:rPr>
        <w:t>(04), pp.10-16.</w:t>
      </w:r>
    </w:p>
    <w:p w14:paraId="1B098875" w14:textId="77777777" w:rsidR="00371647" w:rsidRPr="00DB0152" w:rsidRDefault="00371647" w:rsidP="00DB0152">
      <w:pPr>
        <w:jc w:val="both"/>
        <w:rPr>
          <w:color w:val="222222"/>
          <w:shd w:val="clear" w:color="auto" w:fill="FFFFFF"/>
        </w:rPr>
      </w:pPr>
    </w:p>
    <w:p w14:paraId="57C4B0A4" w14:textId="77777777" w:rsidR="00371647" w:rsidRPr="00DB0152" w:rsidRDefault="00371647" w:rsidP="00DB0152">
      <w:pPr>
        <w:jc w:val="both"/>
      </w:pPr>
      <w:r w:rsidRPr="00DB0152">
        <w:rPr>
          <w:color w:val="222222"/>
          <w:shd w:val="clear" w:color="auto" w:fill="FFFFFF"/>
        </w:rPr>
        <w:t>Khan, A., Gupta, S. and Gupta, S.K., 2020. Multi-hazard disaster studies: Monitoring, detection, recovery, and management, based on emerging technologies and optimal techniques. </w:t>
      </w:r>
      <w:r w:rsidRPr="00DB0152">
        <w:rPr>
          <w:i/>
          <w:iCs/>
          <w:color w:val="222222"/>
          <w:shd w:val="clear" w:color="auto" w:fill="FFFFFF"/>
        </w:rPr>
        <w:t>International journal of disaster risk reduction</w:t>
      </w:r>
      <w:r w:rsidRPr="00DB0152">
        <w:rPr>
          <w:color w:val="222222"/>
          <w:shd w:val="clear" w:color="auto" w:fill="FFFFFF"/>
        </w:rPr>
        <w:t>, </w:t>
      </w:r>
      <w:r w:rsidRPr="00DB0152">
        <w:rPr>
          <w:i/>
          <w:iCs/>
          <w:color w:val="222222"/>
          <w:shd w:val="clear" w:color="auto" w:fill="FFFFFF"/>
        </w:rPr>
        <w:t>47</w:t>
      </w:r>
      <w:r w:rsidRPr="00DB0152">
        <w:rPr>
          <w:color w:val="222222"/>
          <w:shd w:val="clear" w:color="auto" w:fill="FFFFFF"/>
        </w:rPr>
        <w:t>, p.101642.</w:t>
      </w:r>
    </w:p>
    <w:p w14:paraId="2FB97000" w14:textId="77777777" w:rsidR="00F625E7" w:rsidRPr="00DB0152" w:rsidRDefault="00F625E7" w:rsidP="00DB0152">
      <w:pPr>
        <w:jc w:val="both"/>
        <w:rPr>
          <w:color w:val="222222"/>
          <w:shd w:val="clear" w:color="auto" w:fill="FFFFFF"/>
        </w:rPr>
      </w:pPr>
    </w:p>
    <w:p w14:paraId="780A8378" w14:textId="77777777" w:rsidR="00F625E7" w:rsidRPr="00DB0152" w:rsidRDefault="00F625E7" w:rsidP="00DB0152">
      <w:pPr>
        <w:jc w:val="both"/>
        <w:rPr>
          <w:color w:val="222222"/>
          <w:shd w:val="clear" w:color="auto" w:fill="FFFFFF"/>
        </w:rPr>
      </w:pPr>
      <w:r w:rsidRPr="00DB0152">
        <w:rPr>
          <w:color w:val="222222"/>
          <w:shd w:val="clear" w:color="auto" w:fill="FFFFFF"/>
        </w:rPr>
        <w:t>Li, Xishu, Maarten Voorneveld, and René de Koster. "Business transformation in an age of turbulence–lessons learned from COVID-19." </w:t>
      </w:r>
      <w:r w:rsidRPr="00DB0152">
        <w:rPr>
          <w:i/>
          <w:iCs/>
          <w:color w:val="222222"/>
          <w:shd w:val="clear" w:color="auto" w:fill="FFFFFF"/>
        </w:rPr>
        <w:t>Technological forecasting and social change</w:t>
      </w:r>
      <w:r w:rsidRPr="00DB0152">
        <w:rPr>
          <w:color w:val="222222"/>
          <w:shd w:val="clear" w:color="auto" w:fill="FFFFFF"/>
        </w:rPr>
        <w:t> 176 (2022): 121452.</w:t>
      </w:r>
    </w:p>
    <w:p w14:paraId="466279C5" w14:textId="77777777" w:rsidR="00747050" w:rsidRPr="00DB0152" w:rsidRDefault="00747050" w:rsidP="00DB0152">
      <w:pPr>
        <w:jc w:val="both"/>
        <w:rPr>
          <w:color w:val="222222"/>
          <w:shd w:val="clear" w:color="auto" w:fill="FFFFFF"/>
        </w:rPr>
      </w:pPr>
    </w:p>
    <w:p w14:paraId="4AE6590D" w14:textId="77777777" w:rsidR="00053E79" w:rsidRPr="00DB0152" w:rsidRDefault="00747050" w:rsidP="00DB0152">
      <w:pPr>
        <w:jc w:val="both"/>
        <w:rPr>
          <w:color w:val="222222"/>
          <w:shd w:val="clear" w:color="auto" w:fill="FFFFFF"/>
        </w:rPr>
      </w:pPr>
      <w:r w:rsidRPr="00DB0152">
        <w:rPr>
          <w:color w:val="222222"/>
          <w:shd w:val="clear" w:color="auto" w:fill="FFFFFF"/>
        </w:rPr>
        <w:t>Love, D.C., Allison, E.H., Asche, F., Belton, B., Cottrell, R.S., Froehlich, H.E., Gephart, J.A., Hicks, C.C., Little, D.C., Nussbaumer, E.M. and da Silva, P.P., 2021. Emerging COVID-19 impacts, responses, and lessons for building resilience in the seafood system. </w:t>
      </w:r>
      <w:r w:rsidRPr="00DB0152">
        <w:rPr>
          <w:i/>
          <w:iCs/>
          <w:color w:val="222222"/>
          <w:shd w:val="clear" w:color="auto" w:fill="FFFFFF"/>
        </w:rPr>
        <w:t>Global Food Security</w:t>
      </w:r>
      <w:r w:rsidRPr="00DB0152">
        <w:rPr>
          <w:color w:val="222222"/>
          <w:shd w:val="clear" w:color="auto" w:fill="FFFFFF"/>
        </w:rPr>
        <w:t>, </w:t>
      </w:r>
      <w:r w:rsidRPr="00DB0152">
        <w:rPr>
          <w:i/>
          <w:iCs/>
          <w:color w:val="222222"/>
          <w:shd w:val="clear" w:color="auto" w:fill="FFFFFF"/>
        </w:rPr>
        <w:t>28</w:t>
      </w:r>
      <w:r w:rsidRPr="00DB0152">
        <w:rPr>
          <w:color w:val="222222"/>
          <w:shd w:val="clear" w:color="auto" w:fill="FFFFFF"/>
        </w:rPr>
        <w:t>, p.100494.</w:t>
      </w:r>
    </w:p>
    <w:p w14:paraId="01F32370" w14:textId="77777777" w:rsidR="00053E79" w:rsidRPr="00DB0152" w:rsidRDefault="00053E79" w:rsidP="00DB0152">
      <w:pPr>
        <w:jc w:val="both"/>
      </w:pPr>
    </w:p>
    <w:p w14:paraId="67A33FC0" w14:textId="77777777" w:rsidR="00053E79" w:rsidRPr="00DB0152" w:rsidRDefault="00053E79" w:rsidP="00DB0152">
      <w:pPr>
        <w:jc w:val="both"/>
      </w:pPr>
      <w:r w:rsidRPr="00DB0152">
        <w:rPr>
          <w:color w:val="222222"/>
          <w:shd w:val="clear" w:color="auto" w:fill="FFFFFF"/>
        </w:rPr>
        <w:t>McWayne, C.M., Melzi, G. and Mistry, J., 2022. A home-to-school approach for promoting culturally inclusive family–school partnership research and practice. </w:t>
      </w:r>
      <w:r w:rsidRPr="00DB0152">
        <w:rPr>
          <w:i/>
          <w:iCs/>
          <w:color w:val="222222"/>
          <w:shd w:val="clear" w:color="auto" w:fill="FFFFFF"/>
        </w:rPr>
        <w:t>Educational Psychologist</w:t>
      </w:r>
      <w:r w:rsidRPr="00DB0152">
        <w:rPr>
          <w:color w:val="222222"/>
          <w:shd w:val="clear" w:color="auto" w:fill="FFFFFF"/>
        </w:rPr>
        <w:t>, </w:t>
      </w:r>
      <w:r w:rsidRPr="00DB0152">
        <w:rPr>
          <w:i/>
          <w:iCs/>
          <w:color w:val="222222"/>
          <w:shd w:val="clear" w:color="auto" w:fill="FFFFFF"/>
        </w:rPr>
        <w:t>57</w:t>
      </w:r>
      <w:r w:rsidRPr="00DB0152">
        <w:rPr>
          <w:color w:val="222222"/>
          <w:shd w:val="clear" w:color="auto" w:fill="FFFFFF"/>
        </w:rPr>
        <w:t>(4), pp.238-251.</w:t>
      </w:r>
    </w:p>
    <w:p w14:paraId="7CD18E34" w14:textId="77777777" w:rsidR="00053E79" w:rsidRPr="00DB0152" w:rsidRDefault="00053E79" w:rsidP="00DB0152">
      <w:pPr>
        <w:jc w:val="both"/>
        <w:rPr>
          <w:color w:val="222222"/>
          <w:shd w:val="clear" w:color="auto" w:fill="FFFFFF"/>
        </w:rPr>
      </w:pPr>
    </w:p>
    <w:p w14:paraId="0E494F7D" w14:textId="77777777" w:rsidR="004E058F" w:rsidRPr="00DB0152" w:rsidRDefault="004E058F" w:rsidP="00DB0152">
      <w:pPr>
        <w:jc w:val="both"/>
        <w:rPr>
          <w:color w:val="222222"/>
          <w:shd w:val="clear" w:color="auto" w:fill="FFFFFF"/>
        </w:rPr>
      </w:pPr>
    </w:p>
    <w:p w14:paraId="2D7B25C9" w14:textId="77777777" w:rsidR="004E058F" w:rsidRPr="00DB0152" w:rsidRDefault="007A7560" w:rsidP="00DB0152">
      <w:pPr>
        <w:jc w:val="both"/>
        <w:rPr>
          <w:color w:val="222222"/>
          <w:shd w:val="clear" w:color="auto" w:fill="FFFFFF"/>
        </w:rPr>
      </w:pPr>
      <w:r w:rsidRPr="00DB0152">
        <w:rPr>
          <w:color w:val="222222"/>
          <w:shd w:val="clear" w:color="auto" w:fill="FFFFFF"/>
        </w:rPr>
        <w:t>Ng, P.M., Lit, K.K. and Cheung, C.T., 2022. Remote work as a new normal? The technology-organization-environment (TOE) context. </w:t>
      </w:r>
      <w:r w:rsidRPr="00DB0152">
        <w:rPr>
          <w:i/>
          <w:iCs/>
          <w:color w:val="222222"/>
          <w:shd w:val="clear" w:color="auto" w:fill="FFFFFF"/>
        </w:rPr>
        <w:t>Technology in Society</w:t>
      </w:r>
      <w:r w:rsidRPr="00DB0152">
        <w:rPr>
          <w:color w:val="222222"/>
          <w:shd w:val="clear" w:color="auto" w:fill="FFFFFF"/>
        </w:rPr>
        <w:t>, </w:t>
      </w:r>
      <w:r w:rsidRPr="00DB0152">
        <w:rPr>
          <w:i/>
          <w:iCs/>
          <w:color w:val="222222"/>
          <w:shd w:val="clear" w:color="auto" w:fill="FFFFFF"/>
        </w:rPr>
        <w:t>70</w:t>
      </w:r>
      <w:r w:rsidRPr="00DB0152">
        <w:rPr>
          <w:color w:val="222222"/>
          <w:shd w:val="clear" w:color="auto" w:fill="FFFFFF"/>
        </w:rPr>
        <w:t>, p.102022.</w:t>
      </w:r>
    </w:p>
    <w:p w14:paraId="68654C69" w14:textId="77777777" w:rsidR="00FE68BE" w:rsidRPr="00DB0152" w:rsidRDefault="00FE68BE" w:rsidP="00DB0152">
      <w:pPr>
        <w:jc w:val="both"/>
        <w:rPr>
          <w:color w:val="222222"/>
          <w:shd w:val="clear" w:color="auto" w:fill="FFFFFF"/>
        </w:rPr>
      </w:pPr>
    </w:p>
    <w:p w14:paraId="1131416C" w14:textId="77777777" w:rsidR="00FE68BE" w:rsidRPr="00DB0152" w:rsidRDefault="00FE68BE" w:rsidP="00DB0152">
      <w:pPr>
        <w:jc w:val="both"/>
      </w:pPr>
      <w:r w:rsidRPr="00DB0152">
        <w:rPr>
          <w:color w:val="222222"/>
          <w:shd w:val="clear" w:color="auto" w:fill="FFFFFF"/>
        </w:rPr>
        <w:t>Ngo, H.N. and Phan, A.N., 2023. COVID-19 and higher education in Vietnam: systematically rethinking the quality assurance system and practices towards the ‘new normal’ in post-crisis era. </w:t>
      </w:r>
      <w:r w:rsidRPr="00DB0152">
        <w:rPr>
          <w:i/>
          <w:iCs/>
          <w:color w:val="222222"/>
          <w:shd w:val="clear" w:color="auto" w:fill="FFFFFF"/>
        </w:rPr>
        <w:t>Policy Futures in Education</w:t>
      </w:r>
      <w:r w:rsidRPr="00DB0152">
        <w:rPr>
          <w:color w:val="222222"/>
          <w:shd w:val="clear" w:color="auto" w:fill="FFFFFF"/>
        </w:rPr>
        <w:t>, </w:t>
      </w:r>
      <w:r w:rsidRPr="00DB0152">
        <w:rPr>
          <w:i/>
          <w:iCs/>
          <w:color w:val="222222"/>
          <w:shd w:val="clear" w:color="auto" w:fill="FFFFFF"/>
        </w:rPr>
        <w:t>21</w:t>
      </w:r>
      <w:r w:rsidRPr="00DB0152">
        <w:rPr>
          <w:color w:val="222222"/>
          <w:shd w:val="clear" w:color="auto" w:fill="FFFFFF"/>
        </w:rPr>
        <w:t>(4), pp.355-371.</w:t>
      </w:r>
    </w:p>
    <w:p w14:paraId="29A78794" w14:textId="77777777" w:rsidR="00503DBC" w:rsidRPr="00DB0152" w:rsidRDefault="00503DBC" w:rsidP="00DB0152">
      <w:pPr>
        <w:jc w:val="both"/>
        <w:rPr>
          <w:color w:val="222222"/>
          <w:shd w:val="clear" w:color="auto" w:fill="FFFFFF"/>
        </w:rPr>
      </w:pPr>
    </w:p>
    <w:p w14:paraId="1B090D36" w14:textId="77777777" w:rsidR="00503DBC" w:rsidRPr="00DB0152" w:rsidRDefault="00503DBC" w:rsidP="00DB0152">
      <w:pPr>
        <w:jc w:val="both"/>
        <w:rPr>
          <w:color w:val="222222"/>
          <w:shd w:val="clear" w:color="auto" w:fill="FFFFFF"/>
        </w:rPr>
      </w:pPr>
      <w:r w:rsidRPr="00DB0152">
        <w:rPr>
          <w:color w:val="222222"/>
          <w:shd w:val="clear" w:color="auto" w:fill="FFFFFF"/>
        </w:rPr>
        <w:t>Pittman, J., Severino, L., DeCarlo-Tecce, M.J. and Kiosoglous, C., 2021. An action research case study: Digital equity and educational inclusion during an emergent COVID-19 divide. </w:t>
      </w:r>
      <w:r w:rsidRPr="00DB0152">
        <w:rPr>
          <w:i/>
          <w:iCs/>
          <w:color w:val="222222"/>
          <w:shd w:val="clear" w:color="auto" w:fill="FFFFFF"/>
        </w:rPr>
        <w:t>Journal for Multicultural Education</w:t>
      </w:r>
      <w:r w:rsidRPr="00DB0152">
        <w:rPr>
          <w:color w:val="222222"/>
          <w:shd w:val="clear" w:color="auto" w:fill="FFFFFF"/>
        </w:rPr>
        <w:t>, </w:t>
      </w:r>
      <w:r w:rsidRPr="00DB0152">
        <w:rPr>
          <w:i/>
          <w:iCs/>
          <w:color w:val="222222"/>
          <w:shd w:val="clear" w:color="auto" w:fill="FFFFFF"/>
        </w:rPr>
        <w:t>15</w:t>
      </w:r>
      <w:r w:rsidRPr="00DB0152">
        <w:rPr>
          <w:color w:val="222222"/>
          <w:shd w:val="clear" w:color="auto" w:fill="FFFFFF"/>
        </w:rPr>
        <w:t>(1), pp.68-84.</w:t>
      </w:r>
    </w:p>
    <w:p w14:paraId="454C9F4B" w14:textId="77777777" w:rsidR="007A7560" w:rsidRPr="00DB0152" w:rsidRDefault="007A7560" w:rsidP="00DB0152">
      <w:pPr>
        <w:jc w:val="both"/>
      </w:pPr>
    </w:p>
    <w:p w14:paraId="2787CF72" w14:textId="77777777" w:rsidR="00573375" w:rsidRPr="00DB0152" w:rsidRDefault="00573375" w:rsidP="00DB0152">
      <w:pPr>
        <w:jc w:val="both"/>
      </w:pPr>
      <w:r w:rsidRPr="00DB0152">
        <w:rPr>
          <w:color w:val="222222"/>
          <w:shd w:val="clear" w:color="auto" w:fill="FFFFFF"/>
        </w:rPr>
        <w:t>Rama Reddy, T., Prasad Reddy, P.V.G.D., Srinivas, R., Raghavendran, C.V., Lalitha, R.V.S. and Annapurna, B., 2021. Proposing a reliable method of securing and verifying the credentials of graduates through blockchain. </w:t>
      </w:r>
      <w:r w:rsidRPr="00DB0152">
        <w:rPr>
          <w:i/>
          <w:iCs/>
          <w:color w:val="222222"/>
          <w:shd w:val="clear" w:color="auto" w:fill="FFFFFF"/>
        </w:rPr>
        <w:t>EURASIP Journal on Information Security</w:t>
      </w:r>
      <w:r w:rsidRPr="00DB0152">
        <w:rPr>
          <w:color w:val="222222"/>
          <w:shd w:val="clear" w:color="auto" w:fill="FFFFFF"/>
        </w:rPr>
        <w:t>, </w:t>
      </w:r>
      <w:r w:rsidRPr="00DB0152">
        <w:rPr>
          <w:i/>
          <w:iCs/>
          <w:color w:val="222222"/>
          <w:shd w:val="clear" w:color="auto" w:fill="FFFFFF"/>
        </w:rPr>
        <w:t>2021</w:t>
      </w:r>
      <w:r w:rsidRPr="00DB0152">
        <w:rPr>
          <w:color w:val="222222"/>
          <w:shd w:val="clear" w:color="auto" w:fill="FFFFFF"/>
        </w:rPr>
        <w:t>(1), pp.1-9.</w:t>
      </w:r>
    </w:p>
    <w:p w14:paraId="202E2208" w14:textId="77777777" w:rsidR="00573375" w:rsidRPr="00DB0152" w:rsidRDefault="00573375" w:rsidP="00DB0152">
      <w:pPr>
        <w:jc w:val="both"/>
      </w:pPr>
    </w:p>
    <w:p w14:paraId="24DC49AD" w14:textId="77777777" w:rsidR="004E058F" w:rsidRPr="00DB0152" w:rsidRDefault="004E058F" w:rsidP="00DB0152">
      <w:pPr>
        <w:jc w:val="both"/>
      </w:pPr>
      <w:r w:rsidRPr="00DB0152">
        <w:rPr>
          <w:color w:val="222222"/>
          <w:shd w:val="clear" w:color="auto" w:fill="FFFFFF"/>
        </w:rPr>
        <w:t>Reficco, E., Gutiérrez, R., Jaén, M.H. and Auletta, N., 2018. Collaboration mechanisms for sustainable innovation. </w:t>
      </w:r>
      <w:r w:rsidRPr="00DB0152">
        <w:rPr>
          <w:i/>
          <w:iCs/>
          <w:color w:val="222222"/>
          <w:shd w:val="clear" w:color="auto" w:fill="FFFFFF"/>
        </w:rPr>
        <w:t>Journal of cleaner production</w:t>
      </w:r>
      <w:r w:rsidRPr="00DB0152">
        <w:rPr>
          <w:color w:val="222222"/>
          <w:shd w:val="clear" w:color="auto" w:fill="FFFFFF"/>
        </w:rPr>
        <w:t>, </w:t>
      </w:r>
      <w:r w:rsidRPr="00DB0152">
        <w:rPr>
          <w:i/>
          <w:iCs/>
          <w:color w:val="222222"/>
          <w:shd w:val="clear" w:color="auto" w:fill="FFFFFF"/>
        </w:rPr>
        <w:t>203</w:t>
      </w:r>
      <w:r w:rsidRPr="00DB0152">
        <w:rPr>
          <w:color w:val="222222"/>
          <w:shd w:val="clear" w:color="auto" w:fill="FFFFFF"/>
        </w:rPr>
        <w:t>, pp.1170-1186.</w:t>
      </w:r>
    </w:p>
    <w:p w14:paraId="3203313D" w14:textId="77777777" w:rsidR="004E058F" w:rsidRPr="00DB0152" w:rsidRDefault="004E058F" w:rsidP="00DB0152">
      <w:pPr>
        <w:jc w:val="both"/>
        <w:rPr>
          <w:color w:val="222222"/>
          <w:shd w:val="clear" w:color="auto" w:fill="FFFFFF"/>
        </w:rPr>
      </w:pPr>
    </w:p>
    <w:p w14:paraId="3F84BE43" w14:textId="77777777" w:rsidR="00A96906" w:rsidRPr="00DB0152" w:rsidRDefault="00A96906" w:rsidP="00DB0152">
      <w:pPr>
        <w:jc w:val="both"/>
      </w:pPr>
      <w:r w:rsidRPr="00DB0152">
        <w:rPr>
          <w:color w:val="222222"/>
          <w:shd w:val="clear" w:color="auto" w:fill="FFFFFF"/>
        </w:rPr>
        <w:t>Rodrigues, C. and Melo, A., 2012. The triple helix model as an instrument of local response to the economic crisis. </w:t>
      </w:r>
      <w:r w:rsidRPr="00DB0152">
        <w:rPr>
          <w:i/>
          <w:iCs/>
          <w:color w:val="222222"/>
          <w:shd w:val="clear" w:color="auto" w:fill="FFFFFF"/>
        </w:rPr>
        <w:t>European Planning Studies</w:t>
      </w:r>
      <w:r w:rsidRPr="00DB0152">
        <w:rPr>
          <w:color w:val="222222"/>
          <w:shd w:val="clear" w:color="auto" w:fill="FFFFFF"/>
        </w:rPr>
        <w:t>, </w:t>
      </w:r>
      <w:r w:rsidRPr="00DB0152">
        <w:rPr>
          <w:i/>
          <w:iCs/>
          <w:color w:val="222222"/>
          <w:shd w:val="clear" w:color="auto" w:fill="FFFFFF"/>
        </w:rPr>
        <w:t>20</w:t>
      </w:r>
      <w:r w:rsidRPr="00DB0152">
        <w:rPr>
          <w:color w:val="222222"/>
          <w:shd w:val="clear" w:color="auto" w:fill="FFFFFF"/>
        </w:rPr>
        <w:t>(9), pp.1483-1496.</w:t>
      </w:r>
    </w:p>
    <w:p w14:paraId="6283E6A8" w14:textId="77777777" w:rsidR="00747050" w:rsidRPr="00DB0152" w:rsidRDefault="00747050" w:rsidP="00DB0152">
      <w:pPr>
        <w:jc w:val="both"/>
        <w:rPr>
          <w:color w:val="222222"/>
          <w:shd w:val="clear" w:color="auto" w:fill="FFFFFF"/>
        </w:rPr>
      </w:pPr>
    </w:p>
    <w:p w14:paraId="79349E75" w14:textId="77777777" w:rsidR="006E23CA" w:rsidRPr="00DB0152" w:rsidRDefault="006E23CA" w:rsidP="00DB0152">
      <w:pPr>
        <w:jc w:val="both"/>
        <w:rPr>
          <w:color w:val="222222"/>
          <w:shd w:val="clear" w:color="auto" w:fill="FFFFFF"/>
        </w:rPr>
      </w:pPr>
      <w:r w:rsidRPr="00DB0152">
        <w:rPr>
          <w:color w:val="222222"/>
          <w:shd w:val="clear" w:color="auto" w:fill="FFFFFF"/>
        </w:rPr>
        <w:t>Saepuloh, D., Firmansyah, D., Susetyo, D.P. and Suryana, A., 2022. Quadruple Helix Collaboration Concept As An Economic Recovery Solution After COVID-19. </w:t>
      </w:r>
      <w:r w:rsidRPr="00DB0152">
        <w:rPr>
          <w:i/>
          <w:iCs/>
          <w:color w:val="222222"/>
          <w:shd w:val="clear" w:color="auto" w:fill="FFFFFF"/>
        </w:rPr>
        <w:t>Economica</w:t>
      </w:r>
      <w:r w:rsidRPr="00DB0152">
        <w:rPr>
          <w:color w:val="222222"/>
          <w:shd w:val="clear" w:color="auto" w:fill="FFFFFF"/>
        </w:rPr>
        <w:t>, </w:t>
      </w:r>
      <w:r w:rsidRPr="00DB0152">
        <w:rPr>
          <w:i/>
          <w:iCs/>
          <w:color w:val="222222"/>
          <w:shd w:val="clear" w:color="auto" w:fill="FFFFFF"/>
        </w:rPr>
        <w:t>10</w:t>
      </w:r>
      <w:r w:rsidRPr="00DB0152">
        <w:rPr>
          <w:color w:val="222222"/>
          <w:shd w:val="clear" w:color="auto" w:fill="FFFFFF"/>
        </w:rPr>
        <w:t>(2), pp.1-14.</w:t>
      </w:r>
    </w:p>
    <w:p w14:paraId="72AFF021" w14:textId="77777777" w:rsidR="00695E24" w:rsidRPr="00DB0152" w:rsidRDefault="00695E24" w:rsidP="00DB0152">
      <w:pPr>
        <w:jc w:val="both"/>
        <w:rPr>
          <w:color w:val="222222"/>
          <w:shd w:val="clear" w:color="auto" w:fill="FFFFFF"/>
        </w:rPr>
      </w:pPr>
    </w:p>
    <w:p w14:paraId="629C051E" w14:textId="77777777" w:rsidR="00695E24" w:rsidRPr="00DB0152" w:rsidRDefault="00695E24" w:rsidP="00DB0152">
      <w:pPr>
        <w:jc w:val="both"/>
        <w:rPr>
          <w:color w:val="222222"/>
          <w:shd w:val="clear" w:color="auto" w:fill="FFFFFF"/>
        </w:rPr>
      </w:pPr>
      <w:r w:rsidRPr="00DB0152">
        <w:rPr>
          <w:color w:val="222222"/>
          <w:shd w:val="clear" w:color="auto" w:fill="FFFFFF"/>
        </w:rPr>
        <w:t>Smith, G., Martin, A. and Wenger, D.E., 2018. Disaster recovery in an era of climate change: The unrealized promise of institutional resilience. </w:t>
      </w:r>
      <w:r w:rsidRPr="00DB0152">
        <w:rPr>
          <w:i/>
          <w:iCs/>
          <w:color w:val="222222"/>
          <w:shd w:val="clear" w:color="auto" w:fill="FFFFFF"/>
        </w:rPr>
        <w:t>Handbook of disaster research</w:t>
      </w:r>
      <w:r w:rsidRPr="00DB0152">
        <w:rPr>
          <w:color w:val="222222"/>
          <w:shd w:val="clear" w:color="auto" w:fill="FFFFFF"/>
        </w:rPr>
        <w:t>, pp.595-619.</w:t>
      </w:r>
    </w:p>
    <w:p w14:paraId="167D35BB" w14:textId="77777777" w:rsidR="006E23CA" w:rsidRPr="00DB0152" w:rsidRDefault="006E23CA" w:rsidP="00DB0152">
      <w:pPr>
        <w:jc w:val="both"/>
        <w:rPr>
          <w:color w:val="222222"/>
          <w:shd w:val="clear" w:color="auto" w:fill="FFFFFF"/>
        </w:rPr>
      </w:pPr>
    </w:p>
    <w:p w14:paraId="5C82F4A3" w14:textId="77777777" w:rsidR="00747050" w:rsidRPr="00DB0152" w:rsidRDefault="00747050" w:rsidP="00DB0152">
      <w:pPr>
        <w:jc w:val="both"/>
        <w:rPr>
          <w:color w:val="222222"/>
          <w:shd w:val="clear" w:color="auto" w:fill="FFFFFF"/>
        </w:rPr>
      </w:pPr>
      <w:r w:rsidRPr="00DB0152">
        <w:rPr>
          <w:color w:val="222222"/>
          <w:shd w:val="clear" w:color="auto" w:fill="FFFFFF"/>
        </w:rPr>
        <w:t>Tan, W.J. and Enderwick, P., 2006. Managing threats in the global era: The impact and response to SARS. </w:t>
      </w:r>
      <w:r w:rsidRPr="00DB0152">
        <w:rPr>
          <w:i/>
          <w:iCs/>
          <w:color w:val="222222"/>
          <w:shd w:val="clear" w:color="auto" w:fill="FFFFFF"/>
        </w:rPr>
        <w:t>Thunderbird International Business Review</w:t>
      </w:r>
      <w:r w:rsidRPr="00DB0152">
        <w:rPr>
          <w:color w:val="222222"/>
          <w:shd w:val="clear" w:color="auto" w:fill="FFFFFF"/>
        </w:rPr>
        <w:t>, </w:t>
      </w:r>
      <w:r w:rsidRPr="00DB0152">
        <w:rPr>
          <w:i/>
          <w:iCs/>
          <w:color w:val="222222"/>
          <w:shd w:val="clear" w:color="auto" w:fill="FFFFFF"/>
        </w:rPr>
        <w:t>48</w:t>
      </w:r>
      <w:r w:rsidRPr="00DB0152">
        <w:rPr>
          <w:color w:val="222222"/>
          <w:shd w:val="clear" w:color="auto" w:fill="FFFFFF"/>
        </w:rPr>
        <w:t>(4), pp.515-536.</w:t>
      </w:r>
    </w:p>
    <w:p w14:paraId="26F009C7" w14:textId="77777777" w:rsidR="001E1589" w:rsidRPr="00DB0152" w:rsidRDefault="001E1589" w:rsidP="00DB0152">
      <w:pPr>
        <w:jc w:val="both"/>
        <w:rPr>
          <w:color w:val="222222"/>
          <w:shd w:val="clear" w:color="auto" w:fill="FFFFFF"/>
        </w:rPr>
      </w:pPr>
    </w:p>
    <w:p w14:paraId="61B3D4BC" w14:textId="77777777" w:rsidR="001E1589" w:rsidRPr="00DB0152" w:rsidRDefault="001E1589" w:rsidP="00DB0152">
      <w:pPr>
        <w:jc w:val="both"/>
        <w:rPr>
          <w:b/>
          <w:bCs/>
          <w:highlight w:val="green"/>
        </w:rPr>
      </w:pPr>
      <w:r w:rsidRPr="00DB0152">
        <w:rPr>
          <w:color w:val="222222"/>
          <w:shd w:val="clear" w:color="auto" w:fill="FFFFFF"/>
        </w:rPr>
        <w:t>Tan, A., Balasubramanian, S. and Wahab, S.N. eds., 2022. </w:t>
      </w:r>
      <w:r w:rsidRPr="00DB0152">
        <w:rPr>
          <w:i/>
          <w:iCs/>
          <w:color w:val="222222"/>
          <w:shd w:val="clear" w:color="auto" w:fill="FFFFFF"/>
        </w:rPr>
        <w:t>Essential Skills and Competencies for Supply Chain Professionals and Future Leaders in Asia: A Framework for Planning and Managing Supply Chain Talents</w:t>
      </w:r>
      <w:r w:rsidRPr="00DB0152">
        <w:rPr>
          <w:color w:val="222222"/>
          <w:shd w:val="clear" w:color="auto" w:fill="FFFFFF"/>
        </w:rPr>
        <w:t>. World Scientific.</w:t>
      </w:r>
    </w:p>
    <w:p w14:paraId="4AF5080A" w14:textId="77777777" w:rsidR="00747050" w:rsidRPr="00DB0152" w:rsidRDefault="00747050" w:rsidP="00DB0152">
      <w:pPr>
        <w:jc w:val="both"/>
        <w:rPr>
          <w:color w:val="222222"/>
        </w:rPr>
      </w:pPr>
    </w:p>
    <w:p w14:paraId="35423602" w14:textId="77777777" w:rsidR="00747050" w:rsidRPr="00DB0152" w:rsidRDefault="00747050" w:rsidP="00DB0152">
      <w:pPr>
        <w:jc w:val="both"/>
        <w:rPr>
          <w:color w:val="222222"/>
        </w:rPr>
      </w:pPr>
      <w:r w:rsidRPr="00DB0152">
        <w:rPr>
          <w:color w:val="222222"/>
        </w:rPr>
        <w:lastRenderedPageBreak/>
        <w:t>Teece, D., Peteraf, M. and Leih, S., 2016. Dynamic capabilities and organizational agility: Risk, uncertainty, and strategy in the innovation economy. </w:t>
      </w:r>
      <w:r w:rsidRPr="00DB0152">
        <w:rPr>
          <w:i/>
          <w:iCs/>
          <w:color w:val="222222"/>
        </w:rPr>
        <w:t>California management review</w:t>
      </w:r>
      <w:r w:rsidRPr="00DB0152">
        <w:rPr>
          <w:color w:val="222222"/>
        </w:rPr>
        <w:t>, </w:t>
      </w:r>
      <w:r w:rsidRPr="00DB0152">
        <w:rPr>
          <w:i/>
          <w:iCs/>
          <w:color w:val="222222"/>
        </w:rPr>
        <w:t>58</w:t>
      </w:r>
      <w:r w:rsidRPr="00DB0152">
        <w:rPr>
          <w:color w:val="222222"/>
        </w:rPr>
        <w:t>(4), pp.13-35.</w:t>
      </w:r>
    </w:p>
    <w:p w14:paraId="481EC46A" w14:textId="77777777" w:rsidR="00955F03" w:rsidRPr="00DB0152" w:rsidRDefault="00955F03" w:rsidP="00DB0152">
      <w:pPr>
        <w:jc w:val="both"/>
        <w:rPr>
          <w:color w:val="222222"/>
        </w:rPr>
      </w:pPr>
    </w:p>
    <w:p w14:paraId="5F62009B" w14:textId="77777777" w:rsidR="000878AF" w:rsidRPr="00DB0152" w:rsidRDefault="000878AF" w:rsidP="00DB0152">
      <w:pPr>
        <w:jc w:val="both"/>
        <w:rPr>
          <w:b/>
          <w:bCs/>
          <w:highlight w:val="cyan"/>
        </w:rPr>
      </w:pPr>
      <w:r w:rsidRPr="00DB0152">
        <w:rPr>
          <w:color w:val="222222"/>
          <w:shd w:val="clear" w:color="auto" w:fill="FFFFFF"/>
        </w:rPr>
        <w:t>Tucker, R.C., Liyanage, C., Robinson, S.J., Montebon, D.R., Gotangco Gonzales, C.K., Olpoc, J.C., Patacsil, L.B., Tantanee, S., Buranajarukorn, P., Apichayaku, O.S. and Weerasinghe, R.N., 2023. Understanding university enterprise collaboration for disaster resilience in South-East Asia. </w:t>
      </w:r>
      <w:r w:rsidRPr="00DB0152">
        <w:rPr>
          <w:i/>
          <w:iCs/>
          <w:color w:val="222222"/>
          <w:shd w:val="clear" w:color="auto" w:fill="FFFFFF"/>
        </w:rPr>
        <w:t>International Journal of Disaster Resilience in the Built Environment</w:t>
      </w:r>
      <w:r w:rsidRPr="00DB0152">
        <w:rPr>
          <w:color w:val="222222"/>
          <w:shd w:val="clear" w:color="auto" w:fill="FFFFFF"/>
        </w:rPr>
        <w:t>.</w:t>
      </w:r>
    </w:p>
    <w:p w14:paraId="4DBE1BF1" w14:textId="77777777" w:rsidR="00F961C1" w:rsidRPr="00DB0152" w:rsidRDefault="00F961C1" w:rsidP="00DB0152">
      <w:pPr>
        <w:jc w:val="both"/>
      </w:pPr>
    </w:p>
    <w:p w14:paraId="1142BA08" w14:textId="77777777" w:rsidR="00F961C1" w:rsidRPr="00DB0152" w:rsidRDefault="00F961C1" w:rsidP="00DB0152">
      <w:pPr>
        <w:jc w:val="both"/>
      </w:pPr>
      <w:r w:rsidRPr="00DB0152">
        <w:rPr>
          <w:color w:val="222222"/>
          <w:shd w:val="clear" w:color="auto" w:fill="FFFFFF"/>
        </w:rPr>
        <w:t>Zancajo, A., Verger, A. and Bolea, P., 2022. Digitalization and beyond: the effects of Covid-19 on post-pandemic educational policy and delivery in Europe. </w:t>
      </w:r>
      <w:r w:rsidRPr="00DB0152">
        <w:rPr>
          <w:i/>
          <w:iCs/>
          <w:color w:val="222222"/>
          <w:shd w:val="clear" w:color="auto" w:fill="FFFFFF"/>
        </w:rPr>
        <w:t>Policy and Society</w:t>
      </w:r>
      <w:r w:rsidRPr="00DB0152">
        <w:rPr>
          <w:color w:val="222222"/>
          <w:shd w:val="clear" w:color="auto" w:fill="FFFFFF"/>
        </w:rPr>
        <w:t>, </w:t>
      </w:r>
      <w:r w:rsidRPr="00DB0152">
        <w:rPr>
          <w:i/>
          <w:iCs/>
          <w:color w:val="222222"/>
          <w:shd w:val="clear" w:color="auto" w:fill="FFFFFF"/>
        </w:rPr>
        <w:t>41</w:t>
      </w:r>
      <w:r w:rsidRPr="00DB0152">
        <w:rPr>
          <w:color w:val="222222"/>
          <w:shd w:val="clear" w:color="auto" w:fill="FFFFFF"/>
        </w:rPr>
        <w:t>(1), pp.111-128.</w:t>
      </w:r>
    </w:p>
    <w:p w14:paraId="47E77157" w14:textId="77777777" w:rsidR="00955F03" w:rsidRPr="00DB0152" w:rsidRDefault="00955F03" w:rsidP="00DB0152">
      <w:pPr>
        <w:jc w:val="both"/>
      </w:pPr>
    </w:p>
    <w:p w14:paraId="14F3E56F" w14:textId="77777777" w:rsidR="00747050" w:rsidRPr="00DB0152" w:rsidRDefault="00955F03" w:rsidP="00DB0152">
      <w:pPr>
        <w:spacing w:line="276" w:lineRule="auto"/>
        <w:jc w:val="both"/>
      </w:pPr>
      <w:r w:rsidRPr="00DB0152">
        <w:rPr>
          <w:color w:val="222222"/>
          <w:shd w:val="clear" w:color="auto" w:fill="FFFFFF"/>
        </w:rPr>
        <w:t>Yawson, R., 2020. Strategic flexibility analysis of HRD research and practice post COVID-19 pandemic. </w:t>
      </w:r>
      <w:r w:rsidRPr="00DB0152">
        <w:rPr>
          <w:i/>
          <w:iCs/>
          <w:color w:val="222222"/>
          <w:shd w:val="clear" w:color="auto" w:fill="FFFFFF"/>
        </w:rPr>
        <w:t>Human Resource Development International</w:t>
      </w:r>
      <w:r w:rsidRPr="00DB0152">
        <w:rPr>
          <w:color w:val="222222"/>
          <w:shd w:val="clear" w:color="auto" w:fill="FFFFFF"/>
        </w:rPr>
        <w:t>, </w:t>
      </w:r>
      <w:r w:rsidRPr="00DB0152">
        <w:rPr>
          <w:i/>
          <w:iCs/>
          <w:color w:val="222222"/>
          <w:shd w:val="clear" w:color="auto" w:fill="FFFFFF"/>
        </w:rPr>
        <w:t>23</w:t>
      </w:r>
      <w:r w:rsidRPr="00DB0152">
        <w:rPr>
          <w:color w:val="222222"/>
          <w:shd w:val="clear" w:color="auto" w:fill="FFFFFF"/>
        </w:rPr>
        <w:t>(4), pp.406-417.</w:t>
      </w:r>
    </w:p>
    <w:sectPr w:rsidR="00747050" w:rsidRPr="00DB0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BAC"/>
    <w:multiLevelType w:val="hybridMultilevel"/>
    <w:tmpl w:val="A6A0D586"/>
    <w:lvl w:ilvl="0" w:tplc="EE9424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C652E"/>
    <w:multiLevelType w:val="multilevel"/>
    <w:tmpl w:val="BB8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F7DCD"/>
    <w:multiLevelType w:val="hybridMultilevel"/>
    <w:tmpl w:val="50EE501C"/>
    <w:lvl w:ilvl="0" w:tplc="BD620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D5EDA"/>
    <w:multiLevelType w:val="multilevel"/>
    <w:tmpl w:val="1818CA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7822A8"/>
    <w:multiLevelType w:val="multilevel"/>
    <w:tmpl w:val="8BD2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805465"/>
    <w:multiLevelType w:val="hybridMultilevel"/>
    <w:tmpl w:val="1A8E1ED4"/>
    <w:lvl w:ilvl="0" w:tplc="FEEC6766">
      <w:start w:val="1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F55A8"/>
    <w:multiLevelType w:val="multilevel"/>
    <w:tmpl w:val="89D8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6D67FB"/>
    <w:multiLevelType w:val="multilevel"/>
    <w:tmpl w:val="9F10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4B49DD"/>
    <w:multiLevelType w:val="hybridMultilevel"/>
    <w:tmpl w:val="E610890E"/>
    <w:lvl w:ilvl="0" w:tplc="EE9424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5B1FB6"/>
    <w:multiLevelType w:val="multilevel"/>
    <w:tmpl w:val="8406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372584"/>
    <w:multiLevelType w:val="hybridMultilevel"/>
    <w:tmpl w:val="CC66F9B8"/>
    <w:lvl w:ilvl="0" w:tplc="EE9424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91E27"/>
    <w:multiLevelType w:val="hybridMultilevel"/>
    <w:tmpl w:val="8388855C"/>
    <w:lvl w:ilvl="0" w:tplc="E5F6B5FE">
      <w:start w:val="1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41FF7"/>
    <w:multiLevelType w:val="hybridMultilevel"/>
    <w:tmpl w:val="DA20BE68"/>
    <w:lvl w:ilvl="0" w:tplc="EE9424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05E87"/>
    <w:multiLevelType w:val="multilevel"/>
    <w:tmpl w:val="79B6AD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456CF4"/>
    <w:multiLevelType w:val="hybridMultilevel"/>
    <w:tmpl w:val="2CCA9F5A"/>
    <w:lvl w:ilvl="0" w:tplc="7B0E4A92">
      <w:start w:val="2"/>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412693">
    <w:abstractNumId w:val="9"/>
  </w:num>
  <w:num w:numId="2" w16cid:durableId="985009572">
    <w:abstractNumId w:val="5"/>
  </w:num>
  <w:num w:numId="3" w16cid:durableId="901719548">
    <w:abstractNumId w:val="11"/>
  </w:num>
  <w:num w:numId="4" w16cid:durableId="1587499694">
    <w:abstractNumId w:val="1"/>
  </w:num>
  <w:num w:numId="5" w16cid:durableId="227305390">
    <w:abstractNumId w:val="8"/>
  </w:num>
  <w:num w:numId="6" w16cid:durableId="1654870139">
    <w:abstractNumId w:val="7"/>
  </w:num>
  <w:num w:numId="7" w16cid:durableId="2081127223">
    <w:abstractNumId w:val="10"/>
  </w:num>
  <w:num w:numId="8" w16cid:durableId="1767921888">
    <w:abstractNumId w:val="6"/>
  </w:num>
  <w:num w:numId="9" w16cid:durableId="599336274">
    <w:abstractNumId w:val="0"/>
  </w:num>
  <w:num w:numId="10" w16cid:durableId="14237124">
    <w:abstractNumId w:val="13"/>
  </w:num>
  <w:num w:numId="11" w16cid:durableId="114056807">
    <w:abstractNumId w:val="3"/>
  </w:num>
  <w:num w:numId="12" w16cid:durableId="132873897">
    <w:abstractNumId w:val="12"/>
  </w:num>
  <w:num w:numId="13" w16cid:durableId="1958564336">
    <w:abstractNumId w:val="14"/>
  </w:num>
  <w:num w:numId="14" w16cid:durableId="1441611091">
    <w:abstractNumId w:val="4"/>
  </w:num>
  <w:num w:numId="15" w16cid:durableId="736904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70"/>
    <w:rsid w:val="0001382D"/>
    <w:rsid w:val="00014586"/>
    <w:rsid w:val="000223BC"/>
    <w:rsid w:val="000348F0"/>
    <w:rsid w:val="000374F3"/>
    <w:rsid w:val="00043D12"/>
    <w:rsid w:val="00052D84"/>
    <w:rsid w:val="00053E79"/>
    <w:rsid w:val="0007498A"/>
    <w:rsid w:val="00083DA5"/>
    <w:rsid w:val="000878AF"/>
    <w:rsid w:val="000B297F"/>
    <w:rsid w:val="000C35F9"/>
    <w:rsid w:val="000C78F6"/>
    <w:rsid w:val="000D24A3"/>
    <w:rsid w:val="00102477"/>
    <w:rsid w:val="00103004"/>
    <w:rsid w:val="00123343"/>
    <w:rsid w:val="001308BB"/>
    <w:rsid w:val="00130C1B"/>
    <w:rsid w:val="00156768"/>
    <w:rsid w:val="001609C3"/>
    <w:rsid w:val="00181A61"/>
    <w:rsid w:val="00192153"/>
    <w:rsid w:val="00195FDA"/>
    <w:rsid w:val="001A1433"/>
    <w:rsid w:val="001B45F9"/>
    <w:rsid w:val="001B6A8D"/>
    <w:rsid w:val="001D32E3"/>
    <w:rsid w:val="001E1589"/>
    <w:rsid w:val="001F7CEE"/>
    <w:rsid w:val="00201F9B"/>
    <w:rsid w:val="00205115"/>
    <w:rsid w:val="0023576A"/>
    <w:rsid w:val="00237380"/>
    <w:rsid w:val="0024004A"/>
    <w:rsid w:val="00244A3B"/>
    <w:rsid w:val="00272AEE"/>
    <w:rsid w:val="00273FB5"/>
    <w:rsid w:val="002B09B0"/>
    <w:rsid w:val="002C0151"/>
    <w:rsid w:val="002C3316"/>
    <w:rsid w:val="002C4BEA"/>
    <w:rsid w:val="002C7A8C"/>
    <w:rsid w:val="002D128D"/>
    <w:rsid w:val="002D6A2C"/>
    <w:rsid w:val="002D6F86"/>
    <w:rsid w:val="002E6D78"/>
    <w:rsid w:val="002F1D30"/>
    <w:rsid w:val="00312954"/>
    <w:rsid w:val="003258FD"/>
    <w:rsid w:val="00371647"/>
    <w:rsid w:val="003822E3"/>
    <w:rsid w:val="00386E0A"/>
    <w:rsid w:val="00390705"/>
    <w:rsid w:val="0039357B"/>
    <w:rsid w:val="003B5FEC"/>
    <w:rsid w:val="003C5670"/>
    <w:rsid w:val="003E297B"/>
    <w:rsid w:val="003E793C"/>
    <w:rsid w:val="0040177F"/>
    <w:rsid w:val="004065A8"/>
    <w:rsid w:val="004261AA"/>
    <w:rsid w:val="004414E2"/>
    <w:rsid w:val="00445D1C"/>
    <w:rsid w:val="004509A7"/>
    <w:rsid w:val="0045172D"/>
    <w:rsid w:val="0048322C"/>
    <w:rsid w:val="00496DC3"/>
    <w:rsid w:val="004A19A9"/>
    <w:rsid w:val="004A75C3"/>
    <w:rsid w:val="004B6CB2"/>
    <w:rsid w:val="004D2FD7"/>
    <w:rsid w:val="004D4B4B"/>
    <w:rsid w:val="004E058F"/>
    <w:rsid w:val="004E41D5"/>
    <w:rsid w:val="004E47DB"/>
    <w:rsid w:val="0050036C"/>
    <w:rsid w:val="00503DBC"/>
    <w:rsid w:val="00522DBC"/>
    <w:rsid w:val="005444DC"/>
    <w:rsid w:val="005457F3"/>
    <w:rsid w:val="005629CC"/>
    <w:rsid w:val="005730C9"/>
    <w:rsid w:val="00573375"/>
    <w:rsid w:val="00576129"/>
    <w:rsid w:val="00590890"/>
    <w:rsid w:val="005916E6"/>
    <w:rsid w:val="00593BE9"/>
    <w:rsid w:val="00594740"/>
    <w:rsid w:val="00597B0C"/>
    <w:rsid w:val="005B3809"/>
    <w:rsid w:val="005B6646"/>
    <w:rsid w:val="005D048E"/>
    <w:rsid w:val="0060056D"/>
    <w:rsid w:val="006041A2"/>
    <w:rsid w:val="00610972"/>
    <w:rsid w:val="00615A6D"/>
    <w:rsid w:val="0062018D"/>
    <w:rsid w:val="00631A68"/>
    <w:rsid w:val="00635022"/>
    <w:rsid w:val="00635B4A"/>
    <w:rsid w:val="006363FE"/>
    <w:rsid w:val="00657D8C"/>
    <w:rsid w:val="00665374"/>
    <w:rsid w:val="00667D80"/>
    <w:rsid w:val="006777A9"/>
    <w:rsid w:val="006933DB"/>
    <w:rsid w:val="00695E24"/>
    <w:rsid w:val="006B4708"/>
    <w:rsid w:val="006B694C"/>
    <w:rsid w:val="006D2420"/>
    <w:rsid w:val="006E0AAD"/>
    <w:rsid w:val="006E23CA"/>
    <w:rsid w:val="006F48FF"/>
    <w:rsid w:val="007067C9"/>
    <w:rsid w:val="0070793B"/>
    <w:rsid w:val="007175C4"/>
    <w:rsid w:val="0072393D"/>
    <w:rsid w:val="00745987"/>
    <w:rsid w:val="00747050"/>
    <w:rsid w:val="0075568B"/>
    <w:rsid w:val="007605CE"/>
    <w:rsid w:val="00764C05"/>
    <w:rsid w:val="0077682C"/>
    <w:rsid w:val="007814DF"/>
    <w:rsid w:val="00783217"/>
    <w:rsid w:val="00783969"/>
    <w:rsid w:val="007916D4"/>
    <w:rsid w:val="007A24FE"/>
    <w:rsid w:val="007A7560"/>
    <w:rsid w:val="007B1DCB"/>
    <w:rsid w:val="007B5470"/>
    <w:rsid w:val="007D1F00"/>
    <w:rsid w:val="007D7770"/>
    <w:rsid w:val="007E3F80"/>
    <w:rsid w:val="00801D9F"/>
    <w:rsid w:val="008052A3"/>
    <w:rsid w:val="0081259B"/>
    <w:rsid w:val="00846F69"/>
    <w:rsid w:val="00847E32"/>
    <w:rsid w:val="0087515C"/>
    <w:rsid w:val="00882550"/>
    <w:rsid w:val="008928E9"/>
    <w:rsid w:val="008D5E16"/>
    <w:rsid w:val="008D6323"/>
    <w:rsid w:val="008F74D9"/>
    <w:rsid w:val="009221C4"/>
    <w:rsid w:val="00937D61"/>
    <w:rsid w:val="00953F00"/>
    <w:rsid w:val="00955F03"/>
    <w:rsid w:val="009571E1"/>
    <w:rsid w:val="00970C01"/>
    <w:rsid w:val="00977CFB"/>
    <w:rsid w:val="009A1BE5"/>
    <w:rsid w:val="009A1DA3"/>
    <w:rsid w:val="009A6700"/>
    <w:rsid w:val="009B0FCC"/>
    <w:rsid w:val="009B3C48"/>
    <w:rsid w:val="009E4A5E"/>
    <w:rsid w:val="00A0075B"/>
    <w:rsid w:val="00A035F2"/>
    <w:rsid w:val="00A1300C"/>
    <w:rsid w:val="00A1774E"/>
    <w:rsid w:val="00A412AD"/>
    <w:rsid w:val="00A5397A"/>
    <w:rsid w:val="00A57286"/>
    <w:rsid w:val="00A70522"/>
    <w:rsid w:val="00A74932"/>
    <w:rsid w:val="00A76876"/>
    <w:rsid w:val="00A91B90"/>
    <w:rsid w:val="00A9213A"/>
    <w:rsid w:val="00A96906"/>
    <w:rsid w:val="00AA5E08"/>
    <w:rsid w:val="00AB7D04"/>
    <w:rsid w:val="00AE0097"/>
    <w:rsid w:val="00AE228A"/>
    <w:rsid w:val="00AE24A2"/>
    <w:rsid w:val="00AF3298"/>
    <w:rsid w:val="00B238E9"/>
    <w:rsid w:val="00B2599F"/>
    <w:rsid w:val="00B46EE7"/>
    <w:rsid w:val="00B61A02"/>
    <w:rsid w:val="00B669C9"/>
    <w:rsid w:val="00B670D6"/>
    <w:rsid w:val="00B67EFD"/>
    <w:rsid w:val="00B96567"/>
    <w:rsid w:val="00B96D08"/>
    <w:rsid w:val="00BB173B"/>
    <w:rsid w:val="00BC3F42"/>
    <w:rsid w:val="00BC4431"/>
    <w:rsid w:val="00BD0C93"/>
    <w:rsid w:val="00BE3120"/>
    <w:rsid w:val="00C030CE"/>
    <w:rsid w:val="00C10977"/>
    <w:rsid w:val="00C140B4"/>
    <w:rsid w:val="00C277C0"/>
    <w:rsid w:val="00C515C2"/>
    <w:rsid w:val="00C66106"/>
    <w:rsid w:val="00C81989"/>
    <w:rsid w:val="00CA7A85"/>
    <w:rsid w:val="00CB5584"/>
    <w:rsid w:val="00CF044F"/>
    <w:rsid w:val="00CF3343"/>
    <w:rsid w:val="00D0267D"/>
    <w:rsid w:val="00D06B1E"/>
    <w:rsid w:val="00D434E8"/>
    <w:rsid w:val="00D5197F"/>
    <w:rsid w:val="00D66AFF"/>
    <w:rsid w:val="00D677C0"/>
    <w:rsid w:val="00D712C8"/>
    <w:rsid w:val="00D73B2B"/>
    <w:rsid w:val="00D95330"/>
    <w:rsid w:val="00D96918"/>
    <w:rsid w:val="00DB0152"/>
    <w:rsid w:val="00DD5591"/>
    <w:rsid w:val="00DE184F"/>
    <w:rsid w:val="00DE56C3"/>
    <w:rsid w:val="00E2227E"/>
    <w:rsid w:val="00E22285"/>
    <w:rsid w:val="00E53427"/>
    <w:rsid w:val="00E53D90"/>
    <w:rsid w:val="00E62CDB"/>
    <w:rsid w:val="00E73CFB"/>
    <w:rsid w:val="00E76D62"/>
    <w:rsid w:val="00E776EA"/>
    <w:rsid w:val="00E95108"/>
    <w:rsid w:val="00E95AC4"/>
    <w:rsid w:val="00EA0291"/>
    <w:rsid w:val="00EA5830"/>
    <w:rsid w:val="00EB1561"/>
    <w:rsid w:val="00EC2E32"/>
    <w:rsid w:val="00EC3983"/>
    <w:rsid w:val="00EC5372"/>
    <w:rsid w:val="00ED070E"/>
    <w:rsid w:val="00ED4CF3"/>
    <w:rsid w:val="00EF2187"/>
    <w:rsid w:val="00F06578"/>
    <w:rsid w:val="00F208D3"/>
    <w:rsid w:val="00F24155"/>
    <w:rsid w:val="00F2459F"/>
    <w:rsid w:val="00F26062"/>
    <w:rsid w:val="00F34A03"/>
    <w:rsid w:val="00F37195"/>
    <w:rsid w:val="00F57638"/>
    <w:rsid w:val="00F625E7"/>
    <w:rsid w:val="00F62CE7"/>
    <w:rsid w:val="00F75E67"/>
    <w:rsid w:val="00F8336A"/>
    <w:rsid w:val="00F86802"/>
    <w:rsid w:val="00F94CDA"/>
    <w:rsid w:val="00F957A0"/>
    <w:rsid w:val="00F961C1"/>
    <w:rsid w:val="00FA2114"/>
    <w:rsid w:val="00FB5324"/>
    <w:rsid w:val="00FB5899"/>
    <w:rsid w:val="00FC67AC"/>
    <w:rsid w:val="00FD2D0F"/>
    <w:rsid w:val="00FE68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8E45"/>
  <w15:chartTrackingRefBased/>
  <w15:docId w15:val="{2E23FBC2-CC0D-E643-A519-43BEA8A9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2"/>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977"/>
    <w:pPr>
      <w:spacing w:before="100" w:beforeAutospacing="1" w:after="100" w:afterAutospacing="1"/>
    </w:pPr>
  </w:style>
  <w:style w:type="character" w:styleId="Strong">
    <w:name w:val="Strong"/>
    <w:basedOn w:val="DefaultParagraphFont"/>
    <w:uiPriority w:val="22"/>
    <w:qFormat/>
    <w:rsid w:val="00C10977"/>
    <w:rPr>
      <w:b/>
      <w:bCs/>
    </w:rPr>
  </w:style>
  <w:style w:type="paragraph" w:styleId="ListParagraph">
    <w:name w:val="List Paragraph"/>
    <w:basedOn w:val="Normal"/>
    <w:uiPriority w:val="34"/>
    <w:qFormat/>
    <w:rsid w:val="007175C4"/>
    <w:pPr>
      <w:ind w:left="720"/>
      <w:contextualSpacing/>
    </w:pPr>
  </w:style>
  <w:style w:type="table" w:styleId="TableGrid">
    <w:name w:val="Table Grid"/>
    <w:basedOn w:val="TableNormal"/>
    <w:uiPriority w:val="39"/>
    <w:rsid w:val="00D434E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C35F9"/>
    <w:rPr>
      <w:color w:val="0000FF"/>
      <w:u w:val="single"/>
    </w:rPr>
  </w:style>
  <w:style w:type="character" w:customStyle="1" w:styleId="anchor-text">
    <w:name w:val="anchor-text"/>
    <w:basedOn w:val="DefaultParagraphFont"/>
    <w:rsid w:val="00FA2114"/>
  </w:style>
  <w:style w:type="paragraph" w:styleId="Revision">
    <w:name w:val="Revision"/>
    <w:hidden/>
    <w:uiPriority w:val="99"/>
    <w:semiHidden/>
    <w:rsid w:val="00BE3120"/>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23576A"/>
    <w:rPr>
      <w:sz w:val="16"/>
      <w:szCs w:val="16"/>
    </w:rPr>
  </w:style>
  <w:style w:type="paragraph" w:styleId="CommentText">
    <w:name w:val="annotation text"/>
    <w:basedOn w:val="Normal"/>
    <w:link w:val="CommentTextChar"/>
    <w:uiPriority w:val="99"/>
    <w:unhideWhenUsed/>
    <w:rsid w:val="0023576A"/>
    <w:pPr>
      <w:spacing w:after="160"/>
    </w:pPr>
    <w:rPr>
      <w:rFonts w:asciiTheme="minorHAnsi" w:eastAsiaTheme="minorHAnsi" w:hAnsiTheme="minorHAnsi" w:cstheme="minorBidi"/>
      <w:kern w:val="2"/>
      <w:sz w:val="20"/>
      <w:szCs w:val="20"/>
      <w:lang w:val="en-GB" w:eastAsia="en-US"/>
      <w14:ligatures w14:val="standardContextual"/>
    </w:rPr>
  </w:style>
  <w:style w:type="character" w:customStyle="1" w:styleId="CommentTextChar">
    <w:name w:val="Comment Text Char"/>
    <w:basedOn w:val="DefaultParagraphFont"/>
    <w:link w:val="CommentText"/>
    <w:uiPriority w:val="99"/>
    <w:rsid w:val="0023576A"/>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8979">
      <w:bodyDiv w:val="1"/>
      <w:marLeft w:val="0"/>
      <w:marRight w:val="0"/>
      <w:marTop w:val="0"/>
      <w:marBottom w:val="0"/>
      <w:divBdr>
        <w:top w:val="none" w:sz="0" w:space="0" w:color="auto"/>
        <w:left w:val="none" w:sz="0" w:space="0" w:color="auto"/>
        <w:bottom w:val="none" w:sz="0" w:space="0" w:color="auto"/>
        <w:right w:val="none" w:sz="0" w:space="0" w:color="auto"/>
      </w:divBdr>
    </w:div>
    <w:div w:id="608121092">
      <w:bodyDiv w:val="1"/>
      <w:marLeft w:val="0"/>
      <w:marRight w:val="0"/>
      <w:marTop w:val="0"/>
      <w:marBottom w:val="0"/>
      <w:divBdr>
        <w:top w:val="none" w:sz="0" w:space="0" w:color="auto"/>
        <w:left w:val="none" w:sz="0" w:space="0" w:color="auto"/>
        <w:bottom w:val="none" w:sz="0" w:space="0" w:color="auto"/>
        <w:right w:val="none" w:sz="0" w:space="0" w:color="auto"/>
      </w:divBdr>
    </w:div>
    <w:div w:id="675885971">
      <w:bodyDiv w:val="1"/>
      <w:marLeft w:val="0"/>
      <w:marRight w:val="0"/>
      <w:marTop w:val="0"/>
      <w:marBottom w:val="0"/>
      <w:divBdr>
        <w:top w:val="none" w:sz="0" w:space="0" w:color="auto"/>
        <w:left w:val="none" w:sz="0" w:space="0" w:color="auto"/>
        <w:bottom w:val="none" w:sz="0" w:space="0" w:color="auto"/>
        <w:right w:val="none" w:sz="0" w:space="0" w:color="auto"/>
      </w:divBdr>
    </w:div>
    <w:div w:id="825513407">
      <w:bodyDiv w:val="1"/>
      <w:marLeft w:val="0"/>
      <w:marRight w:val="0"/>
      <w:marTop w:val="0"/>
      <w:marBottom w:val="0"/>
      <w:divBdr>
        <w:top w:val="none" w:sz="0" w:space="0" w:color="auto"/>
        <w:left w:val="none" w:sz="0" w:space="0" w:color="auto"/>
        <w:bottom w:val="none" w:sz="0" w:space="0" w:color="auto"/>
        <w:right w:val="none" w:sz="0" w:space="0" w:color="auto"/>
      </w:divBdr>
    </w:div>
    <w:div w:id="832987787">
      <w:bodyDiv w:val="1"/>
      <w:marLeft w:val="0"/>
      <w:marRight w:val="0"/>
      <w:marTop w:val="0"/>
      <w:marBottom w:val="0"/>
      <w:divBdr>
        <w:top w:val="none" w:sz="0" w:space="0" w:color="auto"/>
        <w:left w:val="none" w:sz="0" w:space="0" w:color="auto"/>
        <w:bottom w:val="none" w:sz="0" w:space="0" w:color="auto"/>
        <w:right w:val="none" w:sz="0" w:space="0" w:color="auto"/>
      </w:divBdr>
    </w:div>
    <w:div w:id="1162621510">
      <w:bodyDiv w:val="1"/>
      <w:marLeft w:val="0"/>
      <w:marRight w:val="0"/>
      <w:marTop w:val="0"/>
      <w:marBottom w:val="0"/>
      <w:divBdr>
        <w:top w:val="none" w:sz="0" w:space="0" w:color="auto"/>
        <w:left w:val="none" w:sz="0" w:space="0" w:color="auto"/>
        <w:bottom w:val="none" w:sz="0" w:space="0" w:color="auto"/>
        <w:right w:val="none" w:sz="0" w:space="0" w:color="auto"/>
      </w:divBdr>
    </w:div>
    <w:div w:id="1207253188">
      <w:bodyDiv w:val="1"/>
      <w:marLeft w:val="0"/>
      <w:marRight w:val="0"/>
      <w:marTop w:val="0"/>
      <w:marBottom w:val="0"/>
      <w:divBdr>
        <w:top w:val="none" w:sz="0" w:space="0" w:color="auto"/>
        <w:left w:val="none" w:sz="0" w:space="0" w:color="auto"/>
        <w:bottom w:val="none" w:sz="0" w:space="0" w:color="auto"/>
        <w:right w:val="none" w:sz="0" w:space="0" w:color="auto"/>
      </w:divBdr>
    </w:div>
    <w:div w:id="1501967559">
      <w:bodyDiv w:val="1"/>
      <w:marLeft w:val="0"/>
      <w:marRight w:val="0"/>
      <w:marTop w:val="0"/>
      <w:marBottom w:val="0"/>
      <w:divBdr>
        <w:top w:val="none" w:sz="0" w:space="0" w:color="auto"/>
        <w:left w:val="none" w:sz="0" w:space="0" w:color="auto"/>
        <w:bottom w:val="none" w:sz="0" w:space="0" w:color="auto"/>
        <w:right w:val="none" w:sz="0" w:space="0" w:color="auto"/>
      </w:divBdr>
    </w:div>
    <w:div w:id="1574462439">
      <w:bodyDiv w:val="1"/>
      <w:marLeft w:val="0"/>
      <w:marRight w:val="0"/>
      <w:marTop w:val="0"/>
      <w:marBottom w:val="0"/>
      <w:divBdr>
        <w:top w:val="none" w:sz="0" w:space="0" w:color="auto"/>
        <w:left w:val="none" w:sz="0" w:space="0" w:color="auto"/>
        <w:bottom w:val="none" w:sz="0" w:space="0" w:color="auto"/>
        <w:right w:val="none" w:sz="0" w:space="0" w:color="auto"/>
      </w:divBdr>
    </w:div>
    <w:div w:id="160079088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sChild>
        <w:div w:id="188416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26</Pages>
  <Words>7448</Words>
  <Characters>42457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P</dc:creator>
  <cp:keywords/>
  <dc:description/>
  <cp:lastModifiedBy>Prikshat Verma</cp:lastModifiedBy>
  <cp:revision>23</cp:revision>
  <dcterms:created xsi:type="dcterms:W3CDTF">2023-12-19T10:16:00Z</dcterms:created>
  <dcterms:modified xsi:type="dcterms:W3CDTF">2024-03-18T00:28:00Z</dcterms:modified>
</cp:coreProperties>
</file>