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D9126" w14:textId="77777777" w:rsidR="00F80336" w:rsidRPr="007B696F" w:rsidRDefault="008A57D4" w:rsidP="00F232FE">
      <w:pPr>
        <w:pStyle w:val="FirstParagraph"/>
        <w:spacing w:line="360" w:lineRule="auto"/>
        <w:rPr>
          <w:rFonts w:ascii="Times New Roman" w:hAnsi="Times New Roman" w:cs="Times New Roman"/>
          <w:b/>
          <w:bCs/>
        </w:rPr>
      </w:pPr>
      <w:r w:rsidRPr="007B696F">
        <w:rPr>
          <w:rFonts w:ascii="Times New Roman" w:hAnsi="Times New Roman" w:cs="Times New Roman"/>
          <w:b/>
          <w:bCs/>
        </w:rPr>
        <w:t>African Belongings in Museums as Invitations to Re-Worlding</w:t>
      </w:r>
    </w:p>
    <w:p w14:paraId="67264D79" w14:textId="77777777" w:rsidR="00F80336" w:rsidRPr="007B696F" w:rsidRDefault="549BD405" w:rsidP="00F232FE">
      <w:pPr>
        <w:pStyle w:val="BodyText"/>
        <w:spacing w:line="360" w:lineRule="auto"/>
        <w:rPr>
          <w:rFonts w:ascii="Times New Roman" w:hAnsi="Times New Roman" w:cs="Times New Roman"/>
          <w:b/>
          <w:bCs/>
        </w:rPr>
      </w:pPr>
      <w:proofErr w:type="spellStart"/>
      <w:r w:rsidRPr="3584D67C">
        <w:rPr>
          <w:rFonts w:ascii="Times New Roman" w:hAnsi="Times New Roman" w:cs="Times New Roman"/>
          <w:b/>
          <w:bCs/>
        </w:rPr>
        <w:t>Technopolitics</w:t>
      </w:r>
      <w:proofErr w:type="spellEnd"/>
      <w:r w:rsidRPr="3584D67C">
        <w:rPr>
          <w:rFonts w:ascii="Times New Roman" w:hAnsi="Times New Roman" w:cs="Times New Roman"/>
          <w:b/>
          <w:bCs/>
        </w:rPr>
        <w:t>, Underlife, and the Limits of Museological Common Sense</w:t>
      </w:r>
    </w:p>
    <w:p w14:paraId="4376FFA9" w14:textId="77777777" w:rsidR="00F80336" w:rsidRPr="007B696F" w:rsidRDefault="008A57D4" w:rsidP="00F232FE">
      <w:pPr>
        <w:pStyle w:val="BodyText"/>
        <w:spacing w:line="360" w:lineRule="auto"/>
        <w:rPr>
          <w:rFonts w:ascii="Times New Roman" w:hAnsi="Times New Roman" w:cs="Times New Roman"/>
          <w:b/>
          <w:bCs/>
        </w:rPr>
      </w:pPr>
      <w:r w:rsidRPr="007B696F">
        <w:rPr>
          <w:rFonts w:ascii="Times New Roman" w:hAnsi="Times New Roman" w:cs="Times New Roman"/>
          <w:b/>
          <w:bCs/>
        </w:rPr>
        <w:t>Louisa Minkin &amp; Lennon Mhishi</w:t>
      </w:r>
    </w:p>
    <w:p w14:paraId="04AEBD3B" w14:textId="77777777" w:rsidR="004A248D" w:rsidRDefault="004A248D" w:rsidP="00F232FE">
      <w:pPr>
        <w:pStyle w:val="BodyText"/>
        <w:spacing w:line="360" w:lineRule="auto"/>
        <w:rPr>
          <w:rFonts w:ascii="Times New Roman" w:hAnsi="Times New Roman" w:cs="Times New Roman"/>
          <w:b/>
          <w:bCs/>
        </w:rPr>
      </w:pPr>
    </w:p>
    <w:p w14:paraId="427660E9" w14:textId="2CB2AC2C" w:rsidR="008E5258" w:rsidRPr="008E5258" w:rsidRDefault="008E5258" w:rsidP="00F232FE">
      <w:pPr>
        <w:pStyle w:val="BodyText"/>
        <w:spacing w:line="360" w:lineRule="auto"/>
        <w:rPr>
          <w:rFonts w:ascii="Times New Roman" w:hAnsi="Times New Roman" w:cs="Times New Roman"/>
        </w:rPr>
      </w:pPr>
      <w:r w:rsidRPr="65339B38">
        <w:rPr>
          <w:rFonts w:ascii="Times New Roman" w:hAnsi="Times New Roman" w:cs="Times New Roman"/>
        </w:rPr>
        <w:t xml:space="preserve">We begin by outlining four terms that have become useful for this project: belongings, re-worlding, underlife, and museological common sense. We then ground these concepts in collaborative work developed between museums and art schools. Meanwhile, a slideshow of project events and works produced by colleagues, collaborators, and graduates will loop </w:t>
      </w:r>
      <w:r w:rsidR="00AD3E34" w:rsidRPr="65339B38">
        <w:rPr>
          <w:rFonts w:ascii="Times New Roman" w:hAnsi="Times New Roman" w:cs="Times New Roman"/>
        </w:rPr>
        <w:t>on screen</w:t>
      </w:r>
      <w:r w:rsidRPr="65339B38">
        <w:rPr>
          <w:rFonts w:ascii="Times New Roman" w:hAnsi="Times New Roman" w:cs="Times New Roman"/>
        </w:rPr>
        <w:t>.</w:t>
      </w:r>
    </w:p>
    <w:p w14:paraId="440FF57D" w14:textId="77777777" w:rsidR="008E5258" w:rsidRDefault="008E5258" w:rsidP="00F232FE">
      <w:pPr>
        <w:pStyle w:val="BodyText"/>
        <w:spacing w:line="360" w:lineRule="auto"/>
      </w:pPr>
    </w:p>
    <w:p w14:paraId="473AD507" w14:textId="527094F9" w:rsidR="00F80336" w:rsidRPr="007B696F" w:rsidRDefault="008A57D4" w:rsidP="00F232FE">
      <w:pPr>
        <w:pStyle w:val="BodyText"/>
        <w:spacing w:line="360" w:lineRule="auto"/>
        <w:rPr>
          <w:rFonts w:ascii="Times New Roman" w:hAnsi="Times New Roman" w:cs="Times New Roman"/>
          <w:b/>
          <w:bCs/>
        </w:rPr>
      </w:pPr>
      <w:r w:rsidRPr="65339B38">
        <w:rPr>
          <w:rFonts w:ascii="Times New Roman" w:hAnsi="Times New Roman" w:cs="Times New Roman"/>
          <w:b/>
          <w:bCs/>
        </w:rPr>
        <w:t>Abstract</w:t>
      </w:r>
    </w:p>
    <w:p w14:paraId="10E5A27C" w14:textId="08F653A5" w:rsidR="303B2305" w:rsidRDefault="6AFF2F31" w:rsidP="3584D67C">
      <w:pPr>
        <w:spacing w:after="240" w:line="360" w:lineRule="auto"/>
        <w:rPr>
          <w:rFonts w:ascii="Times New Roman" w:eastAsia="Times New Roman" w:hAnsi="Times New Roman" w:cs="Times New Roman"/>
        </w:rPr>
      </w:pPr>
      <w:r w:rsidRPr="3584D67C">
        <w:rPr>
          <w:rFonts w:ascii="Times New Roman" w:eastAsia="Times New Roman" w:hAnsi="Times New Roman" w:cs="Times New Roman"/>
        </w:rPr>
        <w:t xml:space="preserve">This paper examines how African belongings held in museum collections can be encountered as invitations to re-worlding. Re-worlding names practices that reconnect museum-held belongings to the relational worlds from which they were separated, without presuming those worlds can be restored. Drawing on the collaborative projects </w:t>
      </w:r>
      <w:r w:rsidRPr="3584D67C">
        <w:rPr>
          <w:rFonts w:ascii="Times New Roman" w:eastAsia="Times New Roman" w:hAnsi="Times New Roman" w:cs="Times New Roman"/>
          <w:i/>
          <w:iCs/>
        </w:rPr>
        <w:t>Prisoners of Love</w:t>
      </w:r>
      <w:r w:rsidRPr="3584D67C">
        <w:rPr>
          <w:rFonts w:ascii="Times New Roman" w:eastAsia="Times New Roman" w:hAnsi="Times New Roman" w:cs="Times New Roman"/>
        </w:rPr>
        <w:t xml:space="preserve"> and </w:t>
      </w:r>
      <w:r w:rsidRPr="3584D67C">
        <w:rPr>
          <w:rFonts w:ascii="Times New Roman" w:eastAsia="Times New Roman" w:hAnsi="Times New Roman" w:cs="Times New Roman"/>
          <w:i/>
          <w:iCs/>
        </w:rPr>
        <w:t>Reconnecting Objects</w:t>
      </w:r>
      <w:r w:rsidRPr="3584D67C">
        <w:rPr>
          <w:rFonts w:ascii="Times New Roman" w:eastAsia="Times New Roman" w:hAnsi="Times New Roman" w:cs="Times New Roman"/>
        </w:rPr>
        <w:t>, we explore how handling sessions, digital modelling, and speculative art practices generate modes of engagement that exceed conventional museological frameworks. Rather than discrete objects, these materials are approached as belongings embedded in technopolitical and social infrastructures disrupted by colonial extraction.</w:t>
      </w:r>
    </w:p>
    <w:p w14:paraId="2C11F218" w14:textId="1ED1F991" w:rsidR="303B2305" w:rsidRDefault="6AFF2F31" w:rsidP="3584D67C">
      <w:pPr>
        <w:spacing w:before="240" w:after="240" w:line="360" w:lineRule="auto"/>
        <w:rPr>
          <w:rFonts w:ascii="Times New Roman" w:eastAsia="Times New Roman" w:hAnsi="Times New Roman" w:cs="Times New Roman"/>
        </w:rPr>
      </w:pPr>
      <w:r w:rsidRPr="3584D67C">
        <w:rPr>
          <w:rFonts w:ascii="Times New Roman" w:eastAsia="Times New Roman" w:hAnsi="Times New Roman" w:cs="Times New Roman"/>
        </w:rPr>
        <w:t xml:space="preserve">We argue that dominant museum practices are structured by “museological common sense,” extending Stuart Hall’s account of common sense as sedimented ideology. This framework </w:t>
      </w:r>
      <w:proofErr w:type="spellStart"/>
      <w:r w:rsidRPr="3584D67C">
        <w:rPr>
          <w:rFonts w:ascii="Times New Roman" w:eastAsia="Times New Roman" w:hAnsi="Times New Roman" w:cs="Times New Roman"/>
        </w:rPr>
        <w:t>naturalises</w:t>
      </w:r>
      <w:proofErr w:type="spellEnd"/>
      <w:r w:rsidRPr="3584D67C">
        <w:rPr>
          <w:rFonts w:ascii="Times New Roman" w:eastAsia="Times New Roman" w:hAnsi="Times New Roman" w:cs="Times New Roman"/>
        </w:rPr>
        <w:t xml:space="preserve"> extraction, classification, and preservation as neutral acts of care while obscuring the conditions through which African belongings are obtained and contained. Obtaining and containing form a continuous technopolitical operation: extraction initiates separation, while institutional containment </w:t>
      </w:r>
      <w:proofErr w:type="spellStart"/>
      <w:r w:rsidRPr="3584D67C">
        <w:rPr>
          <w:rFonts w:ascii="Times New Roman" w:eastAsia="Times New Roman" w:hAnsi="Times New Roman" w:cs="Times New Roman"/>
        </w:rPr>
        <w:t>reorganises</w:t>
      </w:r>
      <w:proofErr w:type="spellEnd"/>
      <w:r w:rsidRPr="3584D67C">
        <w:rPr>
          <w:rFonts w:ascii="Times New Roman" w:eastAsia="Times New Roman" w:hAnsi="Times New Roman" w:cs="Times New Roman"/>
        </w:rPr>
        <w:t xml:space="preserve"> that separation as knowledge, value, and care. What appears as preservation is thus a </w:t>
      </w:r>
      <w:proofErr w:type="spellStart"/>
      <w:r w:rsidRPr="3584D67C">
        <w:rPr>
          <w:rFonts w:ascii="Times New Roman" w:eastAsia="Times New Roman" w:hAnsi="Times New Roman" w:cs="Times New Roman"/>
        </w:rPr>
        <w:t>stabilisation</w:t>
      </w:r>
      <w:proofErr w:type="spellEnd"/>
      <w:r w:rsidRPr="3584D67C">
        <w:rPr>
          <w:rFonts w:ascii="Times New Roman" w:eastAsia="Times New Roman" w:hAnsi="Times New Roman" w:cs="Times New Roman"/>
        </w:rPr>
        <w:t xml:space="preserve"> of disrupted relations rather than their repair.</w:t>
      </w:r>
    </w:p>
    <w:p w14:paraId="304D68C8" w14:textId="43DB38D8" w:rsidR="303B2305" w:rsidRDefault="6AFF2F31" w:rsidP="3584D67C">
      <w:pPr>
        <w:spacing w:before="240" w:after="240" w:line="360" w:lineRule="auto"/>
        <w:rPr>
          <w:rFonts w:ascii="Times New Roman" w:eastAsia="Times New Roman" w:hAnsi="Times New Roman" w:cs="Times New Roman"/>
        </w:rPr>
      </w:pPr>
      <w:r w:rsidRPr="3584D67C">
        <w:rPr>
          <w:rFonts w:ascii="Times New Roman" w:eastAsia="Times New Roman" w:hAnsi="Times New Roman" w:cs="Times New Roman"/>
        </w:rPr>
        <w:lastRenderedPageBreak/>
        <w:t xml:space="preserve">Drawing on Clapperton Mavhunga’s work on </w:t>
      </w:r>
      <w:proofErr w:type="spellStart"/>
      <w:r w:rsidRPr="3584D67C">
        <w:rPr>
          <w:rFonts w:ascii="Times New Roman" w:eastAsia="Times New Roman" w:hAnsi="Times New Roman" w:cs="Times New Roman"/>
        </w:rPr>
        <w:t>technopolitics</w:t>
      </w:r>
      <w:proofErr w:type="spellEnd"/>
      <w:r w:rsidRPr="3584D67C">
        <w:rPr>
          <w:rFonts w:ascii="Times New Roman" w:eastAsia="Times New Roman" w:hAnsi="Times New Roman" w:cs="Times New Roman"/>
        </w:rPr>
        <w:t xml:space="preserve"> and Erving Goffman’s concept of underlife, we foreground forms of relational persistence that endure within institutional capture and at times unsettle its classificatory order. Through collaborative, sensory, and speculative practices, participants engage belongings as active nodes within ongoing worlds. These engagements enable modest acts of refusal and world-building that redistribute interpretive authority without resolving structural limits.</w:t>
      </w:r>
    </w:p>
    <w:p w14:paraId="34143056" w14:textId="332933EA" w:rsidR="303B2305" w:rsidRDefault="6AFF2F31" w:rsidP="3584D67C">
      <w:pPr>
        <w:spacing w:before="240" w:after="240" w:line="360" w:lineRule="auto"/>
        <w:rPr>
          <w:rFonts w:ascii="Times New Roman" w:eastAsia="Times New Roman" w:hAnsi="Times New Roman" w:cs="Times New Roman"/>
        </w:rPr>
      </w:pPr>
      <w:r w:rsidRPr="3584D67C">
        <w:rPr>
          <w:rFonts w:ascii="Times New Roman" w:eastAsia="Times New Roman" w:hAnsi="Times New Roman" w:cs="Times New Roman"/>
        </w:rPr>
        <w:t>We suggest that such practices open alternative trajectories for African art and museological futures by shifting emphasis from preservation and interpretation toward relationality, distributed authority, and ongoing processes of world-making.</w:t>
      </w:r>
    </w:p>
    <w:p w14:paraId="621F2333" w14:textId="60C04192" w:rsidR="65339B38" w:rsidRDefault="65339B38" w:rsidP="65339B38">
      <w:pPr>
        <w:pStyle w:val="BodyText"/>
        <w:spacing w:line="360" w:lineRule="auto"/>
        <w:rPr>
          <w:rFonts w:ascii="Times New Roman" w:hAnsi="Times New Roman" w:cs="Times New Roman"/>
        </w:rPr>
      </w:pPr>
    </w:p>
    <w:p w14:paraId="5E1386A3" w14:textId="77777777" w:rsidR="00F80336" w:rsidRDefault="549BD405" w:rsidP="00F232FE">
      <w:pPr>
        <w:pStyle w:val="BodyText"/>
        <w:spacing w:line="360" w:lineRule="auto"/>
        <w:rPr>
          <w:rFonts w:ascii="Times New Roman" w:hAnsi="Times New Roman" w:cs="Times New Roman"/>
          <w:b/>
          <w:bCs/>
        </w:rPr>
      </w:pPr>
      <w:r w:rsidRPr="3584D67C">
        <w:rPr>
          <w:rFonts w:ascii="Times New Roman" w:hAnsi="Times New Roman" w:cs="Times New Roman"/>
          <w:b/>
          <w:bCs/>
        </w:rPr>
        <w:t>Introduction</w:t>
      </w:r>
    </w:p>
    <w:p w14:paraId="71CAA9C0" w14:textId="1C1CF3AD" w:rsidR="6EF65984" w:rsidRDefault="6EF65984" w:rsidP="3584D67C">
      <w:pPr>
        <w:spacing w:after="240" w:line="360" w:lineRule="auto"/>
        <w:rPr>
          <w:rFonts w:ascii="Times New Roman" w:eastAsia="Times New Roman" w:hAnsi="Times New Roman" w:cs="Times New Roman"/>
          <w:lang w:val="en-GB"/>
        </w:rPr>
      </w:pPr>
      <w:r w:rsidRPr="3584D67C">
        <w:rPr>
          <w:rFonts w:ascii="Times New Roman" w:eastAsia="Times New Roman" w:hAnsi="Times New Roman" w:cs="Times New Roman"/>
          <w:lang w:val="en-GB"/>
        </w:rPr>
        <w:t>The term “belongings” reflects a broader shift toward relational understandings of material culture in response to critiques of colonial collecting and increased attention to Indigenous perspectives. This paper examines how African belongings held in museum collections can be encountered not as inert objects, but as invitations to re-worlding. Rather than discrete entities awaiting interpretation, these belongings are relational forms embedded in worlds disrupted by colonial extraction and sustained through their continued institutional containment.</w:t>
      </w:r>
    </w:p>
    <w:p w14:paraId="427AC889" w14:textId="388D70B8" w:rsidR="6EF65984" w:rsidRDefault="6EF65984" w:rsidP="3584D67C">
      <w:pPr>
        <w:spacing w:before="240" w:after="240" w:line="360" w:lineRule="auto"/>
        <w:rPr>
          <w:rFonts w:ascii="Times New Roman" w:eastAsia="Times New Roman" w:hAnsi="Times New Roman" w:cs="Times New Roman"/>
          <w:lang w:val="en-GB"/>
        </w:rPr>
      </w:pPr>
      <w:r w:rsidRPr="5229ED58">
        <w:rPr>
          <w:rFonts w:ascii="Times New Roman" w:eastAsia="Times New Roman" w:hAnsi="Times New Roman" w:cs="Times New Roman"/>
          <w:lang w:val="en-GB"/>
        </w:rPr>
        <w:t>As David Joselit argues, cultural objects circulate within global systems in which heritage functions as value, while debt names the unresolved conditions of extraction that underwrite that circulation. Museological common sense thus operates not only as an epistemic framework but as a mechanism for stabilising value within institutional and global infrastructures.</w:t>
      </w:r>
    </w:p>
    <w:p w14:paraId="0C48C8A5" w14:textId="34481B00" w:rsidR="6EF65984" w:rsidRDefault="6EF65984" w:rsidP="3584D67C">
      <w:pPr>
        <w:spacing w:before="240" w:after="240" w:line="360" w:lineRule="auto"/>
        <w:rPr>
          <w:rFonts w:ascii="Times New Roman" w:eastAsia="Times New Roman" w:hAnsi="Times New Roman" w:cs="Times New Roman"/>
          <w:lang w:val="en-GB"/>
        </w:rPr>
      </w:pPr>
      <w:r w:rsidRPr="3584D67C">
        <w:rPr>
          <w:rFonts w:ascii="Times New Roman" w:eastAsia="Times New Roman" w:hAnsi="Times New Roman" w:cs="Times New Roman"/>
          <w:lang w:val="en-GB"/>
        </w:rPr>
        <w:t>Re-worlding offers a different orientation. It reconnects belongings to the relations from which they were separated and approaches them as participants rather than objects. Following Clapperton Mavhunga, these belongings can be understood as nodes within distributed technopolitical infrastructures encompassing knowledge, labour, governance, and cosmology.</w:t>
      </w:r>
    </w:p>
    <w:p w14:paraId="3D015275" w14:textId="76E4EE06" w:rsidR="6EF65984" w:rsidRDefault="6EF65984" w:rsidP="3584D67C">
      <w:pPr>
        <w:spacing w:before="240" w:after="240" w:line="360" w:lineRule="auto"/>
        <w:rPr>
          <w:rFonts w:ascii="Times New Roman" w:eastAsia="Times New Roman" w:hAnsi="Times New Roman" w:cs="Times New Roman"/>
          <w:lang w:val="en-GB"/>
        </w:rPr>
      </w:pPr>
      <w:r w:rsidRPr="3584D67C">
        <w:rPr>
          <w:rFonts w:ascii="Times New Roman" w:eastAsia="Times New Roman" w:hAnsi="Times New Roman" w:cs="Times New Roman"/>
          <w:lang w:val="en-GB"/>
        </w:rPr>
        <w:t xml:space="preserve">To account for how such relations persist within institutional capture, we adapt Erving Goffman’s concept of underlife to describe the relational and cosmological continuities that </w:t>
      </w:r>
      <w:r w:rsidRPr="3584D67C">
        <w:rPr>
          <w:rFonts w:ascii="Times New Roman" w:eastAsia="Times New Roman" w:hAnsi="Times New Roman" w:cs="Times New Roman"/>
          <w:lang w:val="en-GB"/>
        </w:rPr>
        <w:lastRenderedPageBreak/>
        <w:t>endure within museum regimes and occasionally unsettle their classificatory order. In handling sessions, for instance, participants generate situated interpretations that bypass or contradict curatorial frameworks. As Ajamu X and Onyeka Igwe suggest, tactile and sensory disobedience can interrupt the rules governing archival encounter through practices of touching and being touched. Underlife, in this sense, names the improvised, affective, and sensory practices through which belongings exceed institutional containment.</w:t>
      </w:r>
    </w:p>
    <w:p w14:paraId="2F7B490E" w14:textId="025525F0" w:rsidR="6EF65984" w:rsidRDefault="6EF65984" w:rsidP="3584D67C">
      <w:pPr>
        <w:spacing w:before="240" w:after="240" w:line="360" w:lineRule="auto"/>
        <w:rPr>
          <w:rFonts w:ascii="Times New Roman" w:eastAsia="Times New Roman" w:hAnsi="Times New Roman" w:cs="Times New Roman"/>
          <w:lang w:val="en-GB"/>
        </w:rPr>
      </w:pPr>
      <w:r w:rsidRPr="3584D67C">
        <w:rPr>
          <w:rFonts w:ascii="Times New Roman" w:eastAsia="Times New Roman" w:hAnsi="Times New Roman" w:cs="Times New Roman"/>
          <w:lang w:val="en-GB"/>
        </w:rPr>
        <w:t>We argue that African belongings in museums are not simply misclassified objects but incompletely contained relational infrastructures, and that re-worlding names the partial, contested practices through which those infrastructures are reactivated. This argument is developed through collaborative projects involving artists, students, and museum practitioners in the UK and Ghana. Through handling, storytelling, digital modelling, and remaking, participants engage belongings as collaborators in ongoing processes of relation, loosening curatorial control over meaning while remaining within the constraints of institutional authority.</w:t>
      </w:r>
    </w:p>
    <w:p w14:paraId="4D957552" w14:textId="0B515216" w:rsidR="3584D67C" w:rsidRDefault="3584D67C" w:rsidP="3584D67C">
      <w:pPr>
        <w:pStyle w:val="NormalWeb"/>
        <w:spacing w:before="240" w:beforeAutospacing="0" w:after="240" w:afterAutospacing="0" w:line="360" w:lineRule="auto"/>
      </w:pPr>
    </w:p>
    <w:p w14:paraId="5BB6AD01" w14:textId="77777777" w:rsidR="007B696F" w:rsidRPr="007B696F" w:rsidRDefault="549BD405" w:rsidP="00F232FE">
      <w:pPr>
        <w:pStyle w:val="BodyText"/>
        <w:spacing w:line="360" w:lineRule="auto"/>
        <w:rPr>
          <w:rFonts w:ascii="Times New Roman" w:hAnsi="Times New Roman" w:cs="Times New Roman"/>
          <w:b/>
          <w:bCs/>
        </w:rPr>
      </w:pPr>
      <w:r w:rsidRPr="3584D67C">
        <w:rPr>
          <w:rFonts w:ascii="Times New Roman" w:hAnsi="Times New Roman" w:cs="Times New Roman"/>
          <w:b/>
          <w:bCs/>
        </w:rPr>
        <w:t xml:space="preserve">Relational Belongings, </w:t>
      </w:r>
      <w:proofErr w:type="spellStart"/>
      <w:r w:rsidRPr="3584D67C">
        <w:rPr>
          <w:rFonts w:ascii="Times New Roman" w:hAnsi="Times New Roman" w:cs="Times New Roman"/>
          <w:b/>
          <w:bCs/>
        </w:rPr>
        <w:t>Technopolitics</w:t>
      </w:r>
      <w:proofErr w:type="spellEnd"/>
      <w:r w:rsidRPr="3584D67C">
        <w:rPr>
          <w:rFonts w:ascii="Times New Roman" w:hAnsi="Times New Roman" w:cs="Times New Roman"/>
          <w:b/>
          <w:bCs/>
        </w:rPr>
        <w:t>, and Underlife</w:t>
      </w:r>
    </w:p>
    <w:p w14:paraId="42332017" w14:textId="6B24BCE8" w:rsidR="50778188" w:rsidRDefault="50778188" w:rsidP="3584D67C">
      <w:pPr>
        <w:spacing w:after="240" w:line="360" w:lineRule="auto"/>
        <w:rPr>
          <w:rFonts w:ascii="Times New Roman" w:eastAsia="Times New Roman" w:hAnsi="Times New Roman" w:cs="Times New Roman"/>
          <w:lang w:val="en-GB"/>
        </w:rPr>
      </w:pPr>
      <w:r w:rsidRPr="3584D67C">
        <w:rPr>
          <w:rFonts w:ascii="Times New Roman" w:eastAsia="Times New Roman" w:hAnsi="Times New Roman" w:cs="Times New Roman"/>
          <w:lang w:val="en-GB"/>
        </w:rPr>
        <w:t xml:space="preserve">The term </w:t>
      </w:r>
      <w:r w:rsidRPr="3584D67C">
        <w:rPr>
          <w:rFonts w:ascii="Times New Roman" w:eastAsia="Times New Roman" w:hAnsi="Times New Roman" w:cs="Times New Roman"/>
          <w:i/>
          <w:iCs/>
          <w:lang w:val="en-GB"/>
        </w:rPr>
        <w:t>belongings</w:t>
      </w:r>
      <w:r w:rsidRPr="3584D67C">
        <w:rPr>
          <w:rFonts w:ascii="Times New Roman" w:eastAsia="Times New Roman" w:hAnsi="Times New Roman" w:cs="Times New Roman"/>
          <w:lang w:val="en-GB"/>
        </w:rPr>
        <w:t xml:space="preserve"> foregrounds relation rather than objecthood. It signals that materials held in European museum collections were once participants in social, cosmological, and technopolitical worlds. While approaches such as object biography and new materialism have traced the multiple lives of objects, they often leave intact the institutional frameworks that stabilise them as bounded entities. Re-worlding instead attends to the worlds disrupted by colonial extraction and to the relations that persist within and beyond museum containment.</w:t>
      </w:r>
    </w:p>
    <w:p w14:paraId="500C00C9" w14:textId="59266486" w:rsidR="50778188" w:rsidRDefault="50778188" w:rsidP="3584D67C">
      <w:pPr>
        <w:spacing w:before="240" w:after="240" w:line="360" w:lineRule="auto"/>
        <w:rPr>
          <w:rFonts w:ascii="Times New Roman" w:eastAsia="Times New Roman" w:hAnsi="Times New Roman" w:cs="Times New Roman"/>
          <w:lang w:val="en-GB"/>
        </w:rPr>
      </w:pPr>
      <w:r w:rsidRPr="3584D67C">
        <w:rPr>
          <w:rFonts w:ascii="Times New Roman" w:eastAsia="Times New Roman" w:hAnsi="Times New Roman" w:cs="Times New Roman"/>
          <w:lang w:val="en-GB"/>
        </w:rPr>
        <w:t>Clapperton Mavhunga’s work is central to this shift. He understands technology not as a discrete apparatus but as a distributed, improvisatory practice inseparable from land, labour, spirit, and political life. His concept of the “mobile workshop” describes infrastructures in which knowledge, environment, and cosmology are co-constitutive. What museums stabilise as objects were once nodes within such systems. Their extraction thus constitutes not only material dispossession but a contraction of relational worlds into manageable forms.</w:t>
      </w:r>
    </w:p>
    <w:p w14:paraId="0065EA60" w14:textId="3DD39B42" w:rsidR="50778188" w:rsidRDefault="50778188" w:rsidP="3584D67C">
      <w:pPr>
        <w:spacing w:before="240" w:after="240" w:line="360" w:lineRule="auto"/>
        <w:rPr>
          <w:rFonts w:ascii="Times New Roman" w:eastAsia="Times New Roman" w:hAnsi="Times New Roman" w:cs="Times New Roman"/>
          <w:lang w:val="en-GB"/>
        </w:rPr>
      </w:pPr>
      <w:r w:rsidRPr="3584D67C">
        <w:rPr>
          <w:rFonts w:ascii="Times New Roman" w:eastAsia="Times New Roman" w:hAnsi="Times New Roman" w:cs="Times New Roman"/>
          <w:lang w:val="en-GB"/>
        </w:rPr>
        <w:lastRenderedPageBreak/>
        <w:t>Museological common sense operates as the institutional grammar that renders this contraction as care. Museums function as regulatory infrastructures in which access is controlled, touch restricted, and authority concentrated. Belongings become doubly captured: first through colonial extraction, and again through their incorporation into classificatory regimes that reorganise separation as knowledge and preservation.</w:t>
      </w:r>
    </w:p>
    <w:p w14:paraId="6A4B3704" w14:textId="092B1A4D" w:rsidR="50778188" w:rsidRDefault="50778188" w:rsidP="3584D67C">
      <w:pPr>
        <w:spacing w:before="240" w:after="240" w:line="360" w:lineRule="auto"/>
        <w:rPr>
          <w:rFonts w:ascii="Times New Roman" w:eastAsia="Times New Roman" w:hAnsi="Times New Roman" w:cs="Times New Roman"/>
          <w:lang w:val="en-GB"/>
        </w:rPr>
      </w:pPr>
      <w:r w:rsidRPr="3584D67C">
        <w:rPr>
          <w:rFonts w:ascii="Times New Roman" w:eastAsia="Times New Roman" w:hAnsi="Times New Roman" w:cs="Times New Roman"/>
          <w:lang w:val="en-GB"/>
        </w:rPr>
        <w:t>To account for what exceeds this capture, we draw on Erving Goffman’s concept of underlife. Belongings cannot be fully stabilised as objects because they continue to participate in relations that exceed the museum’s frame. These relations persist not only as survivals but as minor disruptions that unsettle classificatory and interpretive order.</w:t>
      </w:r>
    </w:p>
    <w:p w14:paraId="0404D3F9" w14:textId="7B46CAFC" w:rsidR="50778188" w:rsidRDefault="50778188" w:rsidP="3584D67C">
      <w:pPr>
        <w:spacing w:before="240" w:after="240" w:line="360" w:lineRule="auto"/>
        <w:rPr>
          <w:rFonts w:ascii="Times New Roman" w:eastAsia="Times New Roman" w:hAnsi="Times New Roman" w:cs="Times New Roman"/>
          <w:lang w:val="en-GB"/>
        </w:rPr>
      </w:pPr>
      <w:r w:rsidRPr="3584D67C">
        <w:rPr>
          <w:rFonts w:ascii="Times New Roman" w:eastAsia="Times New Roman" w:hAnsi="Times New Roman" w:cs="Times New Roman"/>
          <w:lang w:val="en-GB"/>
        </w:rPr>
        <w:t>This resonates with Fred Moten and Stefano Harney’s notion of “study” as a collective and improvisatory practice. Within the projects discussed here, engagement with belongings takes place through shared activity—handling, conversation, movement, and making—rather than individual interpretation. Re-worlding can thus be understood as a form of collaborative study: a process of thinking with and through belongings that redistributes authority while recognising them as participants in ongoing practices of rehearsal, reenactment, and speculation.</w:t>
      </w:r>
    </w:p>
    <w:p w14:paraId="53D09003" w14:textId="56683644" w:rsidR="3584D67C" w:rsidRDefault="3584D67C" w:rsidP="3584D67C">
      <w:pPr>
        <w:pStyle w:val="NormalWeb"/>
        <w:spacing w:line="360" w:lineRule="auto"/>
      </w:pPr>
    </w:p>
    <w:p w14:paraId="130FA417" w14:textId="77777777" w:rsidR="00F80336" w:rsidRPr="007B696F" w:rsidRDefault="549BD405" w:rsidP="00F232FE">
      <w:pPr>
        <w:pStyle w:val="BodyText"/>
        <w:spacing w:line="360" w:lineRule="auto"/>
        <w:rPr>
          <w:rFonts w:ascii="Times New Roman" w:hAnsi="Times New Roman" w:cs="Times New Roman"/>
          <w:b/>
          <w:bCs/>
        </w:rPr>
      </w:pPr>
      <w:r w:rsidRPr="3584D67C">
        <w:rPr>
          <w:rFonts w:ascii="Times New Roman" w:hAnsi="Times New Roman" w:cs="Times New Roman"/>
          <w:b/>
          <w:bCs/>
        </w:rPr>
        <w:t>Collaborative Practice and the Pitt Rivers Museum</w:t>
      </w:r>
    </w:p>
    <w:p w14:paraId="2BD3FB66" w14:textId="2DD14DF5" w:rsidR="6E8D0984" w:rsidRDefault="6E8D0984" w:rsidP="3584D67C">
      <w:pPr>
        <w:spacing w:after="240" w:line="360" w:lineRule="auto"/>
        <w:rPr>
          <w:rFonts w:ascii="Times New Roman" w:eastAsia="Times New Roman" w:hAnsi="Times New Roman" w:cs="Times New Roman"/>
          <w:lang w:val="en-GB"/>
        </w:rPr>
      </w:pPr>
      <w:r w:rsidRPr="3584D67C">
        <w:rPr>
          <w:rFonts w:ascii="Times New Roman" w:eastAsia="Times New Roman" w:hAnsi="Times New Roman" w:cs="Times New Roman"/>
          <w:lang w:val="en-GB"/>
        </w:rPr>
        <w:t>Our work with the Pitt Rivers Museum brought together artists, students, and museum practitioners across the UK and Ghana through a series of collaborative engagements with African belongings. Participants selected items from the collections and worked with them through shared sessions combining research, handling, storytelling, and making. These encounters prioritised situated and relational forms of knowledge.</w:t>
      </w:r>
    </w:p>
    <w:p w14:paraId="4893F4B6" w14:textId="2DB1A8B7" w:rsidR="6E8D0984" w:rsidRDefault="6E8D0984" w:rsidP="3584D67C">
      <w:pPr>
        <w:spacing w:before="240" w:after="240" w:line="360" w:lineRule="auto"/>
        <w:rPr>
          <w:rFonts w:ascii="Times New Roman" w:eastAsia="Times New Roman" w:hAnsi="Times New Roman" w:cs="Times New Roman"/>
          <w:lang w:val="en-GB"/>
        </w:rPr>
      </w:pPr>
      <w:r w:rsidRPr="3584D67C">
        <w:rPr>
          <w:rFonts w:ascii="Times New Roman" w:eastAsia="Times New Roman" w:hAnsi="Times New Roman" w:cs="Times New Roman"/>
          <w:lang w:val="en-GB"/>
        </w:rPr>
        <w:t>Students and researchers from the University of Ghana contributed cultural and historical perspectives that frequently exceeded the interpretive frameworks available within the museum. These exchanges operated laterally rather than hierarchically, unsettling distinctions between institutional expertise and lived or inherited knowledge. Interpretive authority emerged as distributed and negotiated rather than fixed.</w:t>
      </w:r>
    </w:p>
    <w:p w14:paraId="71C884F8" w14:textId="2D79BD19" w:rsidR="6E8D0984" w:rsidRDefault="6E8D0984" w:rsidP="3584D67C">
      <w:pPr>
        <w:spacing w:before="240" w:after="240" w:line="360" w:lineRule="auto"/>
        <w:rPr>
          <w:rFonts w:ascii="Times New Roman" w:eastAsia="Times New Roman" w:hAnsi="Times New Roman" w:cs="Times New Roman"/>
          <w:lang w:val="en-GB"/>
        </w:rPr>
      </w:pPr>
      <w:r w:rsidRPr="3584D67C">
        <w:rPr>
          <w:rFonts w:ascii="Times New Roman" w:eastAsia="Times New Roman" w:hAnsi="Times New Roman" w:cs="Times New Roman"/>
          <w:lang w:val="en-GB"/>
        </w:rPr>
        <w:lastRenderedPageBreak/>
        <w:t>Digital methods formed part of this process. Through photogrammetry and 3D modelling, selected belongings were translated into digital formats that could circulate beyond the museum. These workflows extended what Clapperton Mavhunga describes as the “mobile workshop,” enabling distributed and collaborative forms of knowledge production.</w:t>
      </w:r>
    </w:p>
    <w:p w14:paraId="0887C0DF" w14:textId="7D7AA29D" w:rsidR="6E8D0984" w:rsidRDefault="6E8D0984" w:rsidP="3584D67C">
      <w:pPr>
        <w:spacing w:before="240" w:after="240" w:line="360" w:lineRule="auto"/>
        <w:rPr>
          <w:rFonts w:ascii="Times New Roman" w:eastAsia="Times New Roman" w:hAnsi="Times New Roman" w:cs="Times New Roman"/>
          <w:lang w:val="en-GB"/>
        </w:rPr>
      </w:pPr>
      <w:r w:rsidRPr="3584D67C">
        <w:rPr>
          <w:rFonts w:ascii="Times New Roman" w:eastAsia="Times New Roman" w:hAnsi="Times New Roman" w:cs="Times New Roman"/>
          <w:lang w:val="en-GB"/>
        </w:rPr>
        <w:t>Different belongings elicited distinct modes of engagement. Some invited handling, others sounding, movement, or collective narration. Participants attended to weight, texture, scale, and resonance through embodied interaction, shifting attention away from visual classification toward shared sensory encounter.</w:t>
      </w:r>
    </w:p>
    <w:p w14:paraId="5F5CF11D" w14:textId="38A9BE03" w:rsidR="6E8D0984" w:rsidRDefault="6E8D0984" w:rsidP="3584D67C">
      <w:pPr>
        <w:spacing w:before="240" w:after="240" w:line="360" w:lineRule="auto"/>
        <w:rPr>
          <w:rFonts w:ascii="Times New Roman" w:eastAsia="Times New Roman" w:hAnsi="Times New Roman" w:cs="Times New Roman"/>
          <w:lang w:val="en-GB"/>
        </w:rPr>
      </w:pPr>
      <w:r w:rsidRPr="3584D67C">
        <w:rPr>
          <w:rFonts w:ascii="Times New Roman" w:eastAsia="Times New Roman" w:hAnsi="Times New Roman" w:cs="Times New Roman"/>
          <w:lang w:val="en-GB"/>
        </w:rPr>
        <w:t>Handling sessions were particularly generative. Participants often selected belongings that resonated with diasporic histories, producing moments of recognition, estrangement, and reinterpretation. A corn-cob doll labelled as “fetish,” for example, was recontextualised through recollections of childhood play, introducing situated knowledge that unsettled its classificatory framing. In such moments, belongings shifted from specimens to points of address, prompting dialogue that moved laterally among participants rather than through curatorial mediation. What emerged were provisional interpretations that did not depend on institutional authority for their legitimacy.</w:t>
      </w:r>
    </w:p>
    <w:p w14:paraId="171A0E97" w14:textId="17E10187" w:rsidR="6E8D0984" w:rsidRDefault="6E8D0984" w:rsidP="3584D67C">
      <w:pPr>
        <w:spacing w:before="240" w:after="240" w:line="360" w:lineRule="auto"/>
        <w:rPr>
          <w:rFonts w:ascii="Times New Roman" w:eastAsia="Times New Roman" w:hAnsi="Times New Roman" w:cs="Times New Roman"/>
          <w:lang w:val="en-GB"/>
        </w:rPr>
      </w:pPr>
      <w:r w:rsidRPr="3584D67C">
        <w:rPr>
          <w:rFonts w:ascii="Times New Roman" w:eastAsia="Times New Roman" w:hAnsi="Times New Roman" w:cs="Times New Roman"/>
          <w:lang w:val="en-GB"/>
        </w:rPr>
        <w:t>These engagements did not produce consensus. Participants brought uneven forms of knowledge, and disagreements emerged around questions of revival, refusal, and appropriate modes of engagement. Re-worlding, in this context, did not restore coherence but generated situated and sometimes conflicting negotiations that introduced friction into the institutional demand for interpretive stability.</w:t>
      </w:r>
    </w:p>
    <w:p w14:paraId="257E7C9E" w14:textId="747977A3" w:rsidR="6E8D0984" w:rsidRDefault="6E8D0984" w:rsidP="3584D67C">
      <w:pPr>
        <w:spacing w:before="240" w:after="240" w:line="360" w:lineRule="auto"/>
        <w:rPr>
          <w:rFonts w:ascii="Times New Roman" w:eastAsia="Times New Roman" w:hAnsi="Times New Roman" w:cs="Times New Roman"/>
          <w:lang w:val="en-GB"/>
        </w:rPr>
      </w:pPr>
      <w:r w:rsidRPr="3584D67C">
        <w:rPr>
          <w:rFonts w:ascii="Times New Roman" w:eastAsia="Times New Roman" w:hAnsi="Times New Roman" w:cs="Times New Roman"/>
          <w:lang w:val="en-GB"/>
        </w:rPr>
        <w:t>At the same time, these practices remained embedded within institutional structures that shape access, ownership, and conditions of participation. While collaboration redistributed aspects of interpretive authority, museums retained material and legal control. Re-worlding thus operates within a tension between relational experimentation and structural constraint—a condition that both enables and limits what such practices can do.</w:t>
      </w:r>
    </w:p>
    <w:p w14:paraId="3BE4FA63" w14:textId="14737DC3" w:rsidR="3584D67C" w:rsidRDefault="3584D67C" w:rsidP="3584D67C">
      <w:pPr>
        <w:pStyle w:val="NormalWeb"/>
        <w:spacing w:line="360" w:lineRule="auto"/>
      </w:pPr>
    </w:p>
    <w:p w14:paraId="71B85375" w14:textId="77777777" w:rsidR="00F80336" w:rsidRPr="007B696F" w:rsidRDefault="008A57D4" w:rsidP="00F232FE">
      <w:pPr>
        <w:pStyle w:val="BodyText"/>
        <w:spacing w:line="360" w:lineRule="auto"/>
        <w:rPr>
          <w:rFonts w:ascii="Times New Roman" w:hAnsi="Times New Roman" w:cs="Times New Roman"/>
          <w:b/>
          <w:bCs/>
        </w:rPr>
      </w:pPr>
      <w:r w:rsidRPr="007B696F">
        <w:rPr>
          <w:rFonts w:ascii="Times New Roman" w:hAnsi="Times New Roman" w:cs="Times New Roman"/>
          <w:b/>
          <w:bCs/>
        </w:rPr>
        <w:lastRenderedPageBreak/>
        <w:t>Collaboration and Situated Knowledge</w:t>
      </w:r>
    </w:p>
    <w:p w14:paraId="4766A4FE" w14:textId="77F2647C" w:rsidR="00F80336" w:rsidRPr="007B696F" w:rsidRDefault="008A57D4" w:rsidP="00F232FE">
      <w:pPr>
        <w:pStyle w:val="BodyText"/>
        <w:spacing w:line="360" w:lineRule="auto"/>
        <w:rPr>
          <w:rFonts w:ascii="Times New Roman" w:hAnsi="Times New Roman" w:cs="Times New Roman"/>
        </w:rPr>
      </w:pPr>
      <w:r w:rsidRPr="007B696F">
        <w:rPr>
          <w:rFonts w:ascii="Times New Roman" w:hAnsi="Times New Roman" w:cs="Times New Roman"/>
        </w:rPr>
        <w:t>In many of the cultural contexts informing this work, visiting is a practice through which knowledge, memory, and social bonds are renewed. Like the fire around which communities gather, belongings share their energy in shaping collective processes of (un)learning and reorientation, inviting participants toward different temporalities and modes of attention.</w:t>
      </w:r>
    </w:p>
    <w:p w14:paraId="47D476EB" w14:textId="0F2C663D" w:rsidR="00F80336" w:rsidRPr="007B696F" w:rsidRDefault="008A57D4" w:rsidP="00F232FE">
      <w:pPr>
        <w:pStyle w:val="BodyText"/>
        <w:spacing w:line="360" w:lineRule="auto"/>
        <w:rPr>
          <w:rFonts w:ascii="Times New Roman" w:hAnsi="Times New Roman" w:cs="Times New Roman"/>
        </w:rPr>
      </w:pPr>
      <w:r w:rsidRPr="007B696F">
        <w:rPr>
          <w:rFonts w:ascii="Times New Roman" w:hAnsi="Times New Roman" w:cs="Times New Roman"/>
        </w:rPr>
        <w:t>For UK-based participants, the project created a temporary social space in which to explore decolonial approaches to artistic practice. Participants were encouraged to shape the terms of engagement and develop their own collaborative and critical methodologies.</w:t>
      </w:r>
      <w:r w:rsidR="00000B32">
        <w:rPr>
          <w:rFonts w:ascii="Times New Roman" w:hAnsi="Times New Roman" w:cs="Times New Roman"/>
        </w:rPr>
        <w:t xml:space="preserve"> </w:t>
      </w:r>
    </w:p>
    <w:p w14:paraId="22D648E0" w14:textId="7D66441D" w:rsidR="00987F1F" w:rsidRDefault="549BD405" w:rsidP="00F232FE">
      <w:pPr>
        <w:pStyle w:val="BodyText"/>
        <w:spacing w:line="360" w:lineRule="auto"/>
        <w:rPr>
          <w:rFonts w:ascii="Times New Roman" w:hAnsi="Times New Roman" w:cs="Times New Roman"/>
        </w:rPr>
      </w:pPr>
      <w:r w:rsidRPr="3584D67C">
        <w:rPr>
          <w:rFonts w:ascii="Times New Roman" w:hAnsi="Times New Roman" w:cs="Times New Roman"/>
        </w:rPr>
        <w:t xml:space="preserve">A central tension within these methodologies concerns the distribution of power and </w:t>
      </w:r>
      <w:proofErr w:type="spellStart"/>
      <w:r w:rsidRPr="3584D67C">
        <w:rPr>
          <w:rFonts w:ascii="Times New Roman" w:hAnsi="Times New Roman" w:cs="Times New Roman"/>
        </w:rPr>
        <w:t>labour</w:t>
      </w:r>
      <w:proofErr w:type="spellEnd"/>
      <w:r w:rsidRPr="3584D67C">
        <w:rPr>
          <w:rFonts w:ascii="Times New Roman" w:hAnsi="Times New Roman" w:cs="Times New Roman"/>
        </w:rPr>
        <w:t xml:space="preserve">. While this paper foregrounds relationality and distributed authority, these practices remain embedded within institutional structures that determine access, ownership, and conditions of engagement. Museums retain legal and infrastructural control, meaning that collaboration often operates as managed inclusion rather than substantive redistribution. </w:t>
      </w:r>
    </w:p>
    <w:p w14:paraId="1E527AAE" w14:textId="5E4DC479" w:rsidR="00987F1F" w:rsidRPr="00987F1F" w:rsidRDefault="49A6FD0C" w:rsidP="00F232FE">
      <w:pPr>
        <w:pStyle w:val="BodyText"/>
        <w:spacing w:line="360" w:lineRule="auto"/>
        <w:rPr>
          <w:rFonts w:ascii="Times New Roman" w:hAnsi="Times New Roman" w:cs="Times New Roman"/>
        </w:rPr>
      </w:pPr>
      <w:r w:rsidRPr="5751BCBC">
        <w:rPr>
          <w:rFonts w:ascii="Times New Roman" w:hAnsi="Times New Roman" w:cs="Times New Roman"/>
        </w:rPr>
        <w:t xml:space="preserve">The </w:t>
      </w:r>
      <w:proofErr w:type="spellStart"/>
      <w:r w:rsidRPr="5751BCBC">
        <w:rPr>
          <w:rFonts w:ascii="Times New Roman" w:hAnsi="Times New Roman" w:cs="Times New Roman"/>
        </w:rPr>
        <w:t>labour</w:t>
      </w:r>
      <w:proofErr w:type="spellEnd"/>
      <w:r w:rsidRPr="5751BCBC">
        <w:rPr>
          <w:rFonts w:ascii="Times New Roman" w:hAnsi="Times New Roman" w:cs="Times New Roman"/>
        </w:rPr>
        <w:t xml:space="preserve"> of re-worlding can be understood as part of the technopolitical infrastructure in which these belongings continue to </w:t>
      </w:r>
      <w:r w:rsidR="17F64D63" w:rsidRPr="5751BCBC">
        <w:rPr>
          <w:rFonts w:ascii="Times New Roman" w:hAnsi="Times New Roman" w:cs="Times New Roman"/>
        </w:rPr>
        <w:t>operate</w:t>
      </w:r>
      <w:r w:rsidRPr="5751BCBC">
        <w:rPr>
          <w:rFonts w:ascii="Times New Roman" w:hAnsi="Times New Roman" w:cs="Times New Roman"/>
        </w:rPr>
        <w:t xml:space="preserve">. Following Mavhunga, such infrastructures are not confined to discrete objects or sites but emerge through distributed practices of making, sensing, and knowing across bodies, environments, and institutions. The handling, narration, modelling, and remaking of belongings therefore constitute forms of technopolitical </w:t>
      </w:r>
      <w:proofErr w:type="spellStart"/>
      <w:r w:rsidRPr="5751BCBC">
        <w:rPr>
          <w:rFonts w:ascii="Times New Roman" w:hAnsi="Times New Roman" w:cs="Times New Roman"/>
        </w:rPr>
        <w:t>labour</w:t>
      </w:r>
      <w:proofErr w:type="spellEnd"/>
      <w:r w:rsidRPr="5751BCBC">
        <w:rPr>
          <w:rFonts w:ascii="Times New Roman" w:hAnsi="Times New Roman" w:cs="Times New Roman"/>
        </w:rPr>
        <w:t xml:space="preserve"> through which relational worlds are partially reactivated. At the same time, these practices generate value within the institutional frameworks that host them. As </w:t>
      </w:r>
      <w:proofErr w:type="spellStart"/>
      <w:r w:rsidRPr="5751BCBC">
        <w:rPr>
          <w:rFonts w:ascii="Times New Roman" w:hAnsi="Times New Roman" w:cs="Times New Roman"/>
        </w:rPr>
        <w:t>Joselit</w:t>
      </w:r>
      <w:proofErr w:type="spellEnd"/>
      <w:r w:rsidRPr="5751BCBC">
        <w:rPr>
          <w:rFonts w:ascii="Times New Roman" w:hAnsi="Times New Roman" w:cs="Times New Roman"/>
        </w:rPr>
        <w:t xml:space="preserve"> suggests, heritage operates as a system of value production, while debt names the unresolved conditions of extraction that sustain it. The </w:t>
      </w:r>
      <w:proofErr w:type="spellStart"/>
      <w:r w:rsidRPr="5751BCBC">
        <w:rPr>
          <w:rFonts w:ascii="Times New Roman" w:hAnsi="Times New Roman" w:cs="Times New Roman"/>
        </w:rPr>
        <w:t>labour</w:t>
      </w:r>
      <w:proofErr w:type="spellEnd"/>
      <w:r w:rsidRPr="5751BCBC">
        <w:rPr>
          <w:rFonts w:ascii="Times New Roman" w:hAnsi="Times New Roman" w:cs="Times New Roman"/>
        </w:rPr>
        <w:t xml:space="preserve"> of participants—artists, students, and community collaborators—</w:t>
      </w:r>
      <w:bookmarkStart w:id="0" w:name="_Int_lua9VD5J"/>
      <w:r w:rsidRPr="5751BCBC">
        <w:rPr>
          <w:rFonts w:ascii="Times New Roman" w:hAnsi="Times New Roman" w:cs="Times New Roman"/>
        </w:rPr>
        <w:t>enters into</w:t>
      </w:r>
      <w:bookmarkEnd w:id="0"/>
      <w:r w:rsidRPr="5751BCBC">
        <w:rPr>
          <w:rFonts w:ascii="Times New Roman" w:hAnsi="Times New Roman" w:cs="Times New Roman"/>
        </w:rPr>
        <w:t xml:space="preserve"> this economy as a source of cultural and epistemic value, contributing to exhibitions, research outputs, and institutional narratives. Yet the conditions of its recognition and circulation remain unevenly controlled. </w:t>
      </w:r>
      <w:r w:rsidR="383197BE" w:rsidRPr="5751BCBC">
        <w:rPr>
          <w:rFonts w:ascii="Times New Roman" w:hAnsi="Times New Roman" w:cs="Times New Roman"/>
        </w:rPr>
        <w:t>So,</w:t>
      </w:r>
      <w:r w:rsidRPr="5751BCBC">
        <w:rPr>
          <w:rFonts w:ascii="Times New Roman" w:hAnsi="Times New Roman" w:cs="Times New Roman"/>
        </w:rPr>
        <w:t xml:space="preserve"> re-worlding risks reproducing the asymmetries it seeks to </w:t>
      </w:r>
      <w:bookmarkStart w:id="1" w:name="_Int_Vwy737aW"/>
      <w:proofErr w:type="gramStart"/>
      <w:r w:rsidRPr="5751BCBC">
        <w:rPr>
          <w:rFonts w:ascii="Times New Roman" w:hAnsi="Times New Roman" w:cs="Times New Roman"/>
        </w:rPr>
        <w:t>unsettle:</w:t>
      </w:r>
      <w:bookmarkEnd w:id="1"/>
      <w:proofErr w:type="gramEnd"/>
      <w:r w:rsidRPr="5751BCBC">
        <w:rPr>
          <w:rFonts w:ascii="Times New Roman" w:hAnsi="Times New Roman" w:cs="Times New Roman"/>
        </w:rPr>
        <w:t xml:space="preserve"> while it </w:t>
      </w:r>
      <w:r w:rsidR="027E9955" w:rsidRPr="5751BCBC">
        <w:rPr>
          <w:rFonts w:ascii="Times New Roman" w:hAnsi="Times New Roman" w:cs="Times New Roman"/>
        </w:rPr>
        <w:t>does r</w:t>
      </w:r>
      <w:r w:rsidRPr="5751BCBC">
        <w:rPr>
          <w:rFonts w:ascii="Times New Roman" w:hAnsi="Times New Roman" w:cs="Times New Roman"/>
        </w:rPr>
        <w:t xml:space="preserve">edistribute aspects of interpretive authority, the value generated through technopolitical </w:t>
      </w:r>
      <w:proofErr w:type="spellStart"/>
      <w:r w:rsidRPr="5751BCBC">
        <w:rPr>
          <w:rFonts w:ascii="Times New Roman" w:hAnsi="Times New Roman" w:cs="Times New Roman"/>
        </w:rPr>
        <w:t>labour</w:t>
      </w:r>
      <w:proofErr w:type="spellEnd"/>
      <w:r w:rsidRPr="5751BCBC">
        <w:rPr>
          <w:rFonts w:ascii="Times New Roman" w:hAnsi="Times New Roman" w:cs="Times New Roman"/>
        </w:rPr>
        <w:t xml:space="preserve"> continues to be differentially accumulated, extending rather than resolving the conditions of debt.</w:t>
      </w:r>
    </w:p>
    <w:p w14:paraId="3CE2FC9F" w14:textId="11B66BCE" w:rsidR="00F80336" w:rsidRPr="007B696F" w:rsidRDefault="5BA7DF48" w:rsidP="00F232FE">
      <w:pPr>
        <w:pStyle w:val="BodyText"/>
        <w:spacing w:line="360" w:lineRule="auto"/>
        <w:rPr>
          <w:rFonts w:ascii="Times New Roman" w:hAnsi="Times New Roman" w:cs="Times New Roman"/>
        </w:rPr>
      </w:pPr>
      <w:r w:rsidRPr="3584D67C">
        <w:rPr>
          <w:rFonts w:ascii="Times New Roman" w:hAnsi="Times New Roman" w:cs="Times New Roman"/>
        </w:rPr>
        <w:t xml:space="preserve">This </w:t>
      </w:r>
      <w:proofErr w:type="spellStart"/>
      <w:r w:rsidRPr="3584D67C">
        <w:rPr>
          <w:rFonts w:ascii="Times New Roman" w:hAnsi="Times New Roman" w:cs="Times New Roman"/>
        </w:rPr>
        <w:t>labour</w:t>
      </w:r>
      <w:proofErr w:type="spellEnd"/>
      <w:r w:rsidRPr="3584D67C">
        <w:rPr>
          <w:rFonts w:ascii="Times New Roman" w:hAnsi="Times New Roman" w:cs="Times New Roman"/>
        </w:rPr>
        <w:t xml:space="preserve"> is not only interpretive but affective, epistemic, and relational, involving forms of sensing, remembering, and making that exceed conventional categories of museum work. These </w:t>
      </w:r>
      <w:r w:rsidRPr="3584D67C">
        <w:rPr>
          <w:rFonts w:ascii="Times New Roman" w:hAnsi="Times New Roman" w:cs="Times New Roman"/>
        </w:rPr>
        <w:lastRenderedPageBreak/>
        <w:t xml:space="preserve">dynamics are further complicated in transnational contexts, where digital connectivity does not dissolve asymmetries. Re-worlding thus enables a partial redistribution of interpretive authority without a corresponding shift in material power. This tension underscores the limits of collaborative practice in the absence of structural transformation. </w:t>
      </w:r>
    </w:p>
    <w:p w14:paraId="647D824E" w14:textId="77777777" w:rsidR="00826C30" w:rsidRPr="007B696F" w:rsidRDefault="00826C30" w:rsidP="00F232FE">
      <w:pPr>
        <w:pStyle w:val="Heading1"/>
        <w:spacing w:line="360" w:lineRule="auto"/>
        <w:rPr>
          <w:rFonts w:ascii="Times New Roman" w:hAnsi="Times New Roman" w:cs="Times New Roman"/>
          <w:sz w:val="24"/>
          <w:szCs w:val="24"/>
        </w:rPr>
      </w:pPr>
      <w:r w:rsidRPr="007B696F">
        <w:rPr>
          <w:rStyle w:val="Strong"/>
          <w:rFonts w:ascii="Times New Roman" w:hAnsi="Times New Roman" w:cs="Times New Roman"/>
          <w:sz w:val="24"/>
          <w:szCs w:val="24"/>
        </w:rPr>
        <w:t>Digital Remaking and the Limits of Technopolitical Redistribution</w:t>
      </w:r>
    </w:p>
    <w:p w14:paraId="22E84B62" w14:textId="77777777" w:rsidR="00C86757" w:rsidRPr="007B696F" w:rsidRDefault="00C86757" w:rsidP="00F232FE">
      <w:pPr>
        <w:pStyle w:val="NormalWeb"/>
        <w:spacing w:line="360" w:lineRule="auto"/>
      </w:pPr>
      <w:r w:rsidRPr="007B696F">
        <w:t>Digital practices extend the spatial reach of museum collections, enabling distributed forms of engagement across diasporic contexts. Through photogrammetry, 3D modelling, and online circulation, participants encounter belongings beyond the museum’s physical constraints, contributing situated knowledge that often exceeds institutional catalogues.</w:t>
      </w:r>
    </w:p>
    <w:p w14:paraId="44A0BB54" w14:textId="240143E7" w:rsidR="00C86757" w:rsidRPr="007B696F" w:rsidRDefault="00C86757" w:rsidP="00F232FE">
      <w:pPr>
        <w:pStyle w:val="NormalWeb"/>
        <w:spacing w:line="360" w:lineRule="auto"/>
      </w:pPr>
      <w:r>
        <w:t xml:space="preserve">Photogrammetric models </w:t>
      </w:r>
      <w:r w:rsidR="6F853B17">
        <w:t>reconfigure</w:t>
      </w:r>
      <w:r>
        <w:t xml:space="preserve"> material forms into data, prioritising surface while flattening other sensory dimensions—weight, texture, temperature, smell, and use. What circulates is not the belonging itself, but a computational </w:t>
      </w:r>
      <w:r w:rsidR="003A7937">
        <w:t>iteration</w:t>
      </w:r>
      <w:r>
        <w:t xml:space="preserve"> shaped by the constraints of imaging systems</w:t>
      </w:r>
      <w:r w:rsidR="008556CB">
        <w:t>.</w:t>
      </w:r>
      <w:r>
        <w:t xml:space="preserve"> </w:t>
      </w:r>
      <w:r w:rsidR="008556CB">
        <w:t>D</w:t>
      </w:r>
      <w:r>
        <w:t>igitisation risks reproducing the reduction of belongings to informational objects that museological common sense already performs.</w:t>
      </w:r>
    </w:p>
    <w:p w14:paraId="653F5F5A" w14:textId="77777777" w:rsidR="00C86757" w:rsidRPr="007B696F" w:rsidRDefault="00C86757" w:rsidP="00F232FE">
      <w:pPr>
        <w:pStyle w:val="NormalWeb"/>
        <w:spacing w:line="360" w:lineRule="auto"/>
      </w:pPr>
      <w:r w:rsidRPr="007B696F">
        <w:t>The infrastructures through which these models circulate are also uneven. Access to hardware, bandwidth, software, and technical expertise remains asymmetrically distributed, shaping who produces, manipulates, and controls digital representations. While files may move laterally, the conditions of their production do not.</w:t>
      </w:r>
    </w:p>
    <w:p w14:paraId="4B39F7BB" w14:textId="77777777" w:rsidR="00C86757" w:rsidRPr="007B696F" w:rsidRDefault="00C86757" w:rsidP="00F232FE">
      <w:pPr>
        <w:pStyle w:val="NormalWeb"/>
        <w:spacing w:line="360" w:lineRule="auto"/>
      </w:pPr>
      <w:r w:rsidRPr="007B696F">
        <w:t>Digitisation can also introduce new forms of enclosure. Even where open-access models are adopted, digital objects become embedded within regimes of platform governance, intellectual property, and data ownership. Custodial authority is not dissolved so much as redistributed across new, and often opaque, infrastructures.</w:t>
      </w:r>
    </w:p>
    <w:p w14:paraId="09E19A54" w14:textId="2F0A109B" w:rsidR="00C86757" w:rsidRDefault="2DE34976" w:rsidP="00F232FE">
      <w:pPr>
        <w:pStyle w:val="NormalWeb"/>
        <w:spacing w:line="360" w:lineRule="auto"/>
      </w:pPr>
      <w:r>
        <w:t xml:space="preserve">Participants expressed ambivalence toward these dynamics. Digital tools enabled connection and collaborative </w:t>
      </w:r>
      <w:r w:rsidR="1BB7C3F2">
        <w:t>interpretation but</w:t>
      </w:r>
      <w:r>
        <w:t xml:space="preserve"> also introduced distance. The ability to manipulate a model did not compensate for the absence of embodied encounter, nor restore the relations from which belongings were separated. Instead, digital engagement operated as a partial and unstable proximity—both connective and distancing.</w:t>
      </w:r>
    </w:p>
    <w:p w14:paraId="26ECF989" w14:textId="264943E9" w:rsidR="00987F1F" w:rsidRDefault="6A8796C2" w:rsidP="3584D67C">
      <w:pPr>
        <w:pStyle w:val="NormalWeb"/>
        <w:spacing w:line="360" w:lineRule="auto"/>
      </w:pPr>
      <w:r>
        <w:lastRenderedPageBreak/>
        <w:t xml:space="preserve">Digital practices do not simply extend access to museum-held belongings; they generate forms of illegitimate proximity, distributed authorship, and temporal recombination that exceed institutional protocols of encounter, even as they introduce new modalities of abstraction and control. These digital encounters </w:t>
      </w:r>
      <w:r w:rsidR="58A86679">
        <w:t>are</w:t>
      </w:r>
      <w:r>
        <w:t xml:space="preserve"> an extension of underlife, in which forms of engagement emerge that are not fully legible to, or governable by, institutional protocols.</w:t>
      </w:r>
    </w:p>
    <w:p w14:paraId="377D0D69" w14:textId="03954DD0" w:rsidR="00972493" w:rsidRPr="007B696F" w:rsidRDefault="00972493" w:rsidP="00F232FE">
      <w:pPr>
        <w:pStyle w:val="NormalWeb"/>
        <w:spacing w:line="360" w:lineRule="auto"/>
      </w:pPr>
      <w:r>
        <w:t>We describe these as para-infrastructural relations: forms of engagement that operate alongside and partially outside institutional infrastructures, generating modes of proximity, authorship, and temporal recombination that museums can mediate but not fully govern. In this sense, digital circulation does not simply extend engagement with belongings; it renders visible the incompleteness of museological capture.</w:t>
      </w:r>
    </w:p>
    <w:p w14:paraId="2EEA3061" w14:textId="77777777" w:rsidR="00C86757" w:rsidRPr="007B696F" w:rsidRDefault="00C86757" w:rsidP="00F232FE">
      <w:pPr>
        <w:pStyle w:val="NormalWeb"/>
        <w:spacing w:line="360" w:lineRule="auto"/>
      </w:pPr>
      <w:r w:rsidRPr="007B696F">
        <w:t>From this perspective, digital practices are not solutions but sites of tension within re-worlding. They can extend the mobile workshop by enabling distributed collaboration, while simultaneously reproducing forms of abstraction and control. The task is not to resolve these contradictions, but to work within them: to use digital tools to open relational possibilities while remaining attentive to the ways they reshape and constrain those relations.</w:t>
      </w:r>
    </w:p>
    <w:p w14:paraId="6F772B24" w14:textId="77777777" w:rsidR="00F80336" w:rsidRPr="007B696F" w:rsidRDefault="008A57D4" w:rsidP="00F232FE">
      <w:pPr>
        <w:pStyle w:val="BodyText"/>
        <w:spacing w:line="360" w:lineRule="auto"/>
        <w:rPr>
          <w:rFonts w:ascii="Times New Roman" w:hAnsi="Times New Roman" w:cs="Times New Roman"/>
          <w:b/>
          <w:bCs/>
        </w:rPr>
      </w:pPr>
      <w:r w:rsidRPr="007B696F">
        <w:rPr>
          <w:rFonts w:ascii="Times New Roman" w:hAnsi="Times New Roman" w:cs="Times New Roman"/>
          <w:b/>
          <w:bCs/>
        </w:rPr>
        <w:t>Akan Gold Weights and the Redistribution of Value</w:t>
      </w:r>
    </w:p>
    <w:p w14:paraId="49BEE629" w14:textId="77777777" w:rsidR="00F80336" w:rsidRPr="007B696F" w:rsidRDefault="008A57D4" w:rsidP="00F232FE">
      <w:pPr>
        <w:pStyle w:val="BodyText"/>
        <w:spacing w:line="360" w:lineRule="auto"/>
        <w:rPr>
          <w:rFonts w:ascii="Times New Roman" w:hAnsi="Times New Roman" w:cs="Times New Roman"/>
        </w:rPr>
      </w:pPr>
      <w:r w:rsidRPr="007B696F">
        <w:rPr>
          <w:rFonts w:ascii="Times New Roman" w:hAnsi="Times New Roman" w:cs="Times New Roman"/>
        </w:rPr>
        <w:t>Among the belongings selected for collective engagement were Akan gold weights—small forms historically used to measure gold dust as currency in precolonial and colonial Ghana. These objects became focal points for both historical inquiry and contemporary experimentation.</w:t>
      </w:r>
    </w:p>
    <w:p w14:paraId="3B9083E5" w14:textId="77777777" w:rsidR="00F80336" w:rsidRPr="007B696F" w:rsidRDefault="008A57D4" w:rsidP="00F232FE">
      <w:pPr>
        <w:pStyle w:val="BodyText"/>
        <w:spacing w:line="360" w:lineRule="auto"/>
        <w:rPr>
          <w:rFonts w:ascii="Times New Roman" w:hAnsi="Times New Roman" w:cs="Times New Roman"/>
        </w:rPr>
      </w:pPr>
      <w:r w:rsidRPr="007B696F">
        <w:rPr>
          <w:rFonts w:ascii="Times New Roman" w:hAnsi="Times New Roman" w:cs="Times New Roman"/>
        </w:rPr>
        <w:t>In a subsequent workshop in London, participants scanned objects of their own choosing, which were then 3D printed and translated into bronze through an experimental casting process. These remade forms were exhibited alongside documentation of their transformation, foregrounding processes of translation, circulation, and material reconfiguration.</w:t>
      </w:r>
    </w:p>
    <w:p w14:paraId="3220A93B" w14:textId="7D86F7BA" w:rsidR="00F80336" w:rsidRDefault="38F74125" w:rsidP="00F232FE">
      <w:pPr>
        <w:pStyle w:val="BodyText"/>
        <w:spacing w:line="360" w:lineRule="auto"/>
        <w:rPr>
          <w:rFonts w:ascii="Times New Roman" w:hAnsi="Times New Roman" w:cs="Times New Roman"/>
        </w:rPr>
      </w:pPr>
      <w:r w:rsidRPr="5751BCBC">
        <w:rPr>
          <w:rFonts w:ascii="Times New Roman" w:hAnsi="Times New Roman" w:cs="Times New Roman"/>
        </w:rPr>
        <w:t xml:space="preserve">A series of 3D-printed “gold-weight peanuts” were displayed in </w:t>
      </w:r>
      <w:bookmarkStart w:id="2" w:name="_Int_CyDkk2w2"/>
      <w:r w:rsidRPr="5751BCBC">
        <w:rPr>
          <w:rFonts w:ascii="Times New Roman" w:hAnsi="Times New Roman" w:cs="Times New Roman"/>
        </w:rPr>
        <w:t>large quantities</w:t>
      </w:r>
      <w:bookmarkEnd w:id="2"/>
      <w:r w:rsidRPr="5751BCBC">
        <w:rPr>
          <w:rFonts w:ascii="Times New Roman" w:hAnsi="Times New Roman" w:cs="Times New Roman"/>
        </w:rPr>
        <w:t xml:space="preserve"> with an open invitation for visitors to take them. This gesture subtly </w:t>
      </w:r>
      <w:r w:rsidR="2B6931B6" w:rsidRPr="5751BCBC">
        <w:rPr>
          <w:rFonts w:ascii="Times New Roman" w:hAnsi="Times New Roman" w:cs="Times New Roman"/>
        </w:rPr>
        <w:t>disrupts</w:t>
      </w:r>
      <w:r w:rsidRPr="5751BCBC">
        <w:rPr>
          <w:rFonts w:ascii="Times New Roman" w:hAnsi="Times New Roman" w:cs="Times New Roman"/>
        </w:rPr>
        <w:t xml:space="preserve"> transactional </w:t>
      </w:r>
      <w:r w:rsidR="535E1229" w:rsidRPr="5751BCBC">
        <w:rPr>
          <w:rFonts w:ascii="Times New Roman" w:hAnsi="Times New Roman" w:cs="Times New Roman"/>
        </w:rPr>
        <w:t>logic</w:t>
      </w:r>
      <w:r w:rsidRPr="5751BCBC">
        <w:rPr>
          <w:rFonts w:ascii="Times New Roman" w:hAnsi="Times New Roman" w:cs="Times New Roman"/>
        </w:rPr>
        <w:t xml:space="preserve">, redistributing value through acts of sharing </w:t>
      </w:r>
      <w:r w:rsidR="1BD4F194" w:rsidRPr="5751BCBC">
        <w:rPr>
          <w:rFonts w:ascii="Times New Roman" w:hAnsi="Times New Roman" w:cs="Times New Roman"/>
        </w:rPr>
        <w:t>instead of</w:t>
      </w:r>
      <w:r w:rsidRPr="5751BCBC">
        <w:rPr>
          <w:rFonts w:ascii="Times New Roman" w:hAnsi="Times New Roman" w:cs="Times New Roman"/>
        </w:rPr>
        <w:t xml:space="preserve"> accumulation.</w:t>
      </w:r>
      <w:r w:rsidR="38464E76" w:rsidRPr="5751BCBC">
        <w:rPr>
          <w:rFonts w:ascii="Times New Roman" w:hAnsi="Times New Roman" w:cs="Times New Roman"/>
        </w:rPr>
        <w:t xml:space="preserve"> T</w:t>
      </w:r>
      <w:r w:rsidRPr="5751BCBC">
        <w:rPr>
          <w:rFonts w:ascii="Times New Roman" w:hAnsi="Times New Roman" w:cs="Times New Roman"/>
        </w:rPr>
        <w:t>he work intervened—however modestly—in the conditions through which value is produced and circulated.</w:t>
      </w:r>
    </w:p>
    <w:p w14:paraId="5301FF4D" w14:textId="08053342" w:rsidR="001A54F9" w:rsidRPr="001A54F9" w:rsidRDefault="653A553A" w:rsidP="00F232FE">
      <w:pPr>
        <w:pStyle w:val="BodyText"/>
        <w:spacing w:line="360" w:lineRule="auto"/>
        <w:rPr>
          <w:rFonts w:ascii="Times New Roman" w:hAnsi="Times New Roman" w:cs="Times New Roman"/>
        </w:rPr>
      </w:pPr>
      <w:r w:rsidRPr="5751BCBC">
        <w:rPr>
          <w:rFonts w:ascii="Times New Roman" w:hAnsi="Times New Roman" w:cs="Times New Roman"/>
        </w:rPr>
        <w:lastRenderedPageBreak/>
        <w:t xml:space="preserve">This gesture can be </w:t>
      </w:r>
      <w:bookmarkStart w:id="3" w:name="_Int_Do9huWM1"/>
      <w:r w:rsidRPr="5751BCBC">
        <w:rPr>
          <w:rFonts w:ascii="Times New Roman" w:hAnsi="Times New Roman" w:cs="Times New Roman"/>
        </w:rPr>
        <w:t>read through</w:t>
      </w:r>
      <w:bookmarkEnd w:id="3"/>
      <w:r w:rsidRPr="5751BCBC">
        <w:rPr>
          <w:rFonts w:ascii="Times New Roman" w:hAnsi="Times New Roman" w:cs="Times New Roman"/>
        </w:rPr>
        <w:t xml:space="preserve"> </w:t>
      </w:r>
      <w:proofErr w:type="spellStart"/>
      <w:r w:rsidRPr="5751BCBC">
        <w:rPr>
          <w:rStyle w:val="whitespace-normal"/>
          <w:rFonts w:ascii="Times New Roman" w:hAnsi="Times New Roman" w:cs="Times New Roman"/>
        </w:rPr>
        <w:t>Joselit</w:t>
      </w:r>
      <w:r w:rsidRPr="5751BCBC">
        <w:rPr>
          <w:rFonts w:ascii="Times New Roman" w:hAnsi="Times New Roman" w:cs="Times New Roman"/>
        </w:rPr>
        <w:t>’s</w:t>
      </w:r>
      <w:proofErr w:type="spellEnd"/>
      <w:r w:rsidRPr="5751BCBC">
        <w:rPr>
          <w:rFonts w:ascii="Times New Roman" w:hAnsi="Times New Roman" w:cs="Times New Roman"/>
        </w:rPr>
        <w:t xml:space="preserve"> distinction between heritage and debt: while gold weights historically functioned within systems of exchange and value, their reproduction and dispersal here interrupts accumulation, redistributing value in ways that foreground the unresolved histories of extraction that continue to structure their circulation.</w:t>
      </w:r>
    </w:p>
    <w:p w14:paraId="2A090963" w14:textId="77777777" w:rsidR="00F80336" w:rsidRPr="007B696F" w:rsidRDefault="008A57D4" w:rsidP="00F232FE">
      <w:pPr>
        <w:pStyle w:val="BodyText"/>
        <w:spacing w:line="360" w:lineRule="auto"/>
        <w:rPr>
          <w:rFonts w:ascii="Times New Roman" w:hAnsi="Times New Roman" w:cs="Times New Roman"/>
          <w:b/>
          <w:bCs/>
        </w:rPr>
      </w:pPr>
      <w:r w:rsidRPr="007B696F">
        <w:rPr>
          <w:rFonts w:ascii="Times New Roman" w:hAnsi="Times New Roman" w:cs="Times New Roman"/>
          <w:b/>
          <w:bCs/>
        </w:rPr>
        <w:t>Speculation, Futurity, and Counter-Infrastructures</w:t>
      </w:r>
    </w:p>
    <w:p w14:paraId="37B9E359" w14:textId="77777777" w:rsidR="00F80336" w:rsidRPr="007B696F" w:rsidRDefault="38F74125" w:rsidP="00F232FE">
      <w:pPr>
        <w:pStyle w:val="BodyText"/>
        <w:spacing w:line="360" w:lineRule="auto"/>
        <w:rPr>
          <w:rFonts w:ascii="Times New Roman" w:hAnsi="Times New Roman" w:cs="Times New Roman"/>
        </w:rPr>
      </w:pPr>
      <w:r w:rsidRPr="5751BCBC">
        <w:rPr>
          <w:rFonts w:ascii="Times New Roman" w:hAnsi="Times New Roman" w:cs="Times New Roman"/>
        </w:rPr>
        <w:t xml:space="preserve">An early collective visit to the Hayward Gallery exhibition </w:t>
      </w:r>
      <w:r w:rsidRPr="5751BCBC">
        <w:rPr>
          <w:rFonts w:ascii="Times New Roman" w:hAnsi="Times New Roman" w:cs="Times New Roman"/>
          <w:i/>
          <w:iCs/>
        </w:rPr>
        <w:t>In the Black Fantastic</w:t>
      </w:r>
      <w:r w:rsidRPr="5751BCBC">
        <w:rPr>
          <w:rFonts w:ascii="Times New Roman" w:hAnsi="Times New Roman" w:cs="Times New Roman"/>
        </w:rPr>
        <w:t xml:space="preserve">, accompanied by a discussion with curator Ekow Eshun, informed subsequent engagements with museum collections by encouraging practices oriented toward </w:t>
      </w:r>
      <w:bookmarkStart w:id="4" w:name="_Int_CQRYjBhe"/>
      <w:r w:rsidRPr="5751BCBC">
        <w:rPr>
          <w:rFonts w:ascii="Times New Roman" w:hAnsi="Times New Roman" w:cs="Times New Roman"/>
        </w:rPr>
        <w:t>futurity</w:t>
      </w:r>
      <w:bookmarkEnd w:id="4"/>
      <w:r w:rsidRPr="5751BCBC">
        <w:rPr>
          <w:rFonts w:ascii="Times New Roman" w:hAnsi="Times New Roman" w:cs="Times New Roman"/>
        </w:rPr>
        <w:t>. The exhibition foregrounded the fantastical as a mode of re-worlding, in which belongings function in unexpected and generative ways that exceed taxonomic classification.</w:t>
      </w:r>
    </w:p>
    <w:p w14:paraId="715392A3" w14:textId="77777777" w:rsidR="00F80336" w:rsidRPr="007B696F" w:rsidRDefault="38F74125" w:rsidP="00F232FE">
      <w:pPr>
        <w:pStyle w:val="BodyText"/>
        <w:spacing w:line="360" w:lineRule="auto"/>
        <w:rPr>
          <w:rFonts w:ascii="Times New Roman" w:hAnsi="Times New Roman" w:cs="Times New Roman"/>
        </w:rPr>
      </w:pPr>
      <w:r w:rsidRPr="5751BCBC">
        <w:rPr>
          <w:rFonts w:ascii="Times New Roman" w:hAnsi="Times New Roman" w:cs="Times New Roman"/>
        </w:rPr>
        <w:t xml:space="preserve">Exhibitions associated with the project extended this work into speculative performance. The Summer 2024 </w:t>
      </w:r>
      <w:r w:rsidRPr="5751BCBC">
        <w:rPr>
          <w:rFonts w:ascii="Times New Roman" w:hAnsi="Times New Roman" w:cs="Times New Roman"/>
          <w:i/>
          <w:iCs/>
        </w:rPr>
        <w:t>Prisoners of Love</w:t>
      </w:r>
      <w:r w:rsidRPr="5751BCBC">
        <w:rPr>
          <w:rFonts w:ascii="Times New Roman" w:hAnsi="Times New Roman" w:cs="Times New Roman"/>
        </w:rPr>
        <w:t xml:space="preserve"> residency, held in the vaults of a former bank in the City of London, functioned as a site for developing new work. Adanma Nwankwo staged a River Goddess walking barefoot through the </w:t>
      </w:r>
      <w:bookmarkStart w:id="5" w:name="_Int_LtXLOyAL"/>
      <w:proofErr w:type="gramStart"/>
      <w:r w:rsidRPr="5751BCBC">
        <w:rPr>
          <w:rFonts w:ascii="Times New Roman" w:hAnsi="Times New Roman" w:cs="Times New Roman"/>
        </w:rPr>
        <w:t>City</w:t>
      </w:r>
      <w:bookmarkEnd w:id="5"/>
      <w:proofErr w:type="gramEnd"/>
      <w:r w:rsidRPr="5751BCBC">
        <w:rPr>
          <w:rFonts w:ascii="Times New Roman" w:hAnsi="Times New Roman" w:cs="Times New Roman"/>
        </w:rPr>
        <w:t xml:space="preserve"> along the route of the culverted River Walbrook, enacting a counter-mapping of imperial urban space. Dawn Codex generated AI-based future selves situated within a decaying digital London and uploaded these profiles to a dating app. These works proposed alternative technopolitical sovereignties within urban and algorithmic infrastructures shaped by colonial modernity.</w:t>
      </w:r>
    </w:p>
    <w:p w14:paraId="2E2D7818" w14:textId="77777777" w:rsidR="00F80336" w:rsidRPr="007B696F" w:rsidRDefault="008A57D4" w:rsidP="00F232FE">
      <w:pPr>
        <w:pStyle w:val="BodyText"/>
        <w:spacing w:line="360" w:lineRule="auto"/>
        <w:rPr>
          <w:rFonts w:ascii="Times New Roman" w:hAnsi="Times New Roman" w:cs="Times New Roman"/>
        </w:rPr>
      </w:pPr>
      <w:r w:rsidRPr="007B696F">
        <w:rPr>
          <w:rFonts w:ascii="Times New Roman" w:hAnsi="Times New Roman" w:cs="Times New Roman"/>
        </w:rPr>
        <w:t>If museums tend to situate African belongings within an ethnographic past, such speculative practices insist on futurity and ongoing world-making.</w:t>
      </w:r>
    </w:p>
    <w:p w14:paraId="2164F462" w14:textId="77777777" w:rsidR="00F80336" w:rsidRPr="007B696F" w:rsidRDefault="549BD405" w:rsidP="00F232FE">
      <w:pPr>
        <w:pStyle w:val="BodyText"/>
        <w:spacing w:line="360" w:lineRule="auto"/>
        <w:rPr>
          <w:rFonts w:ascii="Times New Roman" w:hAnsi="Times New Roman" w:cs="Times New Roman"/>
          <w:b/>
          <w:bCs/>
        </w:rPr>
      </w:pPr>
      <w:r w:rsidRPr="3584D67C">
        <w:rPr>
          <w:rFonts w:ascii="Times New Roman" w:hAnsi="Times New Roman" w:cs="Times New Roman"/>
          <w:b/>
          <w:bCs/>
        </w:rPr>
        <w:t>Conclusion</w:t>
      </w:r>
    </w:p>
    <w:p w14:paraId="15C7C15F" w14:textId="7041AA66" w:rsidR="15A60A60" w:rsidRDefault="15A60A60" w:rsidP="3584D67C">
      <w:pPr>
        <w:spacing w:after="240" w:line="360" w:lineRule="auto"/>
        <w:rPr>
          <w:rFonts w:ascii="Times New Roman" w:eastAsia="Times New Roman" w:hAnsi="Times New Roman" w:cs="Times New Roman"/>
          <w:lang w:val="en-GB"/>
        </w:rPr>
      </w:pPr>
      <w:r w:rsidRPr="3584D67C">
        <w:rPr>
          <w:rFonts w:ascii="Times New Roman" w:eastAsia="Times New Roman" w:hAnsi="Times New Roman" w:cs="Times New Roman"/>
          <w:lang w:val="en-GB"/>
        </w:rPr>
        <w:t>Re-worlding does not resolve the conditions of colonial dispossession, nor does it replace the demands of restitution. Its force lies in unsettling museological common sense: the assumptions that render belongings as objects, preservation as neutral, and storage as care. Rather than extending existing interpretive frameworks, re-worlding reorients the conditions under which belongings are encountered, shifting them from objects of knowledge to participants in relational and technopolitical processes.</w:t>
      </w:r>
    </w:p>
    <w:p w14:paraId="0CE2D40B" w14:textId="2786E12C" w:rsidR="15A60A60" w:rsidRDefault="15A60A60" w:rsidP="3584D67C">
      <w:pPr>
        <w:spacing w:before="240" w:after="240" w:line="360" w:lineRule="auto"/>
        <w:rPr>
          <w:rFonts w:ascii="Times New Roman" w:eastAsia="Times New Roman" w:hAnsi="Times New Roman" w:cs="Times New Roman"/>
          <w:lang w:val="en-GB"/>
        </w:rPr>
      </w:pPr>
      <w:r w:rsidRPr="3584D67C">
        <w:rPr>
          <w:rFonts w:ascii="Times New Roman" w:eastAsia="Times New Roman" w:hAnsi="Times New Roman" w:cs="Times New Roman"/>
          <w:lang w:val="en-GB"/>
        </w:rPr>
        <w:lastRenderedPageBreak/>
        <w:t>Across the practices discussed here, African belongings emerge as participants in ongoing processes of relation, negotiation, and speculation. These engagements redistribute aspects of interpretive authority while remaining constrained by institutional structures that continue to govern access, ownership, and circulation.</w:t>
      </w:r>
    </w:p>
    <w:p w14:paraId="194D0729" w14:textId="7BB781AF" w:rsidR="15A60A60" w:rsidRDefault="293AF6F8" w:rsidP="3584D67C">
      <w:pPr>
        <w:spacing w:before="240" w:after="240" w:line="360" w:lineRule="auto"/>
        <w:rPr>
          <w:rFonts w:ascii="Times New Roman" w:eastAsia="Times New Roman" w:hAnsi="Times New Roman" w:cs="Times New Roman"/>
          <w:lang w:val="en-GB"/>
        </w:rPr>
      </w:pPr>
      <w:r w:rsidRPr="5751BCBC">
        <w:rPr>
          <w:rFonts w:ascii="Times New Roman" w:eastAsia="Times New Roman" w:hAnsi="Times New Roman" w:cs="Times New Roman"/>
          <w:lang w:val="en-GB"/>
        </w:rPr>
        <w:t xml:space="preserve">The tensions explored throughout this paper—between relation and containment, distribution and control, </w:t>
      </w:r>
      <w:r w:rsidR="1C9EEDBD" w:rsidRPr="5751BCBC">
        <w:rPr>
          <w:rFonts w:ascii="Times New Roman" w:eastAsia="Times New Roman" w:hAnsi="Times New Roman" w:cs="Times New Roman"/>
          <w:lang w:val="en-GB"/>
        </w:rPr>
        <w:t>connection,</w:t>
      </w:r>
      <w:r w:rsidRPr="5751BCBC">
        <w:rPr>
          <w:rFonts w:ascii="Times New Roman" w:eastAsia="Times New Roman" w:hAnsi="Times New Roman" w:cs="Times New Roman"/>
          <w:lang w:val="en-GB"/>
        </w:rPr>
        <w:t xml:space="preserve"> and abstraction—are not failures of re-worlding but conditions of its operation. Digital practices extend relational possibilities while introducing new forms of mediation and enclosure; collaborative work redistributes meaning while leaving material power unevenly held. Digital circulation produces para-infrastructural relations: modes of engagement that operate alongside institutional infrastructures, generating forms of proximity, authorship, and temporal recombination that are not fully governable within museological frameworks. Re-worlding takes place within these contradictions rather than outside them.</w:t>
      </w:r>
    </w:p>
    <w:p w14:paraId="19111076" w14:textId="3E0EA135" w:rsidR="15A60A60" w:rsidRDefault="15A60A60" w:rsidP="3584D67C">
      <w:pPr>
        <w:spacing w:before="240" w:after="240" w:line="360" w:lineRule="auto"/>
        <w:rPr>
          <w:rFonts w:ascii="Times New Roman" w:eastAsia="Times New Roman" w:hAnsi="Times New Roman" w:cs="Times New Roman"/>
          <w:lang w:val="en-GB"/>
        </w:rPr>
      </w:pPr>
      <w:r w:rsidRPr="3584D67C">
        <w:rPr>
          <w:rFonts w:ascii="Times New Roman" w:eastAsia="Times New Roman" w:hAnsi="Times New Roman" w:cs="Times New Roman"/>
          <w:lang w:val="en-GB"/>
        </w:rPr>
        <w:t>What is at stake is not simply a reform of museological practice but a shift in what constitutes the object of museum knowledge. If belongings are understood as distributed and ongoing infrastructures rather than discrete artefacts, then the epistemic foundations of the museum—its modes of classification, preservation, and display—are no longer adequate to the relations they seek to contain.</w:t>
      </w:r>
    </w:p>
    <w:p w14:paraId="61BFD5B6" w14:textId="77777777" w:rsidR="00C55986" w:rsidRDefault="00C55986" w:rsidP="3584D67C">
      <w:pPr>
        <w:spacing w:before="240" w:after="240" w:line="360" w:lineRule="auto"/>
        <w:rPr>
          <w:rFonts w:ascii="Times New Roman" w:eastAsia="Times New Roman" w:hAnsi="Times New Roman" w:cs="Times New Roman"/>
          <w:lang w:val="en-GB"/>
        </w:rPr>
      </w:pPr>
    </w:p>
    <w:p w14:paraId="7B58403C" w14:textId="77777777" w:rsidR="006E7179" w:rsidRDefault="006E7179" w:rsidP="006E7179"/>
    <w:p w14:paraId="03A53BE8" w14:textId="77777777" w:rsidR="006E7179" w:rsidRDefault="006E7179" w:rsidP="006E7179">
      <w:pPr>
        <w:pStyle w:val="NormalWeb"/>
        <w:spacing w:before="240" w:beforeAutospacing="0" w:after="240" w:afterAutospacing="0"/>
      </w:pPr>
      <w:r>
        <w:rPr>
          <w:b/>
          <w:bCs/>
          <w:color w:val="000000"/>
        </w:rPr>
        <w:t>References:</w:t>
      </w:r>
    </w:p>
    <w:p w14:paraId="32DCB4C7" w14:textId="77777777" w:rsidR="006E7179" w:rsidRDefault="006E7179" w:rsidP="006E7179">
      <w:pPr>
        <w:pStyle w:val="NormalWeb"/>
        <w:spacing w:before="240" w:beforeAutospacing="0" w:after="240" w:afterAutospacing="0"/>
      </w:pPr>
      <w:r>
        <w:rPr>
          <w:color w:val="000000"/>
        </w:rPr>
        <w:t>Eshun, Ekow, Ralph Rugoff, et al.</w:t>
      </w:r>
      <w:r>
        <w:rPr>
          <w:color w:val="000000"/>
        </w:rPr>
        <w:br/>
        <w:t xml:space="preserve"> </w:t>
      </w:r>
      <w:r>
        <w:rPr>
          <w:i/>
          <w:iCs/>
          <w:color w:val="000000"/>
        </w:rPr>
        <w:t>In the Black Fantastic.</w:t>
      </w:r>
      <w:r>
        <w:rPr>
          <w:color w:val="000000"/>
        </w:rPr>
        <w:t xml:space="preserve"> Cambridge, MA: MIT Press, 2022.</w:t>
      </w:r>
    </w:p>
    <w:p w14:paraId="580FF53B" w14:textId="77777777" w:rsidR="006E7179" w:rsidRDefault="006E7179" w:rsidP="006E7179">
      <w:pPr>
        <w:pStyle w:val="NormalWeb"/>
        <w:spacing w:before="240" w:beforeAutospacing="0" w:after="240" w:afterAutospacing="0"/>
      </w:pPr>
      <w:r>
        <w:rPr>
          <w:color w:val="000000"/>
        </w:rPr>
        <w:t>Genet, Jean.</w:t>
      </w:r>
      <w:r>
        <w:rPr>
          <w:color w:val="000000"/>
        </w:rPr>
        <w:br/>
        <w:t xml:space="preserve"> </w:t>
      </w:r>
      <w:r>
        <w:rPr>
          <w:i/>
          <w:iCs/>
          <w:color w:val="000000"/>
        </w:rPr>
        <w:t>Prisoner of Love.</w:t>
      </w:r>
      <w:r>
        <w:rPr>
          <w:color w:val="000000"/>
        </w:rPr>
        <w:t xml:space="preserve"> Translated by Barbara Bray. New York: New York Review Books, 2003.</w:t>
      </w:r>
    </w:p>
    <w:p w14:paraId="773FC873" w14:textId="77777777" w:rsidR="006E7179" w:rsidRDefault="006E7179" w:rsidP="006E7179">
      <w:pPr>
        <w:pStyle w:val="NormalWeb"/>
        <w:spacing w:before="240" w:beforeAutospacing="0" w:after="240" w:afterAutospacing="0"/>
      </w:pPr>
      <w:r>
        <w:rPr>
          <w:color w:val="000000"/>
        </w:rPr>
        <w:t>Goffman, Erving.</w:t>
      </w:r>
      <w:r>
        <w:rPr>
          <w:color w:val="000000"/>
        </w:rPr>
        <w:br/>
        <w:t xml:space="preserve"> </w:t>
      </w:r>
      <w:r>
        <w:rPr>
          <w:i/>
          <w:iCs/>
          <w:color w:val="000000"/>
        </w:rPr>
        <w:t>Asylums: Essays on the Social Situation of Mental Patients and Other Inmates.</w:t>
      </w:r>
      <w:r>
        <w:rPr>
          <w:color w:val="000000"/>
        </w:rPr>
        <w:t xml:space="preserve"> Garden City, NY: Doubleday, 1961.</w:t>
      </w:r>
    </w:p>
    <w:p w14:paraId="64F9D2D2" w14:textId="77777777" w:rsidR="006E7179" w:rsidRDefault="006E7179" w:rsidP="006E7179">
      <w:pPr>
        <w:pStyle w:val="NormalWeb"/>
        <w:spacing w:before="240" w:beforeAutospacing="0" w:after="240" w:afterAutospacing="0"/>
      </w:pPr>
      <w:r>
        <w:rPr>
          <w:color w:val="000000"/>
        </w:rPr>
        <w:t>Hall, Stuart, and Alan O’Shea.</w:t>
      </w:r>
      <w:r>
        <w:rPr>
          <w:color w:val="000000"/>
        </w:rPr>
        <w:br/>
        <w:t xml:space="preserve"> “Common-Sense Neoliberalism.” </w:t>
      </w:r>
      <w:r>
        <w:rPr>
          <w:i/>
          <w:iCs/>
          <w:color w:val="000000"/>
        </w:rPr>
        <w:t>Soundings</w:t>
      </w:r>
      <w:r>
        <w:rPr>
          <w:color w:val="000000"/>
        </w:rPr>
        <w:t xml:space="preserve"> 55 (2013): 8–24.</w:t>
      </w:r>
      <w:r>
        <w:rPr>
          <w:color w:val="000000"/>
        </w:rPr>
        <w:br/>
      </w:r>
      <w:hyperlink r:id="rId5" w:history="1">
        <w:r>
          <w:rPr>
            <w:rStyle w:val="Hyperlink"/>
            <w:color w:val="000000"/>
          </w:rPr>
          <w:t xml:space="preserve"> </w:t>
        </w:r>
        <w:r>
          <w:rPr>
            <w:rStyle w:val="Hyperlink"/>
            <w:color w:val="1155CC"/>
          </w:rPr>
          <w:t>https://muse.jhu.edu/article/531183</w:t>
        </w:r>
      </w:hyperlink>
      <w:r>
        <w:rPr>
          <w:color w:val="000000"/>
        </w:rPr>
        <w:t>.</w:t>
      </w:r>
    </w:p>
    <w:p w14:paraId="5F19A39F" w14:textId="77777777" w:rsidR="006E7179" w:rsidRDefault="006E7179" w:rsidP="006E7179">
      <w:pPr>
        <w:pStyle w:val="NormalWeb"/>
        <w:spacing w:before="240" w:beforeAutospacing="0" w:after="240" w:afterAutospacing="0"/>
      </w:pPr>
      <w:r>
        <w:rPr>
          <w:color w:val="000000"/>
        </w:rPr>
        <w:lastRenderedPageBreak/>
        <w:t>Harney, Stefano, and Fred Moten.</w:t>
      </w:r>
      <w:r>
        <w:rPr>
          <w:color w:val="000000"/>
        </w:rPr>
        <w:br/>
        <w:t xml:space="preserve"> </w:t>
      </w:r>
      <w:r>
        <w:rPr>
          <w:i/>
          <w:iCs/>
          <w:color w:val="000000"/>
        </w:rPr>
        <w:t xml:space="preserve">The </w:t>
      </w:r>
      <w:proofErr w:type="spellStart"/>
      <w:r>
        <w:rPr>
          <w:i/>
          <w:iCs/>
          <w:color w:val="000000"/>
        </w:rPr>
        <w:t>Undercommons</w:t>
      </w:r>
      <w:proofErr w:type="spellEnd"/>
      <w:r>
        <w:rPr>
          <w:i/>
          <w:iCs/>
          <w:color w:val="000000"/>
        </w:rPr>
        <w:t>: Fugitive Planning and Black Study.</w:t>
      </w:r>
      <w:r>
        <w:rPr>
          <w:color w:val="000000"/>
        </w:rPr>
        <w:t xml:space="preserve"> Wivenhoe: Minor Compositions, 2013.</w:t>
      </w:r>
    </w:p>
    <w:p w14:paraId="75A6E2B9" w14:textId="77777777" w:rsidR="006E7179" w:rsidRDefault="006E7179" w:rsidP="006E7179">
      <w:pPr>
        <w:pStyle w:val="NormalWeb"/>
        <w:spacing w:before="0" w:beforeAutospacing="0" w:after="0" w:afterAutospacing="0"/>
      </w:pPr>
      <w:r>
        <w:rPr>
          <w:color w:val="000000"/>
        </w:rPr>
        <w:t>Imagining Futures Repository.</w:t>
      </w:r>
    </w:p>
    <w:p w14:paraId="1E54DCDA" w14:textId="77777777" w:rsidR="006E7179" w:rsidRDefault="006E7179" w:rsidP="006E7179">
      <w:pPr>
        <w:pStyle w:val="NormalWeb"/>
        <w:spacing w:before="0" w:beforeAutospacing="0" w:after="0" w:afterAutospacing="0"/>
      </w:pPr>
      <w:r>
        <w:rPr>
          <w:color w:val="000000"/>
        </w:rPr>
        <w:t>“Prisoners of Love Project”</w:t>
      </w:r>
    </w:p>
    <w:p w14:paraId="38A96499" w14:textId="77777777" w:rsidR="006E7179" w:rsidRDefault="006E7179" w:rsidP="006E7179">
      <w:pPr>
        <w:pStyle w:val="NormalWeb"/>
        <w:spacing w:before="0" w:beforeAutospacing="0" w:after="0" w:afterAutospacing="0"/>
      </w:pPr>
      <w:hyperlink r:id="rId6" w:history="1">
        <w:r>
          <w:rPr>
            <w:rStyle w:val="Hyperlink"/>
            <w:color w:val="1155CC"/>
          </w:rPr>
          <w:t>https://ifrepo.world/index.php/Detail/projects/41</w:t>
        </w:r>
      </w:hyperlink>
    </w:p>
    <w:p w14:paraId="55850D69" w14:textId="77777777" w:rsidR="006E7179" w:rsidRDefault="006E7179" w:rsidP="006E7179">
      <w:pPr>
        <w:pStyle w:val="NormalWeb"/>
        <w:spacing w:before="240" w:beforeAutospacing="0" w:after="240" w:afterAutospacing="0"/>
      </w:pPr>
      <w:proofErr w:type="spellStart"/>
      <w:r>
        <w:rPr>
          <w:color w:val="000000"/>
        </w:rPr>
        <w:t>Joselit</w:t>
      </w:r>
      <w:proofErr w:type="spellEnd"/>
      <w:r>
        <w:rPr>
          <w:color w:val="000000"/>
        </w:rPr>
        <w:t>, David.</w:t>
      </w:r>
      <w:r>
        <w:rPr>
          <w:color w:val="000000"/>
        </w:rPr>
        <w:br/>
        <w:t xml:space="preserve"> </w:t>
      </w:r>
      <w:r>
        <w:rPr>
          <w:i/>
          <w:iCs/>
          <w:color w:val="000000"/>
        </w:rPr>
        <w:t>Heritage and Debt: Art in Globalization.</w:t>
      </w:r>
      <w:r>
        <w:rPr>
          <w:color w:val="000000"/>
        </w:rPr>
        <w:t xml:space="preserve"> Cambridge, MA: MIT Press, 2020.</w:t>
      </w:r>
    </w:p>
    <w:p w14:paraId="6C604816" w14:textId="77777777" w:rsidR="006E7179" w:rsidRDefault="006E7179" w:rsidP="006E7179">
      <w:pPr>
        <w:pStyle w:val="NormalWeb"/>
        <w:spacing w:before="240" w:beforeAutospacing="0" w:after="240" w:afterAutospacing="0"/>
      </w:pPr>
      <w:r>
        <w:rPr>
          <w:color w:val="000000"/>
        </w:rPr>
        <w:t xml:space="preserve">Loewe, Rudy, Ajamu X, Onyeka Igwe, and Lola Olufemi. “Black and Queer in the Archive.” </w:t>
      </w:r>
      <w:r>
        <w:rPr>
          <w:i/>
          <w:iCs/>
          <w:color w:val="000000"/>
        </w:rPr>
        <w:t>The Radical Black Women Series</w:t>
      </w:r>
      <w:r>
        <w:rPr>
          <w:color w:val="000000"/>
        </w:rPr>
        <w:t>. YouTube video, 2021.</w:t>
      </w:r>
      <w:r>
        <w:rPr>
          <w:color w:val="000000"/>
        </w:rPr>
        <w:br/>
      </w:r>
      <w:hyperlink r:id="rId7" w:history="1">
        <w:r>
          <w:rPr>
            <w:rStyle w:val="Hyperlink"/>
            <w:color w:val="000000"/>
          </w:rPr>
          <w:t xml:space="preserve"> </w:t>
        </w:r>
        <w:r>
          <w:rPr>
            <w:rStyle w:val="Hyperlink"/>
            <w:color w:val="1155CC"/>
          </w:rPr>
          <w:t>https://www.youtube.com/watch?v=cp0wyGnFMU0</w:t>
        </w:r>
      </w:hyperlink>
      <w:r>
        <w:rPr>
          <w:color w:val="000000"/>
        </w:rPr>
        <w:t>.</w:t>
      </w:r>
    </w:p>
    <w:p w14:paraId="44BA771E" w14:textId="77777777" w:rsidR="006E7179" w:rsidRDefault="006E7179" w:rsidP="006E7179">
      <w:pPr>
        <w:pStyle w:val="NormalWeb"/>
        <w:spacing w:before="240" w:beforeAutospacing="0" w:after="240" w:afterAutospacing="0"/>
      </w:pPr>
      <w:r>
        <w:rPr>
          <w:color w:val="000000"/>
        </w:rPr>
        <w:t>Mavhunga, Clapperton Chakanetsa.</w:t>
      </w:r>
      <w:r>
        <w:rPr>
          <w:color w:val="000000"/>
        </w:rPr>
        <w:br/>
        <w:t xml:space="preserve"> </w:t>
      </w:r>
      <w:r>
        <w:rPr>
          <w:i/>
          <w:iCs/>
          <w:color w:val="000000"/>
        </w:rPr>
        <w:t>The Mobile Workshop: The Tsetse Fly and African Knowledge Production.</w:t>
      </w:r>
      <w:r>
        <w:rPr>
          <w:color w:val="000000"/>
        </w:rPr>
        <w:t xml:space="preserve"> Cambridge, MA: MIT Press, 2018.</w:t>
      </w:r>
    </w:p>
    <w:p w14:paraId="40788EF1" w14:textId="77777777" w:rsidR="006E7179" w:rsidRDefault="006E7179" w:rsidP="006E7179">
      <w:pPr>
        <w:pStyle w:val="NormalWeb"/>
        <w:spacing w:before="240" w:beforeAutospacing="0" w:after="240" w:afterAutospacing="0"/>
      </w:pPr>
      <w:r>
        <w:rPr>
          <w:color w:val="000000"/>
        </w:rPr>
        <w:t>Mavhunga, Clapperton Chakanetsa.</w:t>
      </w:r>
      <w:r>
        <w:rPr>
          <w:color w:val="000000"/>
        </w:rPr>
        <w:br/>
        <w:t xml:space="preserve"> </w:t>
      </w:r>
      <w:r>
        <w:rPr>
          <w:i/>
          <w:iCs/>
          <w:color w:val="000000"/>
        </w:rPr>
        <w:t>Transient Workspaces: Technologies of Everyday Innovation in Zimbabwe.</w:t>
      </w:r>
      <w:r>
        <w:rPr>
          <w:color w:val="000000"/>
        </w:rPr>
        <w:t xml:space="preserve"> Cambridge, MA: MIT Press, 2014.</w:t>
      </w:r>
    </w:p>
    <w:p w14:paraId="6C10939B" w14:textId="77777777" w:rsidR="006E7179" w:rsidRDefault="006E7179" w:rsidP="006E7179">
      <w:pPr>
        <w:pStyle w:val="NormalWeb"/>
        <w:spacing w:before="240" w:beforeAutospacing="0" w:after="240" w:afterAutospacing="0"/>
      </w:pPr>
      <w:r>
        <w:rPr>
          <w:color w:val="000000"/>
        </w:rPr>
        <w:t>Minkin, Louisa, Esi Eshun, Lennon Mhishi, et al.</w:t>
      </w:r>
      <w:r>
        <w:rPr>
          <w:color w:val="000000"/>
        </w:rPr>
        <w:br/>
        <w:t xml:space="preserve"> “Agents of Deterioration.” In </w:t>
      </w:r>
      <w:r>
        <w:rPr>
          <w:i/>
          <w:iCs/>
          <w:color w:val="000000"/>
        </w:rPr>
        <w:t>Imagining Futures Collected Works: Un/Archival Conversations and Practices</w:t>
      </w:r>
      <w:r>
        <w:rPr>
          <w:color w:val="000000"/>
        </w:rPr>
        <w:t xml:space="preserve">, edited by Elena Isayev, Aoife O’Leary McNeice, Jairo A. Melo F., and </w:t>
      </w:r>
      <w:proofErr w:type="spellStart"/>
      <w:r>
        <w:rPr>
          <w:color w:val="000000"/>
        </w:rPr>
        <w:t>Orhun</w:t>
      </w:r>
      <w:proofErr w:type="spellEnd"/>
      <w:r>
        <w:rPr>
          <w:color w:val="000000"/>
        </w:rPr>
        <w:t xml:space="preserve"> Uğur, 2024.</w:t>
      </w:r>
      <w:r>
        <w:rPr>
          <w:color w:val="000000"/>
        </w:rPr>
        <w:br/>
      </w:r>
      <w:hyperlink r:id="rId8" w:history="1">
        <w:r>
          <w:rPr>
            <w:rStyle w:val="Hyperlink"/>
            <w:color w:val="000000"/>
          </w:rPr>
          <w:t xml:space="preserve"> </w:t>
        </w:r>
        <w:r>
          <w:rPr>
            <w:rStyle w:val="Hyperlink"/>
            <w:color w:val="1155CC"/>
          </w:rPr>
          <w:t>http://hdl.handle.net/20.500.14542/kb8jpjcu7</w:t>
        </w:r>
      </w:hyperlink>
      <w:r>
        <w:rPr>
          <w:color w:val="000000"/>
        </w:rPr>
        <w:t>.</w:t>
      </w:r>
    </w:p>
    <w:p w14:paraId="52FB9C44" w14:textId="77777777" w:rsidR="006E7179" w:rsidRDefault="006E7179" w:rsidP="006E7179">
      <w:pPr>
        <w:pStyle w:val="NormalWeb"/>
        <w:spacing w:before="240" w:beforeAutospacing="0" w:after="240" w:afterAutospacing="0"/>
      </w:pPr>
      <w:r>
        <w:rPr>
          <w:color w:val="000000"/>
        </w:rPr>
        <w:t>Minkin, Louisa, Esi Eshun, Lennon Mhishi, et al.</w:t>
      </w:r>
      <w:r>
        <w:rPr>
          <w:color w:val="000000"/>
        </w:rPr>
        <w:br/>
        <w:t xml:space="preserve"> </w:t>
      </w:r>
      <w:proofErr w:type="spellStart"/>
      <w:r>
        <w:rPr>
          <w:i/>
          <w:iCs/>
          <w:color w:val="000000"/>
        </w:rPr>
        <w:t>OSTzine</w:t>
      </w:r>
      <w:proofErr w:type="spellEnd"/>
      <w:r>
        <w:rPr>
          <w:i/>
          <w:iCs/>
          <w:color w:val="000000"/>
        </w:rPr>
        <w:t>.</w:t>
      </w:r>
      <w:r>
        <w:rPr>
          <w:color w:val="000000"/>
        </w:rPr>
        <w:t xml:space="preserve"> 2024.</w:t>
      </w:r>
      <w:r>
        <w:rPr>
          <w:color w:val="000000"/>
        </w:rPr>
        <w:br/>
      </w:r>
      <w:hyperlink r:id="rId9" w:history="1">
        <w:r>
          <w:rPr>
            <w:rStyle w:val="Hyperlink"/>
            <w:color w:val="000000"/>
          </w:rPr>
          <w:t xml:space="preserve"> </w:t>
        </w:r>
        <w:r>
          <w:rPr>
            <w:rStyle w:val="Hyperlink"/>
            <w:color w:val="1155CC"/>
          </w:rPr>
          <w:t>https://hdl.handle.net/20.500.14542/7slw6r11d</w:t>
        </w:r>
      </w:hyperlink>
      <w:r>
        <w:rPr>
          <w:color w:val="000000"/>
        </w:rPr>
        <w:t>.</w:t>
      </w:r>
    </w:p>
    <w:p w14:paraId="77893817" w14:textId="17769D82" w:rsidR="3584D67C" w:rsidRDefault="3584D67C" w:rsidP="3584D67C">
      <w:pPr>
        <w:pStyle w:val="NormalWeb"/>
        <w:spacing w:line="360" w:lineRule="auto"/>
      </w:pPr>
    </w:p>
    <w:p w14:paraId="6C20B70C" w14:textId="77777777" w:rsidR="004A28C7" w:rsidRDefault="004A28C7" w:rsidP="00F232FE">
      <w:pPr>
        <w:pStyle w:val="NormalWeb"/>
        <w:spacing w:line="360" w:lineRule="auto"/>
        <w:rPr>
          <w:b/>
          <w:bCs/>
        </w:rPr>
      </w:pPr>
    </w:p>
    <w:p w14:paraId="37673321" w14:textId="77777777" w:rsidR="004A28C7" w:rsidRDefault="004A28C7" w:rsidP="00F232FE">
      <w:pPr>
        <w:pStyle w:val="NormalWeb"/>
        <w:spacing w:line="360" w:lineRule="auto"/>
        <w:rPr>
          <w:b/>
          <w:bCs/>
        </w:rPr>
      </w:pPr>
    </w:p>
    <w:p w14:paraId="2792127E" w14:textId="313A64BA" w:rsidR="00F80336" w:rsidRPr="007B696F" w:rsidRDefault="00F80336" w:rsidP="00F232FE">
      <w:pPr>
        <w:pStyle w:val="BodyText"/>
        <w:spacing w:line="360" w:lineRule="auto"/>
        <w:rPr>
          <w:rFonts w:ascii="Times New Roman" w:hAnsi="Times New Roman" w:cs="Times New Roman"/>
        </w:rPr>
      </w:pPr>
    </w:p>
    <w:sectPr w:rsidR="00F80336" w:rsidRPr="007B696F">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UulEezqWYab3t/" int2:id="0UBGfXXP">
      <int2:state int2:value="Rejected" int2:type="spell"/>
    </int2:textHash>
    <int2:textHash int2:hashCode="c5D45WOP6LKgsg" int2:id="ezEayu24">
      <int2:state int2:value="Rejected" int2:type="spell"/>
    </int2:textHash>
    <int2:textHash int2:hashCode="Yw+CSABicPk10B" int2:id="N6VREEaE">
      <int2:state int2:value="Rejected" int2:type="spell"/>
    </int2:textHash>
    <int2:textHash int2:hashCode="MAU9yS4qtURgW7" int2:id="5cT8sLzJ">
      <int2:state int2:value="Rejected" int2:type="spell"/>
    </int2:textHash>
    <int2:textHash int2:hashCode="B/E4adDU4yYtv6" int2:id="QAhsc3e0">
      <int2:state int2:value="Rejected" int2:type="spell"/>
    </int2:textHash>
    <int2:textHash int2:hashCode="LObe5G3Ju1y0UW" int2:id="cumcQkvX">
      <int2:state int2:value="Rejected" int2:type="spell"/>
    </int2:textHash>
    <int2:textHash int2:hashCode="ID7dfkDqaNo5xK" int2:id="qVFqcl2f">
      <int2:state int2:value="Rejected" int2:type="spell"/>
    </int2:textHash>
    <int2:textHash int2:hashCode="Q67qqXg0K3oJEU" int2:id="DlFP9FFD">
      <int2:state int2:value="Rejected" int2:type="spell"/>
    </int2:textHash>
    <int2:textHash int2:hashCode="HtjPjpLFHzh1SE" int2:id="sNSvDpia">
      <int2:state int2:value="Rejected" int2:type="spell"/>
    </int2:textHash>
    <int2:textHash int2:hashCode="QRzTRe2PnPjF0T" int2:id="Ia3tRfEZ">
      <int2:state int2:value="Rejected" int2:type="spell"/>
    </int2:textHash>
    <int2:textHash int2:hashCode="jRfDQjSaS/OvS3" int2:id="DjzHIbHp">
      <int2:state int2:value="Rejected" int2:type="spell"/>
    </int2:textHash>
    <int2:textHash int2:hashCode="IknMeE5XC/atct" int2:id="2tWP1Gut">
      <int2:state int2:value="Rejected" int2:type="spell"/>
    </int2:textHash>
    <int2:textHash int2:hashCode="czdvu1rFxSOACd" int2:id="hPxJfLHF">
      <int2:state int2:value="Rejected" int2:type="spell"/>
    </int2:textHash>
    <int2:textHash int2:hashCode="Tgw8upwlIEOLYZ" int2:id="GwXMAZMO">
      <int2:state int2:value="Rejected" int2:type="spell"/>
    </int2:textHash>
    <int2:textHash int2:hashCode="OcctaIQI6cVl/k" int2:id="OVSSUBng">
      <int2:state int2:value="Rejected" int2:type="spell"/>
    </int2:textHash>
    <int2:bookmark int2:bookmarkName="_Int_Vwy737aW" int2:invalidationBookmarkName="" int2:hashCode="wVExU/dz5z2ESa" int2:id="hJ8iytcx">
      <int2:state int2:value="Rejected" int2:type="gram"/>
    </int2:bookmark>
    <int2:bookmark int2:bookmarkName="_Int_LtXLOyAL" int2:invalidationBookmarkName="" int2:hashCode="QnFif08L72EEqV" int2:id="lyOfmYfn">
      <int2:state int2:value="Rejected" int2:type="gram"/>
    </int2:bookmark>
    <int2:bookmark int2:bookmarkName="_Int_CQRYjBhe" int2:invalidationBookmarkName="" int2:hashCode="YesnsUX8svZPtF" int2:id="1euMrsZ9">
      <int2:state int2:value="Rejected" int2:type="gram"/>
    </int2:bookmark>
    <int2:bookmark int2:bookmarkName="_Int_CyDkk2w2" int2:invalidationBookmarkName="" int2:hashCode="5rVgZ2pNrE80Wk" int2:id="FWLV4Nt0">
      <int2:state int2:value="Rejected" int2:type="style"/>
    </int2:bookmark>
    <int2:bookmark int2:bookmarkName="_Int_Do9huWM1" int2:invalidationBookmarkName="" int2:hashCode="LwB6QCXQwfpLxh" int2:id="iD6kUyRS">
      <int2:state int2:value="Rejected" int2:type="style"/>
    </int2:bookmark>
    <int2:bookmark int2:bookmarkName="_Int_lua9VD5J" int2:invalidationBookmarkName="" int2:hashCode="oxWXfopPpZGNjK" int2:id="QNmPnRim">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382F6B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18723BC4"/>
    <w:multiLevelType w:val="hybridMultilevel"/>
    <w:tmpl w:val="FFFFFFFF"/>
    <w:lvl w:ilvl="0" w:tplc="5FF837D4">
      <w:start w:val="1"/>
      <w:numFmt w:val="bullet"/>
      <w:lvlText w:val=""/>
      <w:lvlJc w:val="left"/>
      <w:pPr>
        <w:ind w:left="720" w:hanging="360"/>
      </w:pPr>
      <w:rPr>
        <w:rFonts w:ascii="Wingdings" w:hAnsi="Wingdings" w:hint="default"/>
      </w:rPr>
    </w:lvl>
    <w:lvl w:ilvl="1" w:tplc="0FC8E14A">
      <w:start w:val="1"/>
      <w:numFmt w:val="bullet"/>
      <w:lvlText w:val=""/>
      <w:lvlJc w:val="left"/>
      <w:pPr>
        <w:ind w:left="1440" w:hanging="360"/>
      </w:pPr>
      <w:rPr>
        <w:rFonts w:ascii="Wingdings" w:hAnsi="Wingdings" w:hint="default"/>
      </w:rPr>
    </w:lvl>
    <w:lvl w:ilvl="2" w:tplc="7676F332">
      <w:start w:val="1"/>
      <w:numFmt w:val="bullet"/>
      <w:lvlText w:val=""/>
      <w:lvlJc w:val="left"/>
      <w:pPr>
        <w:ind w:left="2160" w:hanging="360"/>
      </w:pPr>
      <w:rPr>
        <w:rFonts w:ascii="Wingdings" w:hAnsi="Wingdings" w:hint="default"/>
      </w:rPr>
    </w:lvl>
    <w:lvl w:ilvl="3" w:tplc="44C21A8A">
      <w:start w:val="1"/>
      <w:numFmt w:val="bullet"/>
      <w:lvlText w:val=""/>
      <w:lvlJc w:val="left"/>
      <w:pPr>
        <w:ind w:left="2880" w:hanging="360"/>
      </w:pPr>
      <w:rPr>
        <w:rFonts w:ascii="Wingdings" w:hAnsi="Wingdings" w:hint="default"/>
      </w:rPr>
    </w:lvl>
    <w:lvl w:ilvl="4" w:tplc="5FF0E62C">
      <w:start w:val="1"/>
      <w:numFmt w:val="bullet"/>
      <w:lvlText w:val=""/>
      <w:lvlJc w:val="left"/>
      <w:pPr>
        <w:ind w:left="3600" w:hanging="360"/>
      </w:pPr>
      <w:rPr>
        <w:rFonts w:ascii="Wingdings" w:hAnsi="Wingdings" w:hint="default"/>
      </w:rPr>
    </w:lvl>
    <w:lvl w:ilvl="5" w:tplc="E932CC3E">
      <w:start w:val="1"/>
      <w:numFmt w:val="bullet"/>
      <w:lvlText w:val=""/>
      <w:lvlJc w:val="left"/>
      <w:pPr>
        <w:ind w:left="4320" w:hanging="360"/>
      </w:pPr>
      <w:rPr>
        <w:rFonts w:ascii="Wingdings" w:hAnsi="Wingdings" w:hint="default"/>
      </w:rPr>
    </w:lvl>
    <w:lvl w:ilvl="6" w:tplc="E756744C">
      <w:start w:val="1"/>
      <w:numFmt w:val="bullet"/>
      <w:lvlText w:val=""/>
      <w:lvlJc w:val="left"/>
      <w:pPr>
        <w:ind w:left="5040" w:hanging="360"/>
      </w:pPr>
      <w:rPr>
        <w:rFonts w:ascii="Wingdings" w:hAnsi="Wingdings" w:hint="default"/>
      </w:rPr>
    </w:lvl>
    <w:lvl w:ilvl="7" w:tplc="02D881FE">
      <w:start w:val="1"/>
      <w:numFmt w:val="bullet"/>
      <w:lvlText w:val=""/>
      <w:lvlJc w:val="left"/>
      <w:pPr>
        <w:ind w:left="5760" w:hanging="360"/>
      </w:pPr>
      <w:rPr>
        <w:rFonts w:ascii="Wingdings" w:hAnsi="Wingdings" w:hint="default"/>
      </w:rPr>
    </w:lvl>
    <w:lvl w:ilvl="8" w:tplc="7990FC9C">
      <w:start w:val="1"/>
      <w:numFmt w:val="bullet"/>
      <w:lvlText w:val=""/>
      <w:lvlJc w:val="left"/>
      <w:pPr>
        <w:ind w:left="6480" w:hanging="360"/>
      </w:pPr>
      <w:rPr>
        <w:rFonts w:ascii="Wingdings" w:hAnsi="Wingdings" w:hint="default"/>
      </w:rPr>
    </w:lvl>
  </w:abstractNum>
  <w:num w:numId="1" w16cid:durableId="1973054541">
    <w:abstractNumId w:val="0"/>
  </w:num>
  <w:num w:numId="2" w16cid:durableId="635793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36"/>
    <w:rsid w:val="00000B32"/>
    <w:rsid w:val="000D702E"/>
    <w:rsid w:val="001A54F9"/>
    <w:rsid w:val="002234EC"/>
    <w:rsid w:val="002805ED"/>
    <w:rsid w:val="003622A3"/>
    <w:rsid w:val="003A7937"/>
    <w:rsid w:val="004A248D"/>
    <w:rsid w:val="004A28C7"/>
    <w:rsid w:val="004D2451"/>
    <w:rsid w:val="004F73B3"/>
    <w:rsid w:val="00544499"/>
    <w:rsid w:val="005719BD"/>
    <w:rsid w:val="005B049E"/>
    <w:rsid w:val="005D5A65"/>
    <w:rsid w:val="00626009"/>
    <w:rsid w:val="00694CF7"/>
    <w:rsid w:val="006E7179"/>
    <w:rsid w:val="007B696F"/>
    <w:rsid w:val="00822D80"/>
    <w:rsid w:val="00826C30"/>
    <w:rsid w:val="008556CB"/>
    <w:rsid w:val="00883B41"/>
    <w:rsid w:val="008A57D4"/>
    <w:rsid w:val="008E5258"/>
    <w:rsid w:val="00972493"/>
    <w:rsid w:val="00987F1F"/>
    <w:rsid w:val="009A2196"/>
    <w:rsid w:val="009A7354"/>
    <w:rsid w:val="009B0552"/>
    <w:rsid w:val="00A50714"/>
    <w:rsid w:val="00A51D57"/>
    <w:rsid w:val="00AB037A"/>
    <w:rsid w:val="00AD3E34"/>
    <w:rsid w:val="00B10AAD"/>
    <w:rsid w:val="00BB2EEA"/>
    <w:rsid w:val="00C13613"/>
    <w:rsid w:val="00C55986"/>
    <w:rsid w:val="00C86757"/>
    <w:rsid w:val="00D74606"/>
    <w:rsid w:val="00DF9094"/>
    <w:rsid w:val="00E35AC8"/>
    <w:rsid w:val="00ED7547"/>
    <w:rsid w:val="00F06CED"/>
    <w:rsid w:val="00F232FE"/>
    <w:rsid w:val="00F80336"/>
    <w:rsid w:val="00F86BD2"/>
    <w:rsid w:val="027E9955"/>
    <w:rsid w:val="04FD239B"/>
    <w:rsid w:val="05C0B0B5"/>
    <w:rsid w:val="071089D3"/>
    <w:rsid w:val="08C358B4"/>
    <w:rsid w:val="10757F1C"/>
    <w:rsid w:val="15A60A60"/>
    <w:rsid w:val="17F64D63"/>
    <w:rsid w:val="18CC5343"/>
    <w:rsid w:val="18D3D41F"/>
    <w:rsid w:val="194610FD"/>
    <w:rsid w:val="19DC7706"/>
    <w:rsid w:val="1BB7C3F2"/>
    <w:rsid w:val="1BD4F194"/>
    <w:rsid w:val="1C9EEDBD"/>
    <w:rsid w:val="1DC32D3C"/>
    <w:rsid w:val="1E7CA574"/>
    <w:rsid w:val="1EEA81FB"/>
    <w:rsid w:val="1F80295A"/>
    <w:rsid w:val="1FD59867"/>
    <w:rsid w:val="1FD8DE9D"/>
    <w:rsid w:val="217355F4"/>
    <w:rsid w:val="21D130D7"/>
    <w:rsid w:val="2261A652"/>
    <w:rsid w:val="2450B71C"/>
    <w:rsid w:val="25F44951"/>
    <w:rsid w:val="28094B26"/>
    <w:rsid w:val="293AF6F8"/>
    <w:rsid w:val="2B6931B6"/>
    <w:rsid w:val="2DE34976"/>
    <w:rsid w:val="303B2305"/>
    <w:rsid w:val="319240BF"/>
    <w:rsid w:val="3584D67C"/>
    <w:rsid w:val="360602BA"/>
    <w:rsid w:val="369D5758"/>
    <w:rsid w:val="383197BE"/>
    <w:rsid w:val="38464E76"/>
    <w:rsid w:val="38F74125"/>
    <w:rsid w:val="3EF2446D"/>
    <w:rsid w:val="40091EBC"/>
    <w:rsid w:val="40472002"/>
    <w:rsid w:val="43909B84"/>
    <w:rsid w:val="45980CA1"/>
    <w:rsid w:val="45BDF777"/>
    <w:rsid w:val="46D03125"/>
    <w:rsid w:val="47668AD6"/>
    <w:rsid w:val="482B5D60"/>
    <w:rsid w:val="49A6FD0C"/>
    <w:rsid w:val="4EEF0BA8"/>
    <w:rsid w:val="4F345A97"/>
    <w:rsid w:val="50778188"/>
    <w:rsid w:val="507E453B"/>
    <w:rsid w:val="512202DD"/>
    <w:rsid w:val="5229ED58"/>
    <w:rsid w:val="535E1229"/>
    <w:rsid w:val="549BD405"/>
    <w:rsid w:val="54B26863"/>
    <w:rsid w:val="55E936B8"/>
    <w:rsid w:val="5751BCBC"/>
    <w:rsid w:val="585BDA05"/>
    <w:rsid w:val="58A86679"/>
    <w:rsid w:val="5BA7DF48"/>
    <w:rsid w:val="5D9BEE07"/>
    <w:rsid w:val="6152A846"/>
    <w:rsid w:val="62EA31CE"/>
    <w:rsid w:val="6361FD94"/>
    <w:rsid w:val="643C07F5"/>
    <w:rsid w:val="65339B38"/>
    <w:rsid w:val="653A553A"/>
    <w:rsid w:val="66B9CB2B"/>
    <w:rsid w:val="66D302FB"/>
    <w:rsid w:val="69400FF2"/>
    <w:rsid w:val="6A8796C2"/>
    <w:rsid w:val="6AC4C043"/>
    <w:rsid w:val="6AFF2F31"/>
    <w:rsid w:val="6CE2EA42"/>
    <w:rsid w:val="6E8D0984"/>
    <w:rsid w:val="6EF65984"/>
    <w:rsid w:val="6F853B17"/>
    <w:rsid w:val="7390BA4E"/>
    <w:rsid w:val="7659B5F8"/>
    <w:rsid w:val="77202B11"/>
    <w:rsid w:val="7730F91F"/>
    <w:rsid w:val="780E00F7"/>
    <w:rsid w:val="79194069"/>
    <w:rsid w:val="796E9043"/>
    <w:rsid w:val="7D370E1C"/>
    <w:rsid w:val="7DC36E96"/>
    <w:rsid w:val="7E71CDD1"/>
    <w:rsid w:val="7EB47D57"/>
    <w:rsid w:val="7F243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372AD"/>
  <w15:docId w15:val="{955CE944-C834-A24B-A511-ED869C5D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Strong">
    <w:name w:val="Strong"/>
    <w:basedOn w:val="DefaultParagraphFont"/>
    <w:uiPriority w:val="22"/>
    <w:qFormat/>
    <w:rsid w:val="00826C30"/>
    <w:rPr>
      <w:b/>
      <w:bCs/>
    </w:rPr>
  </w:style>
  <w:style w:type="paragraph" w:styleId="NormalWeb">
    <w:name w:val="Normal (Web)"/>
    <w:basedOn w:val="Normal"/>
    <w:uiPriority w:val="99"/>
    <w:unhideWhenUsed/>
    <w:rsid w:val="00826C30"/>
    <w:pPr>
      <w:spacing w:before="100" w:beforeAutospacing="1" w:after="100" w:afterAutospacing="1"/>
    </w:pPr>
    <w:rPr>
      <w:rFonts w:ascii="Times New Roman" w:eastAsia="Times New Roman" w:hAnsi="Times New Roman" w:cs="Times New Roman"/>
      <w:lang w:val="en-GB" w:eastAsia="en-GB"/>
    </w:rPr>
  </w:style>
  <w:style w:type="character" w:styleId="Emphasis">
    <w:name w:val="Emphasis"/>
    <w:basedOn w:val="DefaultParagraphFont"/>
    <w:uiPriority w:val="20"/>
    <w:qFormat/>
    <w:rsid w:val="007B696F"/>
    <w:rPr>
      <w:i/>
      <w:iCs/>
    </w:rPr>
  </w:style>
  <w:style w:type="character" w:styleId="CommentReference">
    <w:name w:val="annotation reference"/>
    <w:basedOn w:val="DefaultParagraphFont"/>
    <w:rsid w:val="00694CF7"/>
    <w:rPr>
      <w:sz w:val="16"/>
      <w:szCs w:val="16"/>
    </w:rPr>
  </w:style>
  <w:style w:type="paragraph" w:styleId="CommentText">
    <w:name w:val="annotation text"/>
    <w:basedOn w:val="Normal"/>
    <w:link w:val="CommentTextChar"/>
    <w:rsid w:val="00694CF7"/>
    <w:rPr>
      <w:sz w:val="20"/>
      <w:szCs w:val="20"/>
    </w:rPr>
  </w:style>
  <w:style w:type="character" w:customStyle="1" w:styleId="CommentTextChar">
    <w:name w:val="Comment Text Char"/>
    <w:basedOn w:val="DefaultParagraphFont"/>
    <w:link w:val="CommentText"/>
    <w:rsid w:val="00694CF7"/>
    <w:rPr>
      <w:sz w:val="20"/>
      <w:szCs w:val="20"/>
    </w:rPr>
  </w:style>
  <w:style w:type="paragraph" w:styleId="CommentSubject">
    <w:name w:val="annotation subject"/>
    <w:basedOn w:val="CommentText"/>
    <w:next w:val="CommentText"/>
    <w:link w:val="CommentSubjectChar"/>
    <w:rsid w:val="00694CF7"/>
    <w:rPr>
      <w:b/>
      <w:bCs/>
    </w:rPr>
  </w:style>
  <w:style w:type="character" w:customStyle="1" w:styleId="CommentSubjectChar">
    <w:name w:val="Comment Subject Char"/>
    <w:basedOn w:val="CommentTextChar"/>
    <w:link w:val="CommentSubject"/>
    <w:rsid w:val="00694CF7"/>
    <w:rPr>
      <w:b/>
      <w:bCs/>
      <w:sz w:val="20"/>
      <w:szCs w:val="20"/>
    </w:rPr>
  </w:style>
  <w:style w:type="character" w:customStyle="1" w:styleId="t286pc">
    <w:name w:val="t286pc"/>
    <w:basedOn w:val="DefaultParagraphFont"/>
    <w:rsid w:val="008E5258"/>
  </w:style>
  <w:style w:type="character" w:customStyle="1" w:styleId="whitespace-normal">
    <w:name w:val="whitespace-normal"/>
    <w:basedOn w:val="DefaultParagraphFont"/>
    <w:rsid w:val="009A7354"/>
  </w:style>
  <w:style w:type="character" w:styleId="FollowedHyperlink">
    <w:name w:val="FollowedHyperlink"/>
    <w:basedOn w:val="DefaultParagraphFont"/>
    <w:rsid w:val="001A54F9"/>
    <w:rPr>
      <w:color w:val="96607D" w:themeColor="followedHyperlink"/>
      <w:u w:val="single"/>
    </w:rPr>
  </w:style>
  <w:style w:type="character" w:styleId="UnresolvedMention">
    <w:name w:val="Unresolved Mention"/>
    <w:basedOn w:val="DefaultParagraphFont"/>
    <w:uiPriority w:val="99"/>
    <w:semiHidden/>
    <w:unhideWhenUsed/>
    <w:rsid w:val="00544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hyperlink" Target="http://hdl.handle.net/20.500.14542/kb8jpjcu7" TargetMode="External"/><Relationship Id="rId3" Type="http://schemas.openxmlformats.org/officeDocument/2006/relationships/settings" Target="settings.xml"/><Relationship Id="rId7" Type="http://schemas.openxmlformats.org/officeDocument/2006/relationships/hyperlink" Target="https://www.youtube.com/watch?v=cp0wyGnFMU0" TargetMode="Externa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frepo.world/index.php/Detail/projects/41" TargetMode="External"/><Relationship Id="rId11" Type="http://schemas.openxmlformats.org/officeDocument/2006/relationships/theme" Target="theme/theme1.xml"/><Relationship Id="rId5" Type="http://schemas.openxmlformats.org/officeDocument/2006/relationships/hyperlink" Target="https://muse.jhu.edu/article/53118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dl.handle.net/20.500.14542/7slw6r11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3519</Words>
  <Characters>20059</Characters>
  <Application>Microsoft Office Word</Application>
  <DocSecurity>0</DocSecurity>
  <Lines>167</Lines>
  <Paragraphs>47</Paragraphs>
  <ScaleCrop>false</ScaleCrop>
  <Company/>
  <LinksUpToDate>false</LinksUpToDate>
  <CharactersWithSpaces>23531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Minkin</dc:creator>
  <cp:keywords/>
  <cp:lastModifiedBy>Louisa Minkin</cp:lastModifiedBy>
  <cp:revision>2</cp:revision>
  <dcterms:created xsi:type="dcterms:W3CDTF">2026-04-10T19:48:00Z</dcterms:created>
  <dcterms:modified xsi:type="dcterms:W3CDTF">2026-04-10T19:48:00Z</dcterms:modified>
</cp:coreProperties>
</file>