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B722" w14:textId="77777777" w:rsidR="001B7750" w:rsidRPr="004E5056" w:rsidRDefault="001B7750" w:rsidP="001B7750">
      <w:pPr>
        <w:rPr>
          <w:rFonts w:ascii="Calibri" w:hAnsi="Calibri" w:cs="Calibri"/>
          <w:b/>
          <w:bCs/>
          <w:lang w:val="en-GB"/>
        </w:rPr>
      </w:pPr>
      <w:r w:rsidRPr="004E5056">
        <w:rPr>
          <w:rFonts w:ascii="Calibri" w:hAnsi="Calibri" w:cs="Calibri"/>
          <w:b/>
          <w:bCs/>
          <w:lang w:val="en-GB"/>
        </w:rPr>
        <w:t>Andrew Hall – ‘Published Research’ for inclusion in my UAL Elements Research Profile, March 2026:</w:t>
      </w:r>
    </w:p>
    <w:p w14:paraId="22B5EE3C" w14:textId="77777777" w:rsidR="001B7750" w:rsidRDefault="001B7750" w:rsidP="001B7750">
      <w:pPr>
        <w:rPr>
          <w:rFonts w:ascii="Calibri" w:hAnsi="Calibri" w:cs="Calibri"/>
          <w:b/>
          <w:bCs/>
          <w:sz w:val="22"/>
          <w:szCs w:val="22"/>
          <w:lang w:val="en-GB"/>
        </w:rPr>
      </w:pPr>
    </w:p>
    <w:p w14:paraId="34D169A8" w14:textId="041E8A8D" w:rsidR="001B7750" w:rsidRPr="004A1999" w:rsidRDefault="001B7750" w:rsidP="001B7750">
      <w:pPr>
        <w:rPr>
          <w:rFonts w:ascii="Calibri" w:hAnsi="Calibri" w:cs="Calibri"/>
          <w:b/>
          <w:bCs/>
          <w:sz w:val="22"/>
          <w:szCs w:val="22"/>
          <w:lang w:val="en-GB"/>
        </w:rPr>
      </w:pPr>
      <w:r w:rsidRPr="004A1999">
        <w:rPr>
          <w:rFonts w:ascii="Calibri" w:hAnsi="Calibri" w:cs="Calibri"/>
          <w:b/>
          <w:bCs/>
          <w:sz w:val="22"/>
          <w:szCs w:val="22"/>
          <w:lang w:val="en-GB"/>
        </w:rPr>
        <w:t>6) ‘Illustration A Concise History’ by Andrew Hall, published by ‘Thames &amp; Hudson’ 2025:</w:t>
      </w:r>
    </w:p>
    <w:p w14:paraId="60CF2C51" w14:textId="77777777" w:rsidR="001B7750" w:rsidRDefault="001B7750" w:rsidP="001B7750">
      <w:pPr>
        <w:rPr>
          <w:rFonts w:ascii="Calibri" w:hAnsi="Calibri" w:cs="Calibri"/>
          <w:b/>
          <w:bCs/>
          <w:sz w:val="22"/>
          <w:szCs w:val="22"/>
          <w:lang w:val="en-GB"/>
        </w:rPr>
      </w:pPr>
      <w:r w:rsidRPr="004A1999">
        <w:rPr>
          <w:rFonts w:ascii="Calibri" w:hAnsi="Calibri" w:cs="Calibri"/>
          <w:b/>
          <w:bCs/>
          <w:sz w:val="22"/>
          <w:szCs w:val="22"/>
          <w:lang w:val="en-GB"/>
        </w:rPr>
        <w:t xml:space="preserve">(Illustration 1: </w:t>
      </w:r>
      <w:r w:rsidRPr="004A1999">
        <w:rPr>
          <w:rFonts w:ascii="Calibri" w:hAnsi="Calibri" w:cs="Calibri"/>
          <w:b/>
          <w:bCs/>
          <w:i/>
          <w:iCs/>
          <w:sz w:val="22"/>
          <w:szCs w:val="22"/>
          <w:lang w:val="en-GB"/>
        </w:rPr>
        <w:t>New Zealand Fights</w:t>
      </w:r>
      <w:r w:rsidRPr="004A1999">
        <w:rPr>
          <w:rFonts w:ascii="Calibri" w:hAnsi="Calibri" w:cs="Calibri"/>
          <w:b/>
          <w:bCs/>
          <w:sz w:val="22"/>
          <w:szCs w:val="22"/>
          <w:lang w:val="en-GB"/>
        </w:rPr>
        <w:t>, by A. T. Peel, war recruitment poster, 1942 – 45.)</w:t>
      </w:r>
    </w:p>
    <w:p w14:paraId="06E41AE9" w14:textId="77777777" w:rsidR="001B7750" w:rsidRDefault="001B7750" w:rsidP="001B7750">
      <w:pPr>
        <w:rPr>
          <w:rFonts w:ascii="Calibri" w:hAnsi="Calibri" w:cs="Calibri"/>
          <w:b/>
          <w:bCs/>
          <w:sz w:val="22"/>
          <w:szCs w:val="22"/>
          <w:lang w:val="en-GB"/>
        </w:rPr>
      </w:pPr>
      <w:r>
        <w:rPr>
          <w:rFonts w:ascii="Calibri" w:hAnsi="Calibri" w:cs="Calibri"/>
          <w:b/>
          <w:bCs/>
          <w:sz w:val="22"/>
          <w:szCs w:val="22"/>
          <w:lang w:val="en-GB"/>
        </w:rPr>
        <w:t>ISBN: 978-0-500-29772-8</w:t>
      </w:r>
    </w:p>
    <w:p w14:paraId="77E91D4E" w14:textId="77777777" w:rsidR="001B7750" w:rsidRDefault="001B7750" w:rsidP="001B7750">
      <w:pPr>
        <w:rPr>
          <w:rFonts w:ascii="Calibri" w:hAnsi="Calibri" w:cs="Calibri"/>
          <w:b/>
          <w:bCs/>
          <w:sz w:val="22"/>
          <w:szCs w:val="22"/>
          <w:lang w:val="en-GB"/>
        </w:rPr>
      </w:pPr>
      <w:r>
        <w:rPr>
          <w:rFonts w:ascii="Calibri" w:hAnsi="Calibri" w:cs="Calibri"/>
          <w:b/>
          <w:bCs/>
          <w:sz w:val="22"/>
          <w:szCs w:val="22"/>
          <w:lang w:val="en-GB"/>
        </w:rPr>
        <w:t>Published by Thames &amp; Hudson Ltd, in the UK in 2025, 181A High Holborn, London WC1V 7QX.</w:t>
      </w:r>
    </w:p>
    <w:p w14:paraId="4516302C" w14:textId="77777777" w:rsidR="001B7750" w:rsidRPr="004A1999" w:rsidRDefault="001B7750" w:rsidP="001B7750">
      <w:pPr>
        <w:rPr>
          <w:rFonts w:ascii="Calibri" w:hAnsi="Calibri" w:cs="Calibri"/>
          <w:b/>
          <w:bCs/>
          <w:sz w:val="22"/>
          <w:szCs w:val="22"/>
          <w:lang w:val="en-GB"/>
        </w:rPr>
      </w:pPr>
      <w:r>
        <w:rPr>
          <w:rFonts w:ascii="Calibri" w:hAnsi="Calibri" w:cs="Calibri"/>
          <w:b/>
          <w:bCs/>
          <w:sz w:val="22"/>
          <w:szCs w:val="22"/>
          <w:lang w:val="en-GB"/>
        </w:rPr>
        <w:t>Published by Thames &amp; Hudson Inc, the United States of America, in 2025, 500 Fifth Avenue, New York, New York, 10110.</w:t>
      </w:r>
    </w:p>
    <w:p w14:paraId="7F42E4F8" w14:textId="77777777" w:rsidR="001B7750" w:rsidRPr="004A1999" w:rsidRDefault="001B7750" w:rsidP="001B7750">
      <w:pPr>
        <w:rPr>
          <w:rFonts w:ascii="Calibri" w:hAnsi="Calibri" w:cs="Calibri"/>
          <w:b/>
          <w:bCs/>
          <w:sz w:val="22"/>
          <w:szCs w:val="22"/>
          <w:lang w:val="en-GB"/>
        </w:rPr>
      </w:pPr>
      <w:r w:rsidRPr="004A1999">
        <w:rPr>
          <w:rFonts w:ascii="Calibri" w:hAnsi="Calibri" w:cs="Calibri"/>
          <w:b/>
          <w:bCs/>
          <w:sz w:val="22"/>
          <w:szCs w:val="22"/>
          <w:lang w:val="en-GB"/>
        </w:rPr>
        <w:t>Introduction:</w:t>
      </w:r>
    </w:p>
    <w:p w14:paraId="4456E7E4" w14:textId="77777777" w:rsidR="001B7750" w:rsidRDefault="001B7750" w:rsidP="001B7750">
      <w:pPr>
        <w:rPr>
          <w:rFonts w:ascii="Calibri" w:hAnsi="Calibri" w:cs="Calibri"/>
          <w:sz w:val="22"/>
          <w:szCs w:val="22"/>
          <w:lang w:val="en-GB"/>
        </w:rPr>
      </w:pPr>
      <w:r w:rsidRPr="00C62FC7">
        <w:rPr>
          <w:rFonts w:ascii="Calibri" w:hAnsi="Calibri" w:cs="Calibri"/>
          <w:sz w:val="22"/>
          <w:szCs w:val="22"/>
          <w:lang w:val="en-GB"/>
        </w:rPr>
        <w:t>In illustration, the common thread is the image, be it single, sequential or moving. It inherently has a potency to communicate at very high speed, to a global audience, without language barriers and without the requirement of specialist knowledge. It can convey to its audience a myriad of information, acting upon them in ways to persuade, to show, to educate, to inspire and to entertain. Its visual language is unequivocally linked to developments in fine art, with many fine artists also producing illustration work – the crucial difference being that illustration is a visual message commissioned by a client and, as such, is shaped by the illustrator in collaboration with that client, and towards that client’s specific goals, all in the cause of reaching their intended audience.</w:t>
      </w:r>
    </w:p>
    <w:p w14:paraId="550B01F3" w14:textId="77777777" w:rsidR="001B7750" w:rsidRDefault="001B7750" w:rsidP="001B7750">
      <w:pPr>
        <w:rPr>
          <w:rFonts w:ascii="Calibri" w:hAnsi="Calibri" w:cs="Calibri"/>
          <w:sz w:val="22"/>
          <w:szCs w:val="22"/>
          <w:lang w:val="en-GB"/>
        </w:rPr>
      </w:pPr>
      <w:r w:rsidRPr="00C62FC7">
        <w:rPr>
          <w:rFonts w:ascii="Calibri" w:hAnsi="Calibri" w:cs="Calibri"/>
          <w:i/>
          <w:iCs/>
          <w:sz w:val="22"/>
          <w:szCs w:val="22"/>
          <w:lang w:val="en-GB"/>
        </w:rPr>
        <w:t>Illustration: A Concise History</w:t>
      </w:r>
      <w:r>
        <w:rPr>
          <w:rFonts w:ascii="Calibri" w:hAnsi="Calibri" w:cs="Calibri"/>
          <w:i/>
          <w:iCs/>
          <w:sz w:val="22"/>
          <w:szCs w:val="22"/>
          <w:lang w:val="en-GB"/>
        </w:rPr>
        <w:t xml:space="preserve"> </w:t>
      </w:r>
      <w:r>
        <w:rPr>
          <w:rFonts w:ascii="Calibri" w:hAnsi="Calibri" w:cs="Calibri"/>
          <w:sz w:val="22"/>
          <w:szCs w:val="22"/>
          <w:lang w:val="en-GB"/>
        </w:rPr>
        <w:t>is a dynamic visual journey through the many twists and turns of the mesmerizing landscape of illustration, with the main part of the text focusing on the period from 1750 to the present day. The rationale for this is that in the 18</w:t>
      </w:r>
      <w:r w:rsidRPr="00C62FC7">
        <w:rPr>
          <w:rFonts w:ascii="Calibri" w:hAnsi="Calibri" w:cs="Calibri"/>
          <w:sz w:val="22"/>
          <w:szCs w:val="22"/>
          <w:vertAlign w:val="superscript"/>
          <w:lang w:val="en-GB"/>
        </w:rPr>
        <w:t>th</w:t>
      </w:r>
      <w:r>
        <w:rPr>
          <w:rFonts w:ascii="Calibri" w:hAnsi="Calibri" w:cs="Calibri"/>
          <w:sz w:val="22"/>
          <w:szCs w:val="22"/>
          <w:lang w:val="en-GB"/>
        </w:rPr>
        <w:t xml:space="preserve"> century the collective energy of a group of satirists and caricaturists, coupled with significant advances in printing technology and a growth in marketing agents, created an affordable art form that the public devoured. </w:t>
      </w:r>
      <w:proofErr w:type="gramStart"/>
      <w:r>
        <w:rPr>
          <w:rFonts w:ascii="Calibri" w:hAnsi="Calibri" w:cs="Calibri"/>
          <w:sz w:val="22"/>
          <w:szCs w:val="22"/>
          <w:lang w:val="en-GB"/>
        </w:rPr>
        <w:t>It</w:t>
      </w:r>
      <w:proofErr w:type="gramEnd"/>
      <w:r>
        <w:rPr>
          <w:rFonts w:ascii="Calibri" w:hAnsi="Calibri" w:cs="Calibri"/>
          <w:sz w:val="22"/>
          <w:szCs w:val="22"/>
          <w:lang w:val="en-GB"/>
        </w:rPr>
        <w:t xml:space="preserve"> final context was often within graphic design, such as magazines, posters and books, and this may be the reason why the history of illustration has too often been folded into the history of this design field. Though it is beyond the reach of this discussion to provide commentary on this design context, its value is recognized and its quality is crucial to the presentation of illustration. This is also a journey that consistently reflects the ever-evolving global ecosystem that facilitates the creation of illustration – political events, advances in science and medicine, changes in the environment, social developments and cultural innovations are all key factors in this equation.</w:t>
      </w:r>
    </w:p>
    <w:p w14:paraId="2256A53D"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The first part of the book is organized chronologically into ten different eras, one per chapter, each of which explores the sociopolitical context against which illustration was created. The connection of these two factors – the global ecosystem and illustration – shows how they are profoundly interrelated. For instance, there is no war poster without conflict, no political poster without a cause, no advertising poster without a new product. In addition, in the second part of the book, there are eleven feature sections outlining genres of illustration practice that one can base a career </w:t>
      </w:r>
      <w:proofErr w:type="gramStart"/>
      <w:r>
        <w:rPr>
          <w:rFonts w:ascii="Calibri" w:hAnsi="Calibri" w:cs="Calibri"/>
          <w:sz w:val="22"/>
          <w:szCs w:val="22"/>
          <w:lang w:val="en-GB"/>
        </w:rPr>
        <w:t>on, and</w:t>
      </w:r>
      <w:proofErr w:type="gramEnd"/>
      <w:r>
        <w:rPr>
          <w:rFonts w:ascii="Calibri" w:hAnsi="Calibri" w:cs="Calibri"/>
          <w:sz w:val="22"/>
          <w:szCs w:val="22"/>
          <w:lang w:val="en-GB"/>
        </w:rPr>
        <w:t xml:space="preserve"> including </w:t>
      </w:r>
      <w:proofErr w:type="gramStart"/>
      <w:r>
        <w:rPr>
          <w:rFonts w:ascii="Calibri" w:hAnsi="Calibri" w:cs="Calibri"/>
          <w:sz w:val="22"/>
          <w:szCs w:val="22"/>
          <w:lang w:val="en-GB"/>
        </w:rPr>
        <w:t>mini-</w:t>
      </w:r>
      <w:r>
        <w:rPr>
          <w:rFonts w:ascii="Calibri" w:hAnsi="Calibri" w:cs="Calibri"/>
          <w:sz w:val="22"/>
          <w:szCs w:val="22"/>
          <w:lang w:val="en-GB"/>
        </w:rPr>
        <w:lastRenderedPageBreak/>
        <w:t>histories</w:t>
      </w:r>
      <w:proofErr w:type="gramEnd"/>
      <w:r>
        <w:rPr>
          <w:rFonts w:ascii="Calibri" w:hAnsi="Calibri" w:cs="Calibri"/>
          <w:sz w:val="22"/>
          <w:szCs w:val="22"/>
          <w:lang w:val="en-GB"/>
        </w:rPr>
        <w:t xml:space="preserve"> of the genre as well as practical advice on operating as an illustrator in that area. There are also </w:t>
      </w:r>
      <w:proofErr w:type="gramStart"/>
      <w:r>
        <w:rPr>
          <w:rFonts w:ascii="Calibri" w:hAnsi="Calibri" w:cs="Calibri"/>
          <w:sz w:val="22"/>
          <w:szCs w:val="22"/>
          <w:lang w:val="en-GB"/>
        </w:rPr>
        <w:t>mini-biographies</w:t>
      </w:r>
      <w:proofErr w:type="gramEnd"/>
      <w:r>
        <w:rPr>
          <w:rFonts w:ascii="Calibri" w:hAnsi="Calibri" w:cs="Calibri"/>
          <w:sz w:val="22"/>
          <w:szCs w:val="22"/>
          <w:lang w:val="en-GB"/>
        </w:rPr>
        <w:t xml:space="preserve"> of inspirational practitioners who have excelled within each specific field.</w:t>
      </w:r>
    </w:p>
    <w:p w14:paraId="710DE674" w14:textId="77777777" w:rsidR="001B7750" w:rsidRDefault="001B7750" w:rsidP="001B7750">
      <w:pPr>
        <w:rPr>
          <w:rFonts w:ascii="Calibri" w:hAnsi="Calibri" w:cs="Calibri"/>
          <w:sz w:val="22"/>
          <w:szCs w:val="22"/>
          <w:lang w:val="en-GB"/>
        </w:rPr>
      </w:pPr>
      <w:r>
        <w:rPr>
          <w:rFonts w:ascii="Calibri" w:hAnsi="Calibri" w:cs="Calibri"/>
          <w:sz w:val="22"/>
          <w:szCs w:val="22"/>
          <w:lang w:val="en-GB"/>
        </w:rPr>
        <w:t>A consistent effort   has been made to align the material discussed with the international directive to decolonize the curriculum: in essence, to attempt to be as representative as one can of race, gender and global perspectives – perspectives that weren’t necessarily discussed or explored in the past. Part of this focus on inclusivity involves challenging existing viewpoints and power structures, as well as incorporating untold stories.</w:t>
      </w:r>
    </w:p>
    <w:p w14:paraId="3D4EF36A"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The notion of ‘history’ – a chronology of neatly ordered, consecutive and interlinking events – has come under great scrutiny in contemporary academic dialogues, challenging existing canons of knowledge and their institutional frameworks, as well as suggesting alternative perspectives and questioning the actual authenticity of such histories. What is clear is that those who have the privilege of documenting history bear great responsibility towards those who populate their field of expertise, as well as a duty to reflect the diversity and complexity of that field. With such an approach, it became evident during the planning and writing of </w:t>
      </w:r>
      <w:r w:rsidRPr="00F17051">
        <w:rPr>
          <w:rFonts w:ascii="Calibri" w:hAnsi="Calibri" w:cs="Calibri"/>
          <w:i/>
          <w:iCs/>
          <w:sz w:val="22"/>
          <w:szCs w:val="22"/>
          <w:lang w:val="en-GB"/>
        </w:rPr>
        <w:t>Illustration: A Concise History</w:t>
      </w:r>
      <w:r>
        <w:rPr>
          <w:rFonts w:ascii="Calibri" w:hAnsi="Calibri" w:cs="Calibri"/>
          <w:i/>
          <w:iCs/>
          <w:sz w:val="22"/>
          <w:szCs w:val="22"/>
          <w:lang w:val="en-GB"/>
        </w:rPr>
        <w:t xml:space="preserve"> </w:t>
      </w:r>
      <w:r>
        <w:rPr>
          <w:rFonts w:ascii="Calibri" w:hAnsi="Calibri" w:cs="Calibri"/>
          <w:sz w:val="22"/>
          <w:szCs w:val="22"/>
          <w:lang w:val="en-GB"/>
        </w:rPr>
        <w:t xml:space="preserve">that many gaps in knowledge existed (because previous histories focused on male practitioners, and on European and American illustrators), which then fed into an ongoing process of seeking out such holes and both recognizing and inhabiting them where possible with a proactive sense of curiosity. As such, an author works not towards comprehensiveness, but towards a representation of something far greater – ergo, this </w:t>
      </w:r>
      <w:proofErr w:type="gramStart"/>
      <w:r>
        <w:rPr>
          <w:rFonts w:ascii="Calibri" w:hAnsi="Calibri" w:cs="Calibri"/>
          <w:sz w:val="22"/>
          <w:szCs w:val="22"/>
          <w:lang w:val="en-GB"/>
        </w:rPr>
        <w:t>particular book</w:t>
      </w:r>
      <w:proofErr w:type="gramEnd"/>
      <w:r>
        <w:rPr>
          <w:rFonts w:ascii="Calibri" w:hAnsi="Calibri" w:cs="Calibri"/>
          <w:sz w:val="22"/>
          <w:szCs w:val="22"/>
          <w:lang w:val="en-GB"/>
        </w:rPr>
        <w:t xml:space="preserve"> is ‘a’ history of illustration and it could be constructed again, by a thousand different authors, in a thousand different ways.</w:t>
      </w:r>
    </w:p>
    <w:p w14:paraId="18DD0C57"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Regardless, the subject of illustration itself is the star of this book. The illustrations contained within its pages are representative of a sparkling international canon, though they should not be thought of as superior to the countless illustrators’ work not included (though certainly not intentionally excluded); in the end, condensing 270 years of illustration into a single book imposes its own restraints. However, it is the sheer inventiveness, the thinking power and intellectual drive, the breathtaking skills in draughtsmanship, painting and printmaking that the creators of these images display, that strikes one. Added to this, the causes, both commercial and non-commercial, that they have willingly engaged in, and thus made a huge contribution to, stand out in terms of breadth and depth of content. </w:t>
      </w:r>
    </w:p>
    <w:p w14:paraId="732F2F7B"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The visual languages employed by these illustrators, too, though at times stylistically typical of a particular era, increasingly began to represent an international perspective, with influences running in both directions, as global trade routes were developed. The impacts of colonialism, and post-colonialism, bore influence – such as the influence of the Japanese </w:t>
      </w:r>
      <w:r w:rsidRPr="00360601">
        <w:rPr>
          <w:rFonts w:ascii="Calibri" w:hAnsi="Calibri" w:cs="Calibri"/>
          <w:i/>
          <w:iCs/>
          <w:sz w:val="22"/>
          <w:szCs w:val="22"/>
          <w:lang w:val="en-GB"/>
        </w:rPr>
        <w:t>Ukiyo-e</w:t>
      </w:r>
      <w:r>
        <w:rPr>
          <w:rFonts w:ascii="Calibri" w:hAnsi="Calibri" w:cs="Calibri"/>
          <w:i/>
          <w:iCs/>
          <w:sz w:val="22"/>
          <w:szCs w:val="22"/>
          <w:lang w:val="en-GB"/>
        </w:rPr>
        <w:t xml:space="preserve"> </w:t>
      </w:r>
      <w:r>
        <w:rPr>
          <w:rFonts w:ascii="Calibri" w:hAnsi="Calibri" w:cs="Calibri"/>
          <w:sz w:val="22"/>
          <w:szCs w:val="22"/>
          <w:lang w:val="en-GB"/>
        </w:rPr>
        <w:t>print genre on European and American art, and the concurrent influence of European and American art on Japanese and African art. However, what we now have is a true hybridity, with one visual language informing another, and a rainbow representation of current practising illustrators from all six inhabited continents of the world – a truly global perspective and aesthetic.</w:t>
      </w:r>
    </w:p>
    <w:p w14:paraId="743D85A1"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As this book demonstrates, advances in technology change the way that artists make illustrations and the way in which audiences receive those illustrations. Though previous formats and production methods thankfully do not disappear, and often retain their influence and market share, new formats </w:t>
      </w:r>
      <w:r>
        <w:rPr>
          <w:rFonts w:ascii="Calibri" w:hAnsi="Calibri" w:cs="Calibri"/>
          <w:sz w:val="22"/>
          <w:szCs w:val="22"/>
          <w:lang w:val="en-GB"/>
        </w:rPr>
        <w:lastRenderedPageBreak/>
        <w:t xml:space="preserve">and production methods constantly emerge. The most recent big technological advance in connection with illustration was the transition from analogue to digital, which to this day continues </w:t>
      </w:r>
      <w:proofErr w:type="spellStart"/>
      <w:r>
        <w:rPr>
          <w:rFonts w:ascii="Calibri" w:hAnsi="Calibri" w:cs="Calibri"/>
          <w:sz w:val="22"/>
          <w:szCs w:val="22"/>
          <w:lang w:val="en-GB"/>
        </w:rPr>
        <w:t>o</w:t>
      </w:r>
      <w:proofErr w:type="spellEnd"/>
      <w:r>
        <w:rPr>
          <w:rFonts w:ascii="Calibri" w:hAnsi="Calibri" w:cs="Calibri"/>
          <w:sz w:val="22"/>
          <w:szCs w:val="22"/>
          <w:lang w:val="en-GB"/>
        </w:rPr>
        <w:t xml:space="preserve"> evolve.</w:t>
      </w:r>
    </w:p>
    <w:p w14:paraId="773C6CBE"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Digital technology allows the image to move, to incorporate the element of time – on advertising hoardings, on websites, on mobile phones, on digital book platforms – and it seems certain that the crossover between illustration and animation will continue to develop. Beyond today, there will be further advances in visually oriented digital software technologies, including Artificial Intelligence (AI) – generated and Computer-Generated Imagery (CGI). Virtual Reality (VR) also offers illustrators provision to innovate in creating 3D visual experiences for people, as well as other technologies that we may not, as of today, be able to predict. What we do know, however, is that they are sure to come, and that illustrators will use them to further amaze, astound and entertain audiences of the future.  </w:t>
      </w:r>
    </w:p>
    <w:p w14:paraId="6424AD95" w14:textId="77777777" w:rsidR="001B7750" w:rsidRDefault="001B7750" w:rsidP="001B7750">
      <w:pPr>
        <w:rPr>
          <w:rFonts w:ascii="Calibri" w:hAnsi="Calibri" w:cs="Calibri"/>
          <w:b/>
          <w:bCs/>
          <w:sz w:val="22"/>
          <w:szCs w:val="22"/>
          <w:lang w:val="en-GB"/>
        </w:rPr>
      </w:pPr>
      <w:r w:rsidRPr="00412B0A">
        <w:rPr>
          <w:rFonts w:ascii="Calibri" w:hAnsi="Calibri" w:cs="Calibri"/>
          <w:b/>
          <w:bCs/>
          <w:sz w:val="22"/>
          <w:szCs w:val="22"/>
          <w:lang w:val="en-GB"/>
        </w:rPr>
        <w:t xml:space="preserve">Chapter </w:t>
      </w:r>
      <w:r>
        <w:rPr>
          <w:rFonts w:ascii="Calibri" w:hAnsi="Calibri" w:cs="Calibri"/>
          <w:b/>
          <w:bCs/>
          <w:sz w:val="22"/>
          <w:szCs w:val="22"/>
          <w:lang w:val="en-GB"/>
        </w:rPr>
        <w:t>1</w:t>
      </w:r>
    </w:p>
    <w:p w14:paraId="6E241101" w14:textId="77777777" w:rsidR="001B7750" w:rsidRDefault="001B7750" w:rsidP="001B7750">
      <w:pPr>
        <w:rPr>
          <w:rFonts w:ascii="Calibri" w:hAnsi="Calibri" w:cs="Calibri"/>
          <w:b/>
          <w:bCs/>
          <w:sz w:val="22"/>
          <w:szCs w:val="22"/>
          <w:lang w:val="en-GB"/>
        </w:rPr>
      </w:pPr>
      <w:r>
        <w:rPr>
          <w:rFonts w:ascii="Calibri" w:hAnsi="Calibri" w:cs="Calibri"/>
          <w:b/>
          <w:bCs/>
          <w:sz w:val="22"/>
          <w:szCs w:val="22"/>
          <w:lang w:val="en-GB"/>
        </w:rPr>
        <w:t>1750 – 1800</w:t>
      </w:r>
    </w:p>
    <w:p w14:paraId="78AD586F" w14:textId="77777777" w:rsidR="001B7750" w:rsidRDefault="001B7750" w:rsidP="001B7750">
      <w:pPr>
        <w:rPr>
          <w:rFonts w:ascii="Calibri" w:hAnsi="Calibri" w:cs="Calibri"/>
          <w:b/>
          <w:bCs/>
          <w:sz w:val="22"/>
          <w:szCs w:val="22"/>
          <w:lang w:val="en-GB"/>
        </w:rPr>
      </w:pPr>
      <w:r w:rsidRPr="00E717EB">
        <w:rPr>
          <w:rFonts w:ascii="Calibri" w:hAnsi="Calibri" w:cs="Calibri"/>
          <w:b/>
          <w:bCs/>
          <w:sz w:val="22"/>
          <w:szCs w:val="22"/>
          <w:lang w:val="en-GB"/>
        </w:rPr>
        <w:t xml:space="preserve">Illustration in the Age of Enlightenment, Revolution and Slavery </w:t>
      </w:r>
      <w:r w:rsidRPr="00E717EB">
        <w:rPr>
          <w:rFonts w:ascii="Calibri" w:hAnsi="Calibri" w:cs="Calibri"/>
          <w:b/>
          <w:bCs/>
          <w:i/>
          <w:iCs/>
          <w:sz w:val="22"/>
          <w:szCs w:val="22"/>
          <w:lang w:val="en-GB"/>
        </w:rPr>
        <w:t xml:space="preserve"> </w:t>
      </w:r>
      <w:r w:rsidRPr="00E717EB">
        <w:rPr>
          <w:rFonts w:ascii="Calibri" w:hAnsi="Calibri" w:cs="Calibri"/>
          <w:b/>
          <w:bCs/>
          <w:sz w:val="22"/>
          <w:szCs w:val="22"/>
          <w:lang w:val="en-GB"/>
        </w:rPr>
        <w:t xml:space="preserve">   </w:t>
      </w:r>
    </w:p>
    <w:p w14:paraId="2D268AF1" w14:textId="77777777" w:rsidR="001B7750" w:rsidRDefault="001B7750" w:rsidP="001B7750">
      <w:pPr>
        <w:rPr>
          <w:rFonts w:ascii="Calibri" w:hAnsi="Calibri" w:cs="Calibri"/>
          <w:sz w:val="22"/>
          <w:szCs w:val="22"/>
          <w:lang w:val="en-GB"/>
        </w:rPr>
      </w:pPr>
      <w:r w:rsidRPr="00D03DA6">
        <w:rPr>
          <w:rFonts w:ascii="Calibri" w:hAnsi="Calibri" w:cs="Calibri"/>
          <w:sz w:val="22"/>
          <w:szCs w:val="22"/>
          <w:lang w:val="en-GB"/>
        </w:rPr>
        <w:t xml:space="preserve">Illustration – and its history </w:t>
      </w:r>
      <w:r>
        <w:rPr>
          <w:rFonts w:ascii="Calibri" w:hAnsi="Calibri" w:cs="Calibri"/>
          <w:sz w:val="22"/>
          <w:szCs w:val="22"/>
          <w:lang w:val="en-GB"/>
        </w:rPr>
        <w:t>–</w:t>
      </w:r>
      <w:r w:rsidRPr="00D03DA6">
        <w:rPr>
          <w:rFonts w:ascii="Calibri" w:hAnsi="Calibri" w:cs="Calibri"/>
          <w:sz w:val="22"/>
          <w:szCs w:val="22"/>
          <w:lang w:val="en-GB"/>
        </w:rPr>
        <w:t xml:space="preserve"> </w:t>
      </w:r>
      <w:r>
        <w:rPr>
          <w:rFonts w:ascii="Calibri" w:hAnsi="Calibri" w:cs="Calibri"/>
          <w:sz w:val="22"/>
          <w:szCs w:val="22"/>
          <w:lang w:val="en-GB"/>
        </w:rPr>
        <w:t xml:space="preserve">is a mirror of the times in which it has been created. The illustration produced between 1750 and 1800, for example, reflected a collection of ideas and beliefs infused with contradictions. On the one hand, this timespan contains the final twenty-five years of a period of profound philosophical and scientific discovery known as the Enlightenment. On the other hand, it saw </w:t>
      </w:r>
      <w:proofErr w:type="gramStart"/>
      <w:r>
        <w:rPr>
          <w:rFonts w:ascii="Calibri" w:hAnsi="Calibri" w:cs="Calibri"/>
          <w:sz w:val="22"/>
          <w:szCs w:val="22"/>
          <w:lang w:val="en-GB"/>
        </w:rPr>
        <w:t>a number of</w:t>
      </w:r>
      <w:proofErr w:type="gramEnd"/>
      <w:r>
        <w:rPr>
          <w:rFonts w:ascii="Calibri" w:hAnsi="Calibri" w:cs="Calibri"/>
          <w:sz w:val="22"/>
          <w:szCs w:val="22"/>
          <w:lang w:val="en-GB"/>
        </w:rPr>
        <w:t xml:space="preserve"> brutal conflicts, including the American War of Independence (1755 – 83) and the dogmatic, bloody and very public butchery of the French Revolution (1789 – 99). Worse still, it also witnessed the barbarity of the transatlantic slave trade.</w:t>
      </w:r>
    </w:p>
    <w:p w14:paraId="3AAD19B1" w14:textId="77777777" w:rsidR="001B7750" w:rsidRDefault="001B7750" w:rsidP="001B7750">
      <w:pPr>
        <w:rPr>
          <w:rFonts w:ascii="Calibri" w:hAnsi="Calibri" w:cs="Calibri"/>
          <w:sz w:val="22"/>
          <w:szCs w:val="22"/>
          <w:lang w:val="en-GB"/>
        </w:rPr>
      </w:pPr>
      <w:r>
        <w:rPr>
          <w:rFonts w:ascii="Calibri" w:hAnsi="Calibri" w:cs="Calibri"/>
          <w:sz w:val="22"/>
          <w:szCs w:val="22"/>
          <w:lang w:val="en-GB"/>
        </w:rPr>
        <w:t>There is some disagreement over the ‘start’ of the Enlightenment period, which had an essentially organic development over the 17</w:t>
      </w:r>
      <w:r w:rsidRPr="00D03DA6">
        <w:rPr>
          <w:rFonts w:ascii="Calibri" w:hAnsi="Calibri" w:cs="Calibri"/>
          <w:sz w:val="22"/>
          <w:szCs w:val="22"/>
          <w:vertAlign w:val="superscript"/>
          <w:lang w:val="en-GB"/>
        </w:rPr>
        <w:t>th</w:t>
      </w:r>
      <w:r>
        <w:rPr>
          <w:rFonts w:ascii="Calibri" w:hAnsi="Calibri" w:cs="Calibri"/>
          <w:sz w:val="22"/>
          <w:szCs w:val="22"/>
          <w:lang w:val="en-GB"/>
        </w:rPr>
        <w:t xml:space="preserve"> and 18</w:t>
      </w:r>
      <w:r w:rsidRPr="00D03DA6">
        <w:rPr>
          <w:rFonts w:ascii="Calibri" w:hAnsi="Calibri" w:cs="Calibri"/>
          <w:sz w:val="22"/>
          <w:szCs w:val="22"/>
          <w:vertAlign w:val="superscript"/>
          <w:lang w:val="en-GB"/>
        </w:rPr>
        <w:t>th</w:t>
      </w:r>
      <w:r>
        <w:rPr>
          <w:rFonts w:ascii="Calibri" w:hAnsi="Calibri" w:cs="Calibri"/>
          <w:sz w:val="22"/>
          <w:szCs w:val="22"/>
          <w:lang w:val="en-GB"/>
        </w:rPr>
        <w:t xml:space="preserve"> centuries, with the main discussion based around the publication of two key texts. Certain historians cite René Descartes (1596 – 1650), a French mathematician and philosopher, and his book </w:t>
      </w:r>
      <w:r w:rsidRPr="00D03DA6">
        <w:rPr>
          <w:rFonts w:ascii="Calibri" w:hAnsi="Calibri" w:cs="Calibri"/>
          <w:i/>
          <w:iCs/>
          <w:sz w:val="22"/>
          <w:szCs w:val="22"/>
          <w:lang w:val="en-GB"/>
        </w:rPr>
        <w:t>Discourse on the Method</w:t>
      </w:r>
      <w:r>
        <w:rPr>
          <w:rFonts w:ascii="Calibri" w:hAnsi="Calibri" w:cs="Calibri"/>
          <w:sz w:val="22"/>
          <w:szCs w:val="22"/>
          <w:lang w:val="en-GB"/>
        </w:rPr>
        <w:t xml:space="preserve"> of 1637 featuring, as its beginning, his renowned phrase ‘Cogito, ergo sum’ (‘I think, therefore I am’). Descartes is known for his idea of the separation of the (superior) mind from the (inferior) body. Other historians consider English mathematician Isaac Newton, and his book </w:t>
      </w:r>
      <w:r w:rsidRPr="008103AF">
        <w:rPr>
          <w:rFonts w:ascii="Calibri" w:hAnsi="Calibri" w:cs="Calibri"/>
          <w:i/>
          <w:iCs/>
          <w:sz w:val="22"/>
          <w:szCs w:val="22"/>
          <w:lang w:val="en-GB"/>
        </w:rPr>
        <w:t>Principia Mathematica</w:t>
      </w:r>
      <w:r>
        <w:rPr>
          <w:rFonts w:ascii="Calibri" w:hAnsi="Calibri" w:cs="Calibri"/>
          <w:sz w:val="22"/>
          <w:szCs w:val="22"/>
          <w:lang w:val="en-GB"/>
        </w:rPr>
        <w:t xml:space="preserve"> (1687), to be the start of the Enlightenment. The authority of science and empirical thought travelled into art too, and specifically Neoclassical painting, a sober and rational visual style that celebrated clear thinking and ideals traditionally associated with the Roman republic. In essence, this was a call to think for oneself, further expressed by the German philosopher Immanuel Kant’s (1724 – 1804) phrase ‘Dare to Know’.</w:t>
      </w:r>
    </w:p>
    <w:p w14:paraId="1DBF627C"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The French capital, Paris, was at the epicentre of philosophical and scientific activities during the Enlightenment. Born there, François-Marie Arouet, better known by his pen name M. de Voltaire, used his writing to condemn both Christianity and the institution of slavery, and is renowned for his book </w:t>
      </w:r>
      <w:r w:rsidRPr="008103AF">
        <w:rPr>
          <w:rFonts w:ascii="Calibri" w:hAnsi="Calibri" w:cs="Calibri"/>
          <w:i/>
          <w:iCs/>
          <w:sz w:val="22"/>
          <w:szCs w:val="22"/>
          <w:lang w:val="en-GB"/>
        </w:rPr>
        <w:t>Candide</w:t>
      </w:r>
      <w:r>
        <w:rPr>
          <w:rFonts w:ascii="Calibri" w:hAnsi="Calibri" w:cs="Calibri"/>
          <w:i/>
          <w:iCs/>
          <w:sz w:val="22"/>
          <w:szCs w:val="22"/>
          <w:lang w:val="en-GB"/>
        </w:rPr>
        <w:t xml:space="preserve"> </w:t>
      </w:r>
      <w:r>
        <w:rPr>
          <w:rFonts w:ascii="Calibri" w:hAnsi="Calibri" w:cs="Calibri"/>
          <w:sz w:val="22"/>
          <w:szCs w:val="22"/>
          <w:lang w:val="en-GB"/>
        </w:rPr>
        <w:t xml:space="preserve">(1759). Hailing from nearby Geneva, author and composer jean-Jacques Rousseau, proved highly influential via his political opinions in spreading the key components of the Enlightenment throughout Europe, which in turn filtered into aspects of the French Revolution. Engraved illustrations, </w:t>
      </w:r>
      <w:r>
        <w:rPr>
          <w:rFonts w:ascii="Calibri" w:hAnsi="Calibri" w:cs="Calibri"/>
          <w:sz w:val="22"/>
          <w:szCs w:val="22"/>
          <w:lang w:val="en-GB"/>
        </w:rPr>
        <w:lastRenderedPageBreak/>
        <w:t>coupled with printed text, helped disseminate these ideas and aided the general imparting of knowledge, into all sectors of society.</w:t>
      </w:r>
    </w:p>
    <w:p w14:paraId="5231F7F4"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For example, Denis Diderot and Jean le Rond d’Alembert, alongside 150 co-authors that included Voltaire, Rousseau, and a cohort of illustrators and engravers, created what is now regarded as one of the first </w:t>
      </w:r>
      <w:proofErr w:type="spellStart"/>
      <w:r>
        <w:rPr>
          <w:rFonts w:ascii="Calibri" w:hAnsi="Calibri" w:cs="Calibri"/>
          <w:sz w:val="22"/>
          <w:szCs w:val="22"/>
          <w:lang w:val="en-GB"/>
        </w:rPr>
        <w:t>encyclopedic</w:t>
      </w:r>
      <w:proofErr w:type="spellEnd"/>
      <w:r>
        <w:rPr>
          <w:rFonts w:ascii="Calibri" w:hAnsi="Calibri" w:cs="Calibri"/>
          <w:sz w:val="22"/>
          <w:szCs w:val="22"/>
          <w:lang w:val="en-GB"/>
        </w:rPr>
        <w:t xml:space="preserve"> published series on global general knowledge. They named it </w:t>
      </w:r>
      <w:r w:rsidRPr="00683C61">
        <w:rPr>
          <w:rFonts w:ascii="Calibri" w:hAnsi="Calibri" w:cs="Calibri"/>
          <w:i/>
          <w:iCs/>
          <w:sz w:val="22"/>
          <w:szCs w:val="22"/>
          <w:lang w:val="en-GB"/>
        </w:rPr>
        <w:t xml:space="preserve">Encyclopédie, </w:t>
      </w:r>
      <w:proofErr w:type="spellStart"/>
      <w:r w:rsidRPr="00683C61">
        <w:rPr>
          <w:rFonts w:ascii="Calibri" w:hAnsi="Calibri" w:cs="Calibri"/>
          <w:i/>
          <w:iCs/>
          <w:sz w:val="22"/>
          <w:szCs w:val="22"/>
          <w:lang w:val="en-GB"/>
        </w:rPr>
        <w:t>ou</w:t>
      </w:r>
      <w:proofErr w:type="spellEnd"/>
      <w:r w:rsidRPr="00683C61">
        <w:rPr>
          <w:rFonts w:ascii="Calibri" w:hAnsi="Calibri" w:cs="Calibri"/>
          <w:i/>
          <w:iCs/>
          <w:sz w:val="22"/>
          <w:szCs w:val="22"/>
          <w:lang w:val="en-GB"/>
        </w:rPr>
        <w:t xml:space="preserve"> </w:t>
      </w:r>
      <w:proofErr w:type="spellStart"/>
      <w:r w:rsidRPr="00683C61">
        <w:rPr>
          <w:rFonts w:ascii="Calibri" w:hAnsi="Calibri" w:cs="Calibri"/>
          <w:i/>
          <w:iCs/>
          <w:sz w:val="22"/>
          <w:szCs w:val="22"/>
          <w:lang w:val="en-GB"/>
        </w:rPr>
        <w:t>Dictionnaire</w:t>
      </w:r>
      <w:proofErr w:type="spellEnd"/>
      <w:r w:rsidRPr="00683C61">
        <w:rPr>
          <w:rFonts w:ascii="Calibri" w:hAnsi="Calibri" w:cs="Calibri"/>
          <w:i/>
          <w:iCs/>
          <w:sz w:val="22"/>
          <w:szCs w:val="22"/>
          <w:lang w:val="en-GB"/>
        </w:rPr>
        <w:t xml:space="preserve"> Raisonné des Sciences, des Arts et des </w:t>
      </w:r>
      <w:proofErr w:type="spellStart"/>
      <w:r w:rsidRPr="00683C61">
        <w:rPr>
          <w:rFonts w:ascii="Calibri" w:hAnsi="Calibri" w:cs="Calibri"/>
          <w:i/>
          <w:iCs/>
          <w:sz w:val="22"/>
          <w:szCs w:val="22"/>
          <w:lang w:val="en-GB"/>
        </w:rPr>
        <w:t>Métiers</w:t>
      </w:r>
      <w:proofErr w:type="spellEnd"/>
      <w:r>
        <w:rPr>
          <w:rFonts w:ascii="Calibri" w:hAnsi="Calibri" w:cs="Calibri"/>
          <w:sz w:val="22"/>
          <w:szCs w:val="22"/>
          <w:lang w:val="en-GB"/>
        </w:rPr>
        <w:t xml:space="preserve">, and published the project in instalments from 1751 – 1772. Though factually inaccurate in some areas – for instance, a citation for an Indigenous people who fed themselves by purely by breathing air – it remains a milestone in the written and illustrated capture and transmission of information to the </w:t>
      </w:r>
      <w:proofErr w:type="gramStart"/>
      <w:r>
        <w:rPr>
          <w:rFonts w:ascii="Calibri" w:hAnsi="Calibri" w:cs="Calibri"/>
          <w:sz w:val="22"/>
          <w:szCs w:val="22"/>
          <w:lang w:val="en-GB"/>
        </w:rPr>
        <w:t>general public</w:t>
      </w:r>
      <w:proofErr w:type="gramEnd"/>
      <w:r>
        <w:rPr>
          <w:rFonts w:ascii="Calibri" w:hAnsi="Calibri" w:cs="Calibri"/>
          <w:sz w:val="22"/>
          <w:szCs w:val="22"/>
          <w:lang w:val="en-GB"/>
        </w:rPr>
        <w:t xml:space="preserve">. The engraver Robert </w:t>
      </w:r>
      <w:proofErr w:type="spellStart"/>
      <w:r>
        <w:rPr>
          <w:rFonts w:ascii="Calibri" w:hAnsi="Calibri" w:cs="Calibri"/>
          <w:sz w:val="22"/>
          <w:szCs w:val="22"/>
          <w:lang w:val="en-GB"/>
        </w:rPr>
        <w:t>Bénard’s</w:t>
      </w:r>
      <w:proofErr w:type="spellEnd"/>
      <w:r>
        <w:rPr>
          <w:rFonts w:ascii="Calibri" w:hAnsi="Calibri" w:cs="Calibri"/>
          <w:sz w:val="22"/>
          <w:szCs w:val="22"/>
          <w:lang w:val="en-GB"/>
        </w:rPr>
        <w:t xml:space="preserve"> contribution is particularly remarkable for the sheer volume of illustrative etchings that he created – 1,800 – for the </w:t>
      </w:r>
      <w:r w:rsidRPr="00683C61">
        <w:rPr>
          <w:rFonts w:ascii="Calibri" w:hAnsi="Calibri" w:cs="Calibri"/>
          <w:i/>
          <w:iCs/>
          <w:sz w:val="22"/>
          <w:szCs w:val="22"/>
          <w:lang w:val="en-GB"/>
        </w:rPr>
        <w:t>Encyclopédie</w:t>
      </w:r>
      <w:r>
        <w:rPr>
          <w:rFonts w:ascii="Calibri" w:hAnsi="Calibri" w:cs="Calibri"/>
          <w:i/>
          <w:iCs/>
          <w:sz w:val="22"/>
          <w:szCs w:val="22"/>
          <w:lang w:val="en-GB"/>
        </w:rPr>
        <w:t xml:space="preserve">, </w:t>
      </w:r>
      <w:r>
        <w:rPr>
          <w:rFonts w:ascii="Calibri" w:hAnsi="Calibri" w:cs="Calibri"/>
          <w:sz w:val="22"/>
          <w:szCs w:val="22"/>
          <w:lang w:val="en-GB"/>
        </w:rPr>
        <w:t xml:space="preserve">a huge amount of work achieved in a relatively short space of time. Overall, it contained 3,129 illustrations and approximately 20 million words. </w:t>
      </w:r>
    </w:p>
    <w:p w14:paraId="62021B5D" w14:textId="77777777" w:rsidR="001B7750" w:rsidRPr="001677BD" w:rsidRDefault="001B7750" w:rsidP="001B7750">
      <w:pPr>
        <w:rPr>
          <w:rFonts w:ascii="Calibri" w:hAnsi="Calibri" w:cs="Calibri"/>
          <w:b/>
          <w:bCs/>
          <w:sz w:val="20"/>
          <w:szCs w:val="20"/>
          <w:lang w:val="en-GB"/>
        </w:rPr>
      </w:pPr>
      <w:r w:rsidRPr="001677BD">
        <w:rPr>
          <w:rFonts w:ascii="Calibri" w:hAnsi="Calibri" w:cs="Calibri"/>
          <w:b/>
          <w:bCs/>
          <w:sz w:val="20"/>
          <w:szCs w:val="20"/>
          <w:lang w:val="en-GB"/>
        </w:rPr>
        <w:t xml:space="preserve">(Illustration 2: </w:t>
      </w:r>
      <w:r w:rsidRPr="001677BD">
        <w:rPr>
          <w:rFonts w:ascii="Calibri" w:hAnsi="Calibri" w:cs="Calibri"/>
          <w:b/>
          <w:bCs/>
          <w:i/>
          <w:iCs/>
          <w:sz w:val="20"/>
          <w:szCs w:val="20"/>
          <w:lang w:val="en-GB"/>
        </w:rPr>
        <w:t xml:space="preserve">Passementerie, Facon de passer le Patron par </w:t>
      </w:r>
      <w:proofErr w:type="spellStart"/>
      <w:r w:rsidRPr="001677BD">
        <w:rPr>
          <w:rFonts w:ascii="Calibri" w:hAnsi="Calibri" w:cs="Calibri"/>
          <w:b/>
          <w:bCs/>
          <w:i/>
          <w:iCs/>
          <w:sz w:val="20"/>
          <w:szCs w:val="20"/>
          <w:lang w:val="en-GB"/>
        </w:rPr>
        <w:t>devant</w:t>
      </w:r>
      <w:proofErr w:type="spellEnd"/>
      <w:r w:rsidRPr="001677BD">
        <w:rPr>
          <w:rFonts w:ascii="Calibri" w:hAnsi="Calibri" w:cs="Calibri"/>
          <w:b/>
          <w:bCs/>
          <w:sz w:val="20"/>
          <w:szCs w:val="20"/>
          <w:lang w:val="en-GB"/>
        </w:rPr>
        <w:t xml:space="preserve">, by J.R. </w:t>
      </w:r>
      <w:proofErr w:type="spellStart"/>
      <w:r w:rsidRPr="001677BD">
        <w:rPr>
          <w:rFonts w:ascii="Calibri" w:hAnsi="Calibri" w:cs="Calibri"/>
          <w:b/>
          <w:bCs/>
          <w:sz w:val="20"/>
          <w:szCs w:val="20"/>
          <w:lang w:val="en-GB"/>
        </w:rPr>
        <w:t>Lucotte</w:t>
      </w:r>
      <w:proofErr w:type="spellEnd"/>
      <w:r w:rsidRPr="001677BD">
        <w:rPr>
          <w:rFonts w:ascii="Calibri" w:hAnsi="Calibri" w:cs="Calibri"/>
          <w:b/>
          <w:bCs/>
          <w:sz w:val="20"/>
          <w:szCs w:val="20"/>
          <w:lang w:val="en-GB"/>
        </w:rPr>
        <w:t xml:space="preserve">, engraving from </w:t>
      </w:r>
      <w:r w:rsidRPr="001677BD">
        <w:rPr>
          <w:rFonts w:ascii="Calibri" w:hAnsi="Calibri" w:cs="Calibri"/>
          <w:b/>
          <w:bCs/>
          <w:i/>
          <w:iCs/>
          <w:sz w:val="20"/>
          <w:szCs w:val="20"/>
          <w:lang w:val="en-GB"/>
        </w:rPr>
        <w:t xml:space="preserve">Encyclopédie, </w:t>
      </w:r>
      <w:proofErr w:type="spellStart"/>
      <w:r w:rsidRPr="001677BD">
        <w:rPr>
          <w:rFonts w:ascii="Calibri" w:hAnsi="Calibri" w:cs="Calibri"/>
          <w:b/>
          <w:bCs/>
          <w:i/>
          <w:iCs/>
          <w:sz w:val="20"/>
          <w:szCs w:val="20"/>
          <w:lang w:val="en-GB"/>
        </w:rPr>
        <w:t>ou</w:t>
      </w:r>
      <w:proofErr w:type="spellEnd"/>
      <w:r w:rsidRPr="001677BD">
        <w:rPr>
          <w:rFonts w:ascii="Calibri" w:hAnsi="Calibri" w:cs="Calibri"/>
          <w:b/>
          <w:bCs/>
          <w:i/>
          <w:iCs/>
          <w:sz w:val="20"/>
          <w:szCs w:val="20"/>
          <w:lang w:val="en-GB"/>
        </w:rPr>
        <w:t xml:space="preserve"> </w:t>
      </w:r>
      <w:proofErr w:type="spellStart"/>
      <w:r w:rsidRPr="001677BD">
        <w:rPr>
          <w:rFonts w:ascii="Calibri" w:hAnsi="Calibri" w:cs="Calibri"/>
          <w:b/>
          <w:bCs/>
          <w:i/>
          <w:iCs/>
          <w:sz w:val="20"/>
          <w:szCs w:val="20"/>
          <w:lang w:val="en-GB"/>
        </w:rPr>
        <w:t>Dictionnaire</w:t>
      </w:r>
      <w:proofErr w:type="spellEnd"/>
      <w:r w:rsidRPr="001677BD">
        <w:rPr>
          <w:rFonts w:ascii="Calibri" w:hAnsi="Calibri" w:cs="Calibri"/>
          <w:b/>
          <w:bCs/>
          <w:i/>
          <w:iCs/>
          <w:sz w:val="20"/>
          <w:szCs w:val="20"/>
          <w:lang w:val="en-GB"/>
        </w:rPr>
        <w:t xml:space="preserve"> Raisonné des Sciences, des Arts et des </w:t>
      </w:r>
      <w:proofErr w:type="spellStart"/>
      <w:r w:rsidRPr="001677BD">
        <w:rPr>
          <w:rFonts w:ascii="Calibri" w:hAnsi="Calibri" w:cs="Calibri"/>
          <w:b/>
          <w:bCs/>
          <w:i/>
          <w:iCs/>
          <w:sz w:val="20"/>
          <w:szCs w:val="20"/>
          <w:lang w:val="en-GB"/>
        </w:rPr>
        <w:t>Métiers</w:t>
      </w:r>
      <w:proofErr w:type="spellEnd"/>
      <w:r w:rsidRPr="001677BD">
        <w:rPr>
          <w:rFonts w:ascii="Calibri" w:hAnsi="Calibri" w:cs="Calibri"/>
          <w:b/>
          <w:bCs/>
          <w:sz w:val="20"/>
          <w:szCs w:val="20"/>
          <w:lang w:val="en-GB"/>
        </w:rPr>
        <w:t>, c.1763.</w:t>
      </w:r>
    </w:p>
    <w:p w14:paraId="05E0A2D1"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In this engraved illustration from the series by J. R. </w:t>
      </w:r>
      <w:proofErr w:type="spellStart"/>
      <w:r>
        <w:rPr>
          <w:rFonts w:ascii="Calibri" w:hAnsi="Calibri" w:cs="Calibri"/>
          <w:sz w:val="22"/>
          <w:szCs w:val="22"/>
          <w:lang w:val="en-GB"/>
        </w:rPr>
        <w:t>Lucotte</w:t>
      </w:r>
      <w:proofErr w:type="spellEnd"/>
      <w:r>
        <w:rPr>
          <w:rFonts w:ascii="Calibri" w:hAnsi="Calibri" w:cs="Calibri"/>
          <w:sz w:val="22"/>
          <w:szCs w:val="22"/>
          <w:lang w:val="en-GB"/>
        </w:rPr>
        <w:t>, one sees a man at work on a loom, with examples below of geometric patterns that could be created with the machine. In a radio panel discussion on Diderot in 2020, Wikipedia founder Jimmy Wales cited him as a direct influence on the creation of the ‘Wiki’ website in 2001 – a digital democratization of knowledge on a global scale.</w:t>
      </w:r>
    </w:p>
    <w:p w14:paraId="15D2F236"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In addition to illustrated ideas published and easily disseminated in printed books, journals and mass-produced pamphlets, a broad array of working professionals circulated the views associated with the Enlightenment through meetings at coffee houses, literary salons, professional institutions and Masonic lodges. As the movement gathered in pace and range, it gradually undermined the authority of both monarchies and churches alike. Thomas Paine, a British political activist, theorist and revolutionary who emigrated to the American colonies in 1774, embraced and promoted these new ideas, authoring two key pamphlets that contributed to the American War of Independence: </w:t>
      </w:r>
      <w:r w:rsidRPr="00741B99">
        <w:rPr>
          <w:rFonts w:ascii="Calibri" w:hAnsi="Calibri" w:cs="Calibri"/>
          <w:i/>
          <w:iCs/>
          <w:sz w:val="22"/>
          <w:szCs w:val="22"/>
          <w:lang w:val="en-GB"/>
        </w:rPr>
        <w:t>Common Sense</w:t>
      </w:r>
      <w:r>
        <w:rPr>
          <w:rFonts w:ascii="Calibri" w:hAnsi="Calibri" w:cs="Calibri"/>
          <w:sz w:val="22"/>
          <w:szCs w:val="22"/>
          <w:lang w:val="en-GB"/>
        </w:rPr>
        <w:t xml:space="preserve"> (1776) and </w:t>
      </w:r>
      <w:r w:rsidRPr="00741B99">
        <w:rPr>
          <w:rFonts w:ascii="Calibri" w:hAnsi="Calibri" w:cs="Calibri"/>
          <w:i/>
          <w:iCs/>
          <w:sz w:val="22"/>
          <w:szCs w:val="22"/>
          <w:lang w:val="en-GB"/>
        </w:rPr>
        <w:t>The American Crisis</w:t>
      </w:r>
      <w:r>
        <w:rPr>
          <w:rFonts w:ascii="Calibri" w:hAnsi="Calibri" w:cs="Calibri"/>
          <w:sz w:val="22"/>
          <w:szCs w:val="22"/>
          <w:lang w:val="en-GB"/>
        </w:rPr>
        <w:t xml:space="preserve"> (1776 – 83).     </w:t>
      </w:r>
    </w:p>
    <w:p w14:paraId="58A2C3A1" w14:textId="77777777" w:rsidR="001B7750" w:rsidRDefault="001B7750" w:rsidP="001B7750">
      <w:pPr>
        <w:rPr>
          <w:rFonts w:ascii="Calibri" w:hAnsi="Calibri" w:cs="Calibri"/>
          <w:sz w:val="22"/>
          <w:szCs w:val="22"/>
          <w:lang w:val="en-GB"/>
        </w:rPr>
      </w:pPr>
      <w:r>
        <w:rPr>
          <w:rFonts w:ascii="Calibri" w:hAnsi="Calibri" w:cs="Calibri"/>
          <w:sz w:val="22"/>
          <w:szCs w:val="22"/>
          <w:lang w:val="en-GB"/>
        </w:rPr>
        <w:t xml:space="preserve">Conceptually, Paine, a friend of American scientist, statesman and writer Benjamin Franklin, provided a link between the American and French revolutions in his seminal work </w:t>
      </w:r>
      <w:r w:rsidRPr="00741B99">
        <w:rPr>
          <w:rFonts w:ascii="Calibri" w:hAnsi="Calibri" w:cs="Calibri"/>
          <w:i/>
          <w:iCs/>
          <w:sz w:val="22"/>
          <w:szCs w:val="22"/>
          <w:lang w:val="en-GB"/>
        </w:rPr>
        <w:t>Rights of Man</w:t>
      </w:r>
      <w:r>
        <w:rPr>
          <w:rFonts w:ascii="Calibri" w:hAnsi="Calibri" w:cs="Calibri"/>
          <w:sz w:val="22"/>
          <w:szCs w:val="22"/>
          <w:lang w:val="en-GB"/>
        </w:rPr>
        <w:t xml:space="preserve"> (1791), as well as publicly questioning the legitimacy of the British throne.</w:t>
      </w:r>
    </w:p>
    <w:p w14:paraId="7737D24C" w14:textId="77777777" w:rsidR="001B7750" w:rsidRPr="001677BD" w:rsidRDefault="001B7750" w:rsidP="001B7750">
      <w:pPr>
        <w:rPr>
          <w:rFonts w:ascii="Calibri" w:hAnsi="Calibri" w:cs="Calibri"/>
          <w:b/>
          <w:bCs/>
          <w:sz w:val="20"/>
          <w:szCs w:val="20"/>
          <w:lang w:val="en-GB"/>
        </w:rPr>
      </w:pPr>
      <w:r w:rsidRPr="001677BD">
        <w:rPr>
          <w:rFonts w:ascii="Calibri" w:hAnsi="Calibri" w:cs="Calibri"/>
          <w:b/>
          <w:bCs/>
          <w:sz w:val="20"/>
          <w:szCs w:val="20"/>
          <w:lang w:val="en-GB"/>
        </w:rPr>
        <w:t xml:space="preserve">(Illustration 3: </w:t>
      </w:r>
      <w:r w:rsidRPr="001677BD">
        <w:rPr>
          <w:rFonts w:ascii="Calibri" w:hAnsi="Calibri" w:cs="Calibri"/>
          <w:b/>
          <w:bCs/>
          <w:i/>
          <w:iCs/>
          <w:sz w:val="20"/>
          <w:szCs w:val="20"/>
          <w:lang w:val="en-GB"/>
        </w:rPr>
        <w:t>The Rights of Man, or Tommy Paine, the little American Taylor, taking the measure of the CROWN for a new Pair of Revolution-Breeches</w:t>
      </w:r>
      <w:r w:rsidRPr="001677BD">
        <w:rPr>
          <w:rFonts w:ascii="Calibri" w:hAnsi="Calibri" w:cs="Calibri"/>
          <w:b/>
          <w:bCs/>
          <w:sz w:val="20"/>
          <w:szCs w:val="20"/>
          <w:lang w:val="en-GB"/>
        </w:rPr>
        <w:t xml:space="preserve"> by James Gillray, hand-coloured etching, 1791.)</w:t>
      </w:r>
    </w:p>
    <w:p w14:paraId="338BB382" w14:textId="77777777" w:rsidR="001B7750" w:rsidRPr="008103AF" w:rsidRDefault="001B7750" w:rsidP="001B7750">
      <w:pPr>
        <w:rPr>
          <w:rFonts w:ascii="Calibri" w:hAnsi="Calibri" w:cs="Calibri"/>
          <w:sz w:val="22"/>
          <w:szCs w:val="22"/>
          <w:lang w:val="en-GB"/>
        </w:rPr>
      </w:pPr>
      <w:r>
        <w:rPr>
          <w:rFonts w:ascii="Calibri" w:hAnsi="Calibri" w:cs="Calibri"/>
          <w:sz w:val="22"/>
          <w:szCs w:val="22"/>
          <w:lang w:val="en-GB"/>
        </w:rPr>
        <w:t xml:space="preserve">In this illustration of Paine, we see the British caricaturist James Gillray’s (1756 – 1815) satirical style at work. He depicts Paine, a physical manifestation of contemporary republican beliefs, as a tailor measuring up the British Crown for a new pair of ‘revolution breeches’, while simultaneously reminding us of the cautionary tale of ‘The Emperor’s New Clothes’, where gullibility leads to disaster. Paine carried his American revolutionary ideas with him to Paris and, ironically, narrowly escaped Robespierre’s henchmen with his life. Paine, however, was also notable for having scant regard for the Indigenous population of North America, a forerunner to the growing global phenomenon of European colonialism. </w:t>
      </w:r>
    </w:p>
    <w:p w14:paraId="11724C7C" w14:textId="77777777" w:rsidR="001B7750" w:rsidRDefault="001B7750" w:rsidP="001B7750">
      <w:pPr>
        <w:rPr>
          <w:rFonts w:ascii="Calibri" w:hAnsi="Calibri" w:cs="Calibri"/>
          <w:b/>
          <w:bCs/>
          <w:sz w:val="20"/>
          <w:szCs w:val="20"/>
          <w:lang w:val="en-GB"/>
        </w:rPr>
      </w:pPr>
      <w:r w:rsidRPr="00484D61">
        <w:rPr>
          <w:rFonts w:ascii="Calibri" w:hAnsi="Calibri" w:cs="Calibri"/>
          <w:b/>
          <w:bCs/>
          <w:sz w:val="20"/>
          <w:szCs w:val="20"/>
          <w:lang w:val="en-GB"/>
        </w:rPr>
        <w:lastRenderedPageBreak/>
        <w:t xml:space="preserve">(Additional text can be </w:t>
      </w:r>
      <w:r>
        <w:rPr>
          <w:rFonts w:ascii="Calibri" w:hAnsi="Calibri" w:cs="Calibri"/>
          <w:b/>
          <w:bCs/>
          <w:sz w:val="20"/>
          <w:szCs w:val="20"/>
          <w:lang w:val="en-GB"/>
        </w:rPr>
        <w:t>sourced</w:t>
      </w:r>
      <w:r w:rsidRPr="00484D61">
        <w:rPr>
          <w:rFonts w:ascii="Calibri" w:hAnsi="Calibri" w:cs="Calibri"/>
          <w:b/>
          <w:bCs/>
          <w:sz w:val="20"/>
          <w:szCs w:val="20"/>
          <w:lang w:val="en-GB"/>
        </w:rPr>
        <w:t xml:space="preserve"> by request</w:t>
      </w:r>
      <w:r>
        <w:rPr>
          <w:rFonts w:ascii="Calibri" w:hAnsi="Calibri" w:cs="Calibri"/>
          <w:b/>
          <w:bCs/>
          <w:sz w:val="20"/>
          <w:szCs w:val="20"/>
          <w:lang w:val="en-GB"/>
        </w:rPr>
        <w:t xml:space="preserve"> from the author – </w:t>
      </w:r>
      <w:hyperlink r:id="rId4" w:history="1">
        <w:r w:rsidRPr="007C090B">
          <w:rPr>
            <w:rStyle w:val="Hyperlink"/>
            <w:rFonts w:ascii="Calibri" w:hAnsi="Calibri" w:cs="Calibri"/>
            <w:b/>
            <w:bCs/>
            <w:sz w:val="20"/>
            <w:szCs w:val="20"/>
            <w:lang w:val="en-GB"/>
          </w:rPr>
          <w:t>a.hall@csm.arts.ac.uk</w:t>
        </w:r>
      </w:hyperlink>
      <w:r w:rsidRPr="00484D61">
        <w:rPr>
          <w:rFonts w:ascii="Calibri" w:hAnsi="Calibri" w:cs="Calibri"/>
          <w:b/>
          <w:bCs/>
          <w:sz w:val="20"/>
          <w:szCs w:val="20"/>
          <w:lang w:val="en-GB"/>
        </w:rPr>
        <w:t>)</w:t>
      </w:r>
    </w:p>
    <w:p w14:paraId="55827FB0" w14:textId="77777777" w:rsidR="000A5323" w:rsidRDefault="000A5323"/>
    <w:sectPr w:rsidR="000A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50"/>
    <w:rsid w:val="000A5323"/>
    <w:rsid w:val="001B7750"/>
    <w:rsid w:val="00AB0A17"/>
    <w:rsid w:val="00BC0B6D"/>
    <w:rsid w:val="00BF683A"/>
    <w:rsid w:val="00E314FC"/>
    <w:rsid w:val="00FB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4EBFC"/>
  <w15:chartTrackingRefBased/>
  <w15:docId w15:val="{9629B820-18DD-8846-A8CB-9C1E6F5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50"/>
  </w:style>
  <w:style w:type="paragraph" w:styleId="Heading1">
    <w:name w:val="heading 1"/>
    <w:basedOn w:val="Normal"/>
    <w:next w:val="Normal"/>
    <w:link w:val="Heading1Char"/>
    <w:uiPriority w:val="9"/>
    <w:qFormat/>
    <w:rsid w:val="001B7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750"/>
    <w:rPr>
      <w:rFonts w:eastAsiaTheme="majorEastAsia" w:cstheme="majorBidi"/>
      <w:color w:val="272727" w:themeColor="text1" w:themeTint="D8"/>
    </w:rPr>
  </w:style>
  <w:style w:type="paragraph" w:styleId="Title">
    <w:name w:val="Title"/>
    <w:basedOn w:val="Normal"/>
    <w:next w:val="Normal"/>
    <w:link w:val="TitleChar"/>
    <w:uiPriority w:val="10"/>
    <w:qFormat/>
    <w:rsid w:val="001B7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750"/>
    <w:pPr>
      <w:spacing w:before="160"/>
      <w:jc w:val="center"/>
    </w:pPr>
    <w:rPr>
      <w:i/>
      <w:iCs/>
      <w:color w:val="404040" w:themeColor="text1" w:themeTint="BF"/>
    </w:rPr>
  </w:style>
  <w:style w:type="character" w:customStyle="1" w:styleId="QuoteChar">
    <w:name w:val="Quote Char"/>
    <w:basedOn w:val="DefaultParagraphFont"/>
    <w:link w:val="Quote"/>
    <w:uiPriority w:val="29"/>
    <w:rsid w:val="001B7750"/>
    <w:rPr>
      <w:i/>
      <w:iCs/>
      <w:color w:val="404040" w:themeColor="text1" w:themeTint="BF"/>
    </w:rPr>
  </w:style>
  <w:style w:type="paragraph" w:styleId="ListParagraph">
    <w:name w:val="List Paragraph"/>
    <w:basedOn w:val="Normal"/>
    <w:uiPriority w:val="34"/>
    <w:qFormat/>
    <w:rsid w:val="001B7750"/>
    <w:pPr>
      <w:ind w:left="720"/>
      <w:contextualSpacing/>
    </w:pPr>
  </w:style>
  <w:style w:type="character" w:styleId="IntenseEmphasis">
    <w:name w:val="Intense Emphasis"/>
    <w:basedOn w:val="DefaultParagraphFont"/>
    <w:uiPriority w:val="21"/>
    <w:qFormat/>
    <w:rsid w:val="001B7750"/>
    <w:rPr>
      <w:i/>
      <w:iCs/>
      <w:color w:val="0F4761" w:themeColor="accent1" w:themeShade="BF"/>
    </w:rPr>
  </w:style>
  <w:style w:type="paragraph" w:styleId="IntenseQuote">
    <w:name w:val="Intense Quote"/>
    <w:basedOn w:val="Normal"/>
    <w:next w:val="Normal"/>
    <w:link w:val="IntenseQuoteChar"/>
    <w:uiPriority w:val="30"/>
    <w:qFormat/>
    <w:rsid w:val="001B7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750"/>
    <w:rPr>
      <w:i/>
      <w:iCs/>
      <w:color w:val="0F4761" w:themeColor="accent1" w:themeShade="BF"/>
    </w:rPr>
  </w:style>
  <w:style w:type="character" w:styleId="IntenseReference">
    <w:name w:val="Intense Reference"/>
    <w:basedOn w:val="DefaultParagraphFont"/>
    <w:uiPriority w:val="32"/>
    <w:qFormat/>
    <w:rsid w:val="001B7750"/>
    <w:rPr>
      <w:b/>
      <w:bCs/>
      <w:smallCaps/>
      <w:color w:val="0F4761" w:themeColor="accent1" w:themeShade="BF"/>
      <w:spacing w:val="5"/>
    </w:rPr>
  </w:style>
  <w:style w:type="character" w:styleId="Hyperlink">
    <w:name w:val="Hyperlink"/>
    <w:basedOn w:val="DefaultParagraphFont"/>
    <w:uiPriority w:val="99"/>
    <w:unhideWhenUsed/>
    <w:rsid w:val="001B77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ll@csm.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2099</Words>
  <Characters>11965</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dc:creator>
  <cp:keywords/>
  <dc:description/>
  <cp:lastModifiedBy>Andrew Hall</cp:lastModifiedBy>
  <cp:revision>1</cp:revision>
  <dcterms:created xsi:type="dcterms:W3CDTF">2026-04-05T11:42:00Z</dcterms:created>
  <dcterms:modified xsi:type="dcterms:W3CDTF">2026-04-05T11:43:00Z</dcterms:modified>
</cp:coreProperties>
</file>