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EE84" w14:textId="77777777" w:rsidR="00EA5B1B" w:rsidRPr="004E5056" w:rsidRDefault="00EA5B1B" w:rsidP="00EA5B1B">
      <w:pPr>
        <w:rPr>
          <w:rFonts w:ascii="Calibri" w:hAnsi="Calibri" w:cs="Calibri"/>
          <w:b/>
          <w:bCs/>
          <w:lang w:val="en-GB"/>
        </w:rPr>
      </w:pPr>
      <w:r w:rsidRPr="004E5056">
        <w:rPr>
          <w:rFonts w:ascii="Calibri" w:hAnsi="Calibri" w:cs="Calibri"/>
          <w:b/>
          <w:bCs/>
          <w:lang w:val="en-GB"/>
        </w:rPr>
        <w:t>Andrew Hall – ‘Published Research’ for inclusion in my UAL Elements Research Profile, March 2026:</w:t>
      </w:r>
    </w:p>
    <w:p w14:paraId="1C17CD58" w14:textId="77777777" w:rsidR="00EA5B1B" w:rsidRDefault="00EA5B1B" w:rsidP="00EA5B1B">
      <w:pPr>
        <w:rPr>
          <w:rFonts w:ascii="Calibri" w:hAnsi="Calibri" w:cs="Calibri"/>
          <w:b/>
          <w:bCs/>
          <w:sz w:val="22"/>
          <w:szCs w:val="22"/>
          <w:lang w:val="en-GB"/>
        </w:rPr>
      </w:pPr>
    </w:p>
    <w:p w14:paraId="7FBBEB78" w14:textId="2D9A861D" w:rsidR="00EA5B1B" w:rsidRDefault="00EA5B1B" w:rsidP="00EA5B1B">
      <w:pPr>
        <w:rPr>
          <w:rFonts w:ascii="Calibri" w:hAnsi="Calibri" w:cs="Calibri"/>
          <w:b/>
          <w:bCs/>
          <w:sz w:val="22"/>
          <w:szCs w:val="22"/>
          <w:lang w:val="en-GB"/>
        </w:rPr>
      </w:pPr>
      <w:r w:rsidRPr="00287E8C">
        <w:rPr>
          <w:rFonts w:ascii="Calibri" w:hAnsi="Calibri" w:cs="Calibri"/>
          <w:b/>
          <w:bCs/>
          <w:sz w:val="22"/>
          <w:szCs w:val="22"/>
          <w:lang w:val="en-GB"/>
        </w:rPr>
        <w:t>4) ‘Drawing as a democratic space within higher education, fine and applied arts: Categorization, process, outcome’ by Andrew Hall, for ‘Drawing Research, Theory, Practice’, Volume 4 Number 2, published by Intellect Journals, 2019.</w:t>
      </w:r>
    </w:p>
    <w:p w14:paraId="62FD8805" w14:textId="4D6DE7BB" w:rsidR="00EA5B1B" w:rsidRDefault="00EA5B1B" w:rsidP="00EA5B1B">
      <w:pPr>
        <w:rPr>
          <w:rFonts w:ascii="Calibri" w:hAnsi="Calibri" w:cs="Calibri"/>
          <w:b/>
          <w:bCs/>
          <w:sz w:val="22"/>
          <w:szCs w:val="22"/>
          <w:lang w:val="en-GB"/>
        </w:rPr>
      </w:pPr>
      <w:r>
        <w:rPr>
          <w:rFonts w:ascii="Calibri" w:hAnsi="Calibri" w:cs="Calibri"/>
          <w:b/>
          <w:bCs/>
          <w:sz w:val="22"/>
          <w:szCs w:val="22"/>
          <w:lang w:val="en-GB"/>
        </w:rPr>
        <w:t>ISSN: 2057-0384</w:t>
      </w:r>
    </w:p>
    <w:p w14:paraId="4FCDD84D" w14:textId="362779EB" w:rsidR="00EA5B1B" w:rsidRDefault="00EA5B1B" w:rsidP="00EA5B1B">
      <w:pPr>
        <w:rPr>
          <w:rFonts w:ascii="Calibri" w:hAnsi="Calibri" w:cs="Calibri"/>
          <w:b/>
          <w:bCs/>
          <w:sz w:val="22"/>
          <w:szCs w:val="22"/>
          <w:lang w:val="en-GB"/>
        </w:rPr>
      </w:pPr>
      <w:r>
        <w:rPr>
          <w:rFonts w:ascii="Calibri" w:hAnsi="Calibri" w:cs="Calibri"/>
          <w:b/>
          <w:bCs/>
          <w:sz w:val="22"/>
          <w:szCs w:val="22"/>
          <w:lang w:val="en-GB"/>
        </w:rPr>
        <w:t>Published by Intellect Limited, The Mill, Parnall Road, BristolBS16 3JG.</w:t>
      </w:r>
    </w:p>
    <w:p w14:paraId="67456476" w14:textId="77777777" w:rsidR="00EA5B1B" w:rsidRDefault="00EA5B1B" w:rsidP="00EA5B1B">
      <w:pPr>
        <w:rPr>
          <w:rFonts w:ascii="Calibri" w:hAnsi="Calibri" w:cs="Calibri"/>
          <w:b/>
          <w:bCs/>
          <w:sz w:val="22"/>
          <w:szCs w:val="22"/>
          <w:lang w:val="en-GB"/>
        </w:rPr>
      </w:pPr>
      <w:r>
        <w:rPr>
          <w:rFonts w:ascii="Calibri" w:hAnsi="Calibri" w:cs="Calibri"/>
          <w:b/>
          <w:bCs/>
          <w:sz w:val="22"/>
          <w:szCs w:val="22"/>
          <w:lang w:val="en-GB"/>
        </w:rPr>
        <w:t>Abstract</w:t>
      </w:r>
    </w:p>
    <w:p w14:paraId="6C2BE519" w14:textId="77777777" w:rsidR="00EA5B1B" w:rsidRDefault="00EA5B1B" w:rsidP="00EA5B1B">
      <w:pPr>
        <w:rPr>
          <w:rFonts w:ascii="Calibri" w:hAnsi="Calibri" w:cs="Calibri"/>
          <w:i/>
          <w:iCs/>
          <w:sz w:val="20"/>
          <w:szCs w:val="20"/>
          <w:lang w:val="en-GB"/>
        </w:rPr>
      </w:pPr>
      <w:r w:rsidRPr="005C5E68">
        <w:rPr>
          <w:rFonts w:ascii="Calibri" w:hAnsi="Calibri" w:cs="Calibri"/>
          <w:i/>
          <w:iCs/>
          <w:sz w:val="20"/>
          <w:szCs w:val="20"/>
          <w:lang w:val="en-GB"/>
        </w:rPr>
        <w:t xml:space="preserve">This article tracks the presence, influence of and development of drawing as a creative practice in Higher Education, Art and Design at Central Saint Martins (CSM) University of the Arts London (UAL) since 1896. Connecting to both a historical and contemporary discourse on the practice of drawing within this institution, the article explores the educational role that drawing has played in the fine and applied arts (in particular, graphic communication design) and its present state of evolution as an embodied practice within an expanded field that is intrinsically and fundamentally linked to the creative process and final creative outcome. Also cited are notable academics, creative practitioners and critical theorists who have made it their goal to </w:t>
      </w:r>
      <w:proofErr w:type="gramStart"/>
      <w:r w:rsidRPr="005C5E68">
        <w:rPr>
          <w:rFonts w:ascii="Calibri" w:hAnsi="Calibri" w:cs="Calibri"/>
          <w:i/>
          <w:iCs/>
          <w:sz w:val="20"/>
          <w:szCs w:val="20"/>
          <w:lang w:val="en-GB"/>
        </w:rPr>
        <w:t>open up</w:t>
      </w:r>
      <w:proofErr w:type="gramEnd"/>
      <w:r w:rsidRPr="005C5E68">
        <w:rPr>
          <w:rFonts w:ascii="Calibri" w:hAnsi="Calibri" w:cs="Calibri"/>
          <w:i/>
          <w:iCs/>
          <w:sz w:val="20"/>
          <w:szCs w:val="20"/>
          <w:lang w:val="en-GB"/>
        </w:rPr>
        <w:t xml:space="preserve"> the practice of drawing as a democratic space for all to participate in, and one can observe this territory through three distinctive, although interlinked, lenses: categorization, process and outcome. </w:t>
      </w:r>
    </w:p>
    <w:p w14:paraId="6B00CEF0" w14:textId="77777777" w:rsidR="00EA5B1B" w:rsidRDefault="00EA5B1B" w:rsidP="00EA5B1B">
      <w:pPr>
        <w:rPr>
          <w:rFonts w:ascii="Calibri" w:hAnsi="Calibri" w:cs="Calibri"/>
          <w:b/>
          <w:bCs/>
          <w:sz w:val="22"/>
          <w:szCs w:val="22"/>
          <w:lang w:val="en-GB"/>
        </w:rPr>
      </w:pPr>
      <w:r w:rsidRPr="005C5E68">
        <w:rPr>
          <w:rFonts w:ascii="Calibri" w:hAnsi="Calibri" w:cs="Calibri"/>
          <w:b/>
          <w:bCs/>
          <w:sz w:val="22"/>
          <w:szCs w:val="22"/>
          <w:lang w:val="en-GB"/>
        </w:rPr>
        <w:t>Introduction</w:t>
      </w:r>
    </w:p>
    <w:p w14:paraId="190FCBBE" w14:textId="77777777" w:rsidR="00EA5B1B" w:rsidRDefault="00EA5B1B" w:rsidP="00EA5B1B">
      <w:pPr>
        <w:rPr>
          <w:rFonts w:ascii="Calibri" w:hAnsi="Calibri" w:cs="Calibri"/>
          <w:sz w:val="22"/>
          <w:szCs w:val="22"/>
          <w:lang w:val="en-GB"/>
        </w:rPr>
      </w:pPr>
      <w:r>
        <w:rPr>
          <w:rFonts w:ascii="Calibri" w:hAnsi="Calibri" w:cs="Calibri"/>
          <w:sz w:val="22"/>
          <w:szCs w:val="22"/>
          <w:lang w:val="en-GB"/>
        </w:rPr>
        <w:t>In 1896, The London Council established The Central School of Arts &amp; Crafts, its name directly bearing the wider influence of the Arts and Crafts movement led by William Morris and John Ruskin. After a brief period housed in Morley Hall, London, in 1908 it moved to purpose-built premises in Southampton Row. In the same year, the Royal Female School of Art was merged into the school. In 1966, the school was renamed the Central School of Art, and in 1986, under the London Institute (an umbrella organization for the main London art colleges), it became Central Saint Martins (CSM) College of Art &amp; Design. It now exists under the same name, as part of the relatively new ‘University of the Arts London’.</w:t>
      </w:r>
    </w:p>
    <w:p w14:paraId="0E0809EC" w14:textId="77777777" w:rsidR="00EA5B1B" w:rsidRDefault="00EA5B1B" w:rsidP="00EA5B1B">
      <w:pPr>
        <w:rPr>
          <w:rFonts w:ascii="Calibri" w:hAnsi="Calibri" w:cs="Calibri"/>
          <w:sz w:val="22"/>
          <w:szCs w:val="22"/>
          <w:lang w:val="en-GB"/>
        </w:rPr>
      </w:pPr>
      <w:r>
        <w:rPr>
          <w:rFonts w:ascii="Calibri" w:hAnsi="Calibri" w:cs="Calibri"/>
          <w:sz w:val="22"/>
          <w:szCs w:val="22"/>
          <w:lang w:val="en-GB"/>
        </w:rPr>
        <w:t xml:space="preserve">William </w:t>
      </w:r>
      <w:proofErr w:type="spellStart"/>
      <w:r>
        <w:rPr>
          <w:rFonts w:ascii="Calibri" w:hAnsi="Calibri" w:cs="Calibri"/>
          <w:sz w:val="22"/>
          <w:szCs w:val="22"/>
          <w:lang w:val="en-GB"/>
        </w:rPr>
        <w:t>Lethaby</w:t>
      </w:r>
      <w:proofErr w:type="spellEnd"/>
      <w:r>
        <w:rPr>
          <w:rFonts w:ascii="Calibri" w:hAnsi="Calibri" w:cs="Calibri"/>
          <w:sz w:val="22"/>
          <w:szCs w:val="22"/>
          <w:lang w:val="en-GB"/>
        </w:rPr>
        <w:t xml:space="preserve"> was the first joint ‘principal’ and architect of the building in Southampton Row, Holborn. He designed the new building with drawing in mind, including a central staircase leading from the foyer, built to exaggerate the effects of perspective as it receded from the students who would be drawing it. He also designed the building in relation to a philosophy of housing both design and manufacture </w:t>
      </w:r>
      <w:proofErr w:type="gramStart"/>
      <w:r>
        <w:rPr>
          <w:rFonts w:ascii="Calibri" w:hAnsi="Calibri" w:cs="Calibri"/>
          <w:sz w:val="22"/>
          <w:szCs w:val="22"/>
          <w:lang w:val="en-GB"/>
        </w:rPr>
        <w:t>in one place,</w:t>
      </w:r>
      <w:proofErr w:type="gramEnd"/>
      <w:r>
        <w:rPr>
          <w:rFonts w:ascii="Calibri" w:hAnsi="Calibri" w:cs="Calibri"/>
          <w:sz w:val="22"/>
          <w:szCs w:val="22"/>
          <w:lang w:val="en-GB"/>
        </w:rPr>
        <w:t xml:space="preserve"> of ‘thinking and making’ in a cyclical, </w:t>
      </w:r>
      <w:proofErr w:type="gramStart"/>
      <w:r>
        <w:rPr>
          <w:rFonts w:ascii="Calibri" w:hAnsi="Calibri" w:cs="Calibri"/>
          <w:sz w:val="22"/>
          <w:szCs w:val="22"/>
          <w:lang w:val="en-GB"/>
        </w:rPr>
        <w:t>mutually-enriching</w:t>
      </w:r>
      <w:proofErr w:type="gramEnd"/>
      <w:r>
        <w:rPr>
          <w:rFonts w:ascii="Calibri" w:hAnsi="Calibri" w:cs="Calibri"/>
          <w:sz w:val="22"/>
          <w:szCs w:val="22"/>
          <w:lang w:val="en-GB"/>
        </w:rPr>
        <w:t xml:space="preserve"> combination. The curriculum to deliver this ethos contained a central foundational element – instructional, observational drawing for every undergraduate. In essence, this meant life drawing for all, delivered by the fine art department, irrespective of their specific area of study in the fine or applied arts.</w:t>
      </w:r>
    </w:p>
    <w:p w14:paraId="65716AAA" w14:textId="77777777" w:rsidR="00EA5B1B" w:rsidRDefault="00EA5B1B" w:rsidP="00EA5B1B">
      <w:pPr>
        <w:rPr>
          <w:rFonts w:ascii="Calibri" w:hAnsi="Calibri" w:cs="Calibri"/>
          <w:i/>
          <w:iCs/>
          <w:sz w:val="22"/>
          <w:szCs w:val="22"/>
          <w:lang w:val="en-GB"/>
        </w:rPr>
      </w:pPr>
      <w:r>
        <w:rPr>
          <w:rFonts w:ascii="Calibri" w:hAnsi="Calibri" w:cs="Calibri"/>
          <w:sz w:val="22"/>
          <w:szCs w:val="22"/>
          <w:lang w:val="en-GB"/>
        </w:rPr>
        <w:t xml:space="preserve">Although this foundational focus on drawing remained in place at the school for over 50 years, in 1960, a government-commissioned review of UK art school provision called </w:t>
      </w:r>
      <w:r w:rsidRPr="002D654F">
        <w:rPr>
          <w:rFonts w:ascii="Calibri" w:hAnsi="Calibri" w:cs="Calibri"/>
          <w:i/>
          <w:iCs/>
          <w:sz w:val="22"/>
          <w:szCs w:val="22"/>
          <w:lang w:val="en-GB"/>
        </w:rPr>
        <w:t xml:space="preserve">The Coldstream </w:t>
      </w:r>
      <w:proofErr w:type="gramStart"/>
      <w:r w:rsidRPr="002D654F">
        <w:rPr>
          <w:rFonts w:ascii="Calibri" w:hAnsi="Calibri" w:cs="Calibri"/>
          <w:i/>
          <w:iCs/>
          <w:sz w:val="22"/>
          <w:szCs w:val="22"/>
          <w:lang w:val="en-GB"/>
        </w:rPr>
        <w:t>Report</w:t>
      </w:r>
      <w:r>
        <w:rPr>
          <w:rFonts w:ascii="Calibri" w:hAnsi="Calibri" w:cs="Calibri"/>
          <w:sz w:val="22"/>
          <w:szCs w:val="22"/>
          <w:lang w:val="en-GB"/>
        </w:rPr>
        <w:t xml:space="preserve">  challenged</w:t>
      </w:r>
      <w:proofErr w:type="gramEnd"/>
      <w:r>
        <w:rPr>
          <w:rFonts w:ascii="Calibri" w:hAnsi="Calibri" w:cs="Calibri"/>
          <w:sz w:val="22"/>
          <w:szCs w:val="22"/>
          <w:lang w:val="en-GB"/>
        </w:rPr>
        <w:t xml:space="preserve"> the pan-course provision for instructional, observational drawing. Bearing the philosophy of the Bauhaus </w:t>
      </w:r>
      <w:r>
        <w:rPr>
          <w:rFonts w:ascii="Calibri" w:hAnsi="Calibri" w:cs="Calibri"/>
          <w:sz w:val="22"/>
          <w:szCs w:val="22"/>
          <w:lang w:val="en-GB"/>
        </w:rPr>
        <w:lastRenderedPageBreak/>
        <w:t xml:space="preserve">School in 1930’s Germany, the report implied that this type of drawing was hamstringing applied arts courses in figurative-centric rigidity. As Judy Willcocks states, curator of the recent exhibition at CSM titled: </w:t>
      </w:r>
      <w:r w:rsidRPr="002D654F">
        <w:rPr>
          <w:rFonts w:ascii="Calibri" w:hAnsi="Calibri" w:cs="Calibri"/>
          <w:i/>
          <w:iCs/>
          <w:sz w:val="22"/>
          <w:szCs w:val="22"/>
          <w:lang w:val="en-GB"/>
        </w:rPr>
        <w:t xml:space="preserve">A Century of Drawing the Body: </w:t>
      </w:r>
    </w:p>
    <w:p w14:paraId="4B15E3FC" w14:textId="77777777" w:rsidR="00EA5B1B" w:rsidRPr="00DA63ED" w:rsidRDefault="00EA5B1B" w:rsidP="00EA5B1B">
      <w:pPr>
        <w:rPr>
          <w:rFonts w:ascii="Calibri" w:hAnsi="Calibri" w:cs="Calibri"/>
          <w:sz w:val="20"/>
          <w:szCs w:val="20"/>
          <w:lang w:val="en-GB"/>
        </w:rPr>
      </w:pPr>
      <w:r w:rsidRPr="00DA63ED">
        <w:rPr>
          <w:rFonts w:ascii="Calibri" w:hAnsi="Calibri" w:cs="Calibri"/>
          <w:sz w:val="20"/>
          <w:szCs w:val="20"/>
          <w:lang w:val="en-GB"/>
        </w:rPr>
        <w:t>“For centuries, the Life Class was the main stay of art education – even for artists and designers who had no intention of building a career depicting figures. But the elevated status of life drawing didn’t survive the educational reforms of the 1960’s. By the end of the twentieth century life drawing had come to be seen as an anachronism, synonymous with an old fashioned, skills-based approach to art education that art schools were trying to escape.”</w:t>
      </w:r>
    </w:p>
    <w:p w14:paraId="21D8076D" w14:textId="77777777" w:rsidR="00EA5B1B" w:rsidRDefault="00EA5B1B" w:rsidP="00EA5B1B">
      <w:pPr>
        <w:rPr>
          <w:rFonts w:ascii="Calibri" w:hAnsi="Calibri" w:cs="Calibri"/>
          <w:sz w:val="20"/>
          <w:szCs w:val="20"/>
          <w:lang w:val="en-GB"/>
        </w:rPr>
      </w:pPr>
      <w:r w:rsidRPr="00DA63ED">
        <w:rPr>
          <w:rFonts w:ascii="Calibri" w:hAnsi="Calibri" w:cs="Calibri"/>
          <w:sz w:val="20"/>
          <w:szCs w:val="20"/>
          <w:lang w:val="en-GB"/>
        </w:rPr>
        <w:t>Willcocks 2019.</w:t>
      </w:r>
    </w:p>
    <w:p w14:paraId="77A1A202" w14:textId="77777777" w:rsidR="00EA5B1B" w:rsidRDefault="00EA5B1B" w:rsidP="00EA5B1B">
      <w:pPr>
        <w:rPr>
          <w:rFonts w:ascii="Calibri" w:hAnsi="Calibri" w:cs="Calibri"/>
          <w:sz w:val="22"/>
          <w:szCs w:val="22"/>
          <w:lang w:val="en-GB"/>
        </w:rPr>
      </w:pPr>
      <w:r>
        <w:rPr>
          <w:rFonts w:ascii="Calibri" w:hAnsi="Calibri" w:cs="Calibri"/>
          <w:sz w:val="22"/>
          <w:szCs w:val="22"/>
          <w:lang w:val="en-GB"/>
        </w:rPr>
        <w:t>So, with the advent of the ‘abstract’ in the creative field, and with a fresh focus on form, geometry and structure, the report questioned how one could generate a new and wholly assessable applied arts curriculum that could strip out observational, realism-oriented drawing and replace it with a broader, more elemental group of study areas such as colour theory and composition. William Johnstone, the then principal of The Central School of Arts &amp; Crafts, willingly embraced this Bauhaus-influenced focus on ‘basic design principles’ (Gropius etc.), which essentially led to the contemporary foundation diploma in art and design.</w:t>
      </w:r>
    </w:p>
    <w:p w14:paraId="0ED11686" w14:textId="77777777" w:rsidR="00EA5B1B" w:rsidRDefault="00EA5B1B" w:rsidP="00EA5B1B">
      <w:pPr>
        <w:rPr>
          <w:rFonts w:ascii="Calibri" w:hAnsi="Calibri" w:cs="Calibri"/>
          <w:sz w:val="22"/>
          <w:szCs w:val="22"/>
          <w:lang w:val="en-GB"/>
        </w:rPr>
      </w:pPr>
      <w:r>
        <w:rPr>
          <w:rFonts w:ascii="Calibri" w:hAnsi="Calibri" w:cs="Calibri"/>
          <w:sz w:val="22"/>
          <w:szCs w:val="22"/>
          <w:lang w:val="en-GB"/>
        </w:rPr>
        <w:t xml:space="preserve">The CSM foundation diploma continues to this day, preparing students with a one-year, diagnostic, exploration of the fine and applied arts, before choosing such degree-level subjects as fine art, fashion, product design, textile design, architecture, ceramics, jewellery design, photography and graphic communication design. The last area, of graphic communication design, is the </w:t>
      </w:r>
      <w:proofErr w:type="gramStart"/>
      <w:r>
        <w:rPr>
          <w:rFonts w:ascii="Calibri" w:hAnsi="Calibri" w:cs="Calibri"/>
          <w:sz w:val="22"/>
          <w:szCs w:val="22"/>
          <w:lang w:val="en-GB"/>
        </w:rPr>
        <w:t>particular educational</w:t>
      </w:r>
      <w:proofErr w:type="gramEnd"/>
      <w:r>
        <w:rPr>
          <w:rFonts w:ascii="Calibri" w:hAnsi="Calibri" w:cs="Calibri"/>
          <w:sz w:val="22"/>
          <w:szCs w:val="22"/>
          <w:lang w:val="en-GB"/>
        </w:rPr>
        <w:t xml:space="preserve"> focus of this dialogue.</w:t>
      </w:r>
    </w:p>
    <w:p w14:paraId="0659C676" w14:textId="77777777" w:rsidR="00EA5B1B" w:rsidRDefault="00EA5B1B" w:rsidP="00EA5B1B">
      <w:pPr>
        <w:rPr>
          <w:rFonts w:ascii="Calibri" w:hAnsi="Calibri" w:cs="Calibri"/>
          <w:sz w:val="22"/>
          <w:szCs w:val="22"/>
          <w:lang w:val="en-GB"/>
        </w:rPr>
      </w:pPr>
      <w:r>
        <w:rPr>
          <w:rFonts w:ascii="Calibri" w:hAnsi="Calibri" w:cs="Calibri"/>
          <w:sz w:val="22"/>
          <w:szCs w:val="22"/>
          <w:lang w:val="en-GB"/>
        </w:rPr>
        <w:t xml:space="preserve">In more recent years, an additional voice of dissent </w:t>
      </w:r>
      <w:proofErr w:type="gramStart"/>
      <w:r>
        <w:rPr>
          <w:rFonts w:ascii="Calibri" w:hAnsi="Calibri" w:cs="Calibri"/>
          <w:sz w:val="22"/>
          <w:szCs w:val="22"/>
          <w:lang w:val="en-GB"/>
        </w:rPr>
        <w:t>on the subject of drawing</w:t>
      </w:r>
      <w:proofErr w:type="gramEnd"/>
      <w:r>
        <w:rPr>
          <w:rFonts w:ascii="Calibri" w:hAnsi="Calibri" w:cs="Calibri"/>
          <w:sz w:val="22"/>
          <w:szCs w:val="22"/>
          <w:lang w:val="en-GB"/>
        </w:rPr>
        <w:t xml:space="preserve"> in higher education (HE) is that of Jamie Hobson, now retired, although previously a graphics programme leader at London College of Communication, University of the Arts, London (UAL). In two consecutive articles for </w:t>
      </w:r>
      <w:r w:rsidRPr="00F6526E">
        <w:rPr>
          <w:rFonts w:ascii="Calibri" w:hAnsi="Calibri" w:cs="Calibri"/>
          <w:i/>
          <w:iCs/>
          <w:sz w:val="22"/>
          <w:szCs w:val="22"/>
          <w:lang w:val="en-GB"/>
        </w:rPr>
        <w:t>Eye Magazine</w:t>
      </w:r>
      <w:r>
        <w:rPr>
          <w:rFonts w:ascii="Calibri" w:hAnsi="Calibri" w:cs="Calibri"/>
          <w:i/>
          <w:iCs/>
          <w:sz w:val="22"/>
          <w:szCs w:val="22"/>
          <w:lang w:val="en-GB"/>
        </w:rPr>
        <w:t xml:space="preserve"> </w:t>
      </w:r>
      <w:r>
        <w:rPr>
          <w:rFonts w:ascii="Calibri" w:hAnsi="Calibri" w:cs="Calibri"/>
          <w:sz w:val="22"/>
          <w:szCs w:val="22"/>
          <w:lang w:val="en-GB"/>
        </w:rPr>
        <w:t>(a typographic journal), in 1997, and in 2007, Hobson publicly challenged the importance of drawing within HE graphic design courses. In his first article, titled ‘The end of the line’ (1997), he proposed the idea of the absurdity of the connection between a student applying for a creative course in design at HE level and the notion of them providing evidence of their artistic rendition of a green pepper as a passport of currency to access the aforementioned course. As Hobson writes:</w:t>
      </w:r>
    </w:p>
    <w:p w14:paraId="3D1F3DB0" w14:textId="77777777" w:rsidR="00EA5B1B" w:rsidRDefault="00EA5B1B" w:rsidP="00EA5B1B">
      <w:pPr>
        <w:rPr>
          <w:rFonts w:ascii="Calibri" w:hAnsi="Calibri" w:cs="Calibri"/>
          <w:sz w:val="20"/>
          <w:szCs w:val="20"/>
          <w:lang w:val="en-GB"/>
        </w:rPr>
      </w:pPr>
      <w:r w:rsidRPr="002061B7">
        <w:rPr>
          <w:rFonts w:ascii="Calibri" w:hAnsi="Calibri" w:cs="Calibri"/>
          <w:sz w:val="20"/>
          <w:szCs w:val="20"/>
          <w:lang w:val="en-GB"/>
        </w:rPr>
        <w:t xml:space="preserve">“These portfolios are assumed to reflect the conceptual capacity of their owners, but the success, or otherwise, of the work is </w:t>
      </w:r>
      <w:proofErr w:type="gramStart"/>
      <w:r w:rsidRPr="002061B7">
        <w:rPr>
          <w:rFonts w:ascii="Calibri" w:hAnsi="Calibri" w:cs="Calibri"/>
          <w:sz w:val="20"/>
          <w:szCs w:val="20"/>
          <w:lang w:val="en-GB"/>
        </w:rPr>
        <w:t>more often than not</w:t>
      </w:r>
      <w:proofErr w:type="gramEnd"/>
      <w:r w:rsidRPr="002061B7">
        <w:rPr>
          <w:rFonts w:ascii="Calibri" w:hAnsi="Calibri" w:cs="Calibri"/>
          <w:sz w:val="20"/>
          <w:szCs w:val="20"/>
          <w:lang w:val="en-GB"/>
        </w:rPr>
        <w:t xml:space="preserve"> based on its conformity to a specific aesthetic or style, with self-expression being the main criterion. We are tempted to assume that the applicant has the capacity to be a designer because of his or her stunning skill in drawing a green pepper.”</w:t>
      </w:r>
    </w:p>
    <w:p w14:paraId="728E51D7" w14:textId="77777777" w:rsidR="00EA5B1B" w:rsidRDefault="00EA5B1B" w:rsidP="00EA5B1B">
      <w:pPr>
        <w:rPr>
          <w:rFonts w:ascii="Calibri" w:hAnsi="Calibri" w:cs="Calibri"/>
          <w:sz w:val="20"/>
          <w:szCs w:val="20"/>
          <w:lang w:val="en-GB"/>
        </w:rPr>
      </w:pPr>
      <w:r>
        <w:rPr>
          <w:rFonts w:ascii="Calibri" w:hAnsi="Calibri" w:cs="Calibri"/>
          <w:sz w:val="20"/>
          <w:szCs w:val="20"/>
          <w:lang w:val="en-GB"/>
        </w:rPr>
        <w:t>Hobson (1997)</w:t>
      </w:r>
    </w:p>
    <w:p w14:paraId="58E69B31" w14:textId="77777777" w:rsidR="00EA5B1B" w:rsidRPr="00216007" w:rsidRDefault="00EA5B1B" w:rsidP="00EA5B1B">
      <w:pPr>
        <w:rPr>
          <w:rFonts w:ascii="Calibri" w:hAnsi="Calibri" w:cs="Calibri"/>
          <w:sz w:val="22"/>
          <w:szCs w:val="22"/>
          <w:lang w:val="en-GB"/>
        </w:rPr>
      </w:pPr>
      <w:r w:rsidRPr="00216007">
        <w:rPr>
          <w:rFonts w:ascii="Calibri" w:hAnsi="Calibri" w:cs="Calibri"/>
          <w:sz w:val="22"/>
          <w:szCs w:val="22"/>
          <w:lang w:val="en-GB"/>
        </w:rPr>
        <w:t xml:space="preserve">This clearly echoes the rationale of </w:t>
      </w:r>
      <w:r w:rsidRPr="00216007">
        <w:rPr>
          <w:rFonts w:ascii="Calibri" w:hAnsi="Calibri" w:cs="Calibri"/>
          <w:i/>
          <w:iCs/>
          <w:sz w:val="22"/>
          <w:szCs w:val="22"/>
          <w:lang w:val="en-GB"/>
        </w:rPr>
        <w:t xml:space="preserve">The Coldstream Report, </w:t>
      </w:r>
      <w:r w:rsidRPr="00216007">
        <w:rPr>
          <w:rFonts w:ascii="Calibri" w:hAnsi="Calibri" w:cs="Calibri"/>
          <w:sz w:val="22"/>
          <w:szCs w:val="22"/>
          <w:lang w:val="en-GB"/>
        </w:rPr>
        <w:t xml:space="preserve">and one can see the humour in Hobson’s commentary and comparison. But one can also see that he is making a very serious point – could there actually (and contrary to implicitly held, historic beliefs) be no relationship at all between the language and practice of drawing and the skills, both cognitive and physical, needed to become a fully functioning </w:t>
      </w:r>
      <w:r w:rsidRPr="00216007">
        <w:rPr>
          <w:rFonts w:ascii="Calibri" w:hAnsi="Calibri" w:cs="Calibri"/>
          <w:sz w:val="22"/>
          <w:szCs w:val="22"/>
          <w:lang w:val="en-GB"/>
        </w:rPr>
        <w:lastRenderedPageBreak/>
        <w:t xml:space="preserve">designer within the applied arts? In Hobson’s second article for </w:t>
      </w:r>
      <w:r w:rsidRPr="00216007">
        <w:rPr>
          <w:rFonts w:ascii="Calibri" w:hAnsi="Calibri" w:cs="Calibri"/>
          <w:i/>
          <w:iCs/>
          <w:sz w:val="22"/>
          <w:szCs w:val="22"/>
          <w:lang w:val="en-GB"/>
        </w:rPr>
        <w:t>Eye Magazine,</w:t>
      </w:r>
      <w:r w:rsidRPr="00216007">
        <w:rPr>
          <w:rFonts w:ascii="Calibri" w:hAnsi="Calibri" w:cs="Calibri"/>
          <w:sz w:val="22"/>
          <w:szCs w:val="22"/>
          <w:lang w:val="en-GB"/>
        </w:rPr>
        <w:t xml:space="preserve"> a decade later and titled ‘Another way to draw the line’ (2007), he revisited his previous ‘contentious’ remarks (his description) and again concluded that drawing skills should not be looked for, nor critically assessed, in an HE art and design applicant’s portfolio. Instead, Hobson favoured a focus on ‘information architecture’, presumably objective and rational in nature, rather than a focus on the ‘artefact’, which could be viewed as subjective and emotional.</w:t>
      </w:r>
    </w:p>
    <w:p w14:paraId="21DC8AD5" w14:textId="77777777" w:rsidR="00EA5B1B" w:rsidRDefault="00EA5B1B" w:rsidP="00EA5B1B">
      <w:pPr>
        <w:rPr>
          <w:rFonts w:ascii="Calibri" w:hAnsi="Calibri" w:cs="Calibri"/>
          <w:sz w:val="22"/>
          <w:szCs w:val="22"/>
          <w:lang w:val="en-GB"/>
        </w:rPr>
      </w:pPr>
      <w:r w:rsidRPr="00522E6C">
        <w:rPr>
          <w:rFonts w:ascii="Calibri" w:hAnsi="Calibri" w:cs="Calibri"/>
          <w:sz w:val="22"/>
          <w:szCs w:val="22"/>
          <w:lang w:val="en-GB"/>
        </w:rPr>
        <w:t xml:space="preserve">From both articles, one can summarize Hobson’s key </w:t>
      </w:r>
      <w:r>
        <w:rPr>
          <w:rFonts w:ascii="Calibri" w:hAnsi="Calibri" w:cs="Calibri"/>
          <w:sz w:val="22"/>
          <w:szCs w:val="22"/>
          <w:lang w:val="en-GB"/>
        </w:rPr>
        <w:t xml:space="preserve">arguments into three areas: (1) Drawing should not be so highly valued, and with such high expectations of skill level, at HE art and design entry points. (2) That drawing skills in an applicant’s portfolio (or lack of) can be used as a prohibitive tool to exclude worthy applicants from HE </w:t>
      </w:r>
      <w:proofErr w:type="gramStart"/>
      <w:r>
        <w:rPr>
          <w:rFonts w:ascii="Calibri" w:hAnsi="Calibri" w:cs="Calibri"/>
          <w:sz w:val="22"/>
          <w:szCs w:val="22"/>
          <w:lang w:val="en-GB"/>
        </w:rPr>
        <w:t>design</w:t>
      </w:r>
      <w:proofErr w:type="gramEnd"/>
      <w:r>
        <w:rPr>
          <w:rFonts w:ascii="Calibri" w:hAnsi="Calibri" w:cs="Calibri"/>
          <w:sz w:val="22"/>
          <w:szCs w:val="22"/>
          <w:lang w:val="en-GB"/>
        </w:rPr>
        <w:t xml:space="preserve"> courses. (3) That at best, the practice and language of drawing </w:t>
      </w:r>
      <w:proofErr w:type="gramStart"/>
      <w:r>
        <w:rPr>
          <w:rFonts w:ascii="Calibri" w:hAnsi="Calibri" w:cs="Calibri"/>
          <w:sz w:val="22"/>
          <w:szCs w:val="22"/>
          <w:lang w:val="en-GB"/>
        </w:rPr>
        <w:t>has</w:t>
      </w:r>
      <w:proofErr w:type="gramEnd"/>
      <w:r>
        <w:rPr>
          <w:rFonts w:ascii="Calibri" w:hAnsi="Calibri" w:cs="Calibri"/>
          <w:sz w:val="22"/>
          <w:szCs w:val="22"/>
          <w:lang w:val="en-GB"/>
        </w:rPr>
        <w:t xml:space="preserve"> a highly tenuous relationship with the subject of, and processes surrounding, the activities of applied design.</w:t>
      </w:r>
    </w:p>
    <w:p w14:paraId="24C6D3AA" w14:textId="77777777" w:rsidR="00EA5B1B" w:rsidRDefault="00EA5B1B" w:rsidP="00EA5B1B">
      <w:pPr>
        <w:rPr>
          <w:rFonts w:ascii="Calibri" w:hAnsi="Calibri" w:cs="Calibri"/>
          <w:sz w:val="22"/>
          <w:szCs w:val="22"/>
          <w:lang w:val="en-GB"/>
        </w:rPr>
      </w:pPr>
      <w:r>
        <w:rPr>
          <w:rFonts w:ascii="Calibri" w:hAnsi="Calibri" w:cs="Calibri"/>
          <w:sz w:val="22"/>
          <w:szCs w:val="22"/>
          <w:lang w:val="en-GB"/>
        </w:rPr>
        <w:t xml:space="preserve">To avoid complacency, by way of an instant dismissal of these views (and this to remain exposed to such style of critical commentary </w:t>
      </w:r>
      <w:proofErr w:type="gramStart"/>
      <w:r>
        <w:rPr>
          <w:rFonts w:ascii="Calibri" w:hAnsi="Calibri" w:cs="Calibri"/>
          <w:sz w:val="22"/>
          <w:szCs w:val="22"/>
          <w:lang w:val="en-GB"/>
        </w:rPr>
        <w:t>in the near future</w:t>
      </w:r>
      <w:proofErr w:type="gramEnd"/>
      <w:r>
        <w:rPr>
          <w:rFonts w:ascii="Calibri" w:hAnsi="Calibri" w:cs="Calibri"/>
          <w:sz w:val="22"/>
          <w:szCs w:val="22"/>
          <w:lang w:val="en-GB"/>
        </w:rPr>
        <w:t xml:space="preserve">), it seems prudent to explore a series of </w:t>
      </w:r>
      <w:proofErr w:type="gramStart"/>
      <w:r>
        <w:rPr>
          <w:rFonts w:ascii="Calibri" w:hAnsi="Calibri" w:cs="Calibri"/>
          <w:sz w:val="22"/>
          <w:szCs w:val="22"/>
          <w:lang w:val="en-GB"/>
        </w:rPr>
        <w:t>counter-arguments</w:t>
      </w:r>
      <w:proofErr w:type="gramEnd"/>
      <w:r>
        <w:rPr>
          <w:rFonts w:ascii="Calibri" w:hAnsi="Calibri" w:cs="Calibri"/>
          <w:sz w:val="22"/>
          <w:szCs w:val="22"/>
          <w:lang w:val="en-GB"/>
        </w:rPr>
        <w:t xml:space="preserve">. These can be connected to both a historically established and a contemporary discourse on the practice of drawing, its role within an HE context (both art and design and otherwise) and its present state of evolution as an outcome within an expanded field that is intrinsically and fundamentally linked to the creative process and final creative outcome in the applied arts. One will also see that there are notable academics, creative practitioners and critical theorists (and some operating within all three of these areas simultaneously) who have made it their goal to </w:t>
      </w:r>
      <w:proofErr w:type="gramStart"/>
      <w:r>
        <w:rPr>
          <w:rFonts w:ascii="Calibri" w:hAnsi="Calibri" w:cs="Calibri"/>
          <w:sz w:val="22"/>
          <w:szCs w:val="22"/>
          <w:lang w:val="en-GB"/>
        </w:rPr>
        <w:t>open up</w:t>
      </w:r>
      <w:proofErr w:type="gramEnd"/>
      <w:r>
        <w:rPr>
          <w:rFonts w:ascii="Calibri" w:hAnsi="Calibri" w:cs="Calibri"/>
          <w:sz w:val="22"/>
          <w:szCs w:val="22"/>
          <w:lang w:val="en-GB"/>
        </w:rPr>
        <w:t xml:space="preserve"> the practice of drawing as a democratic space for all to engage with. And one can observe this democratic space through three distinct, though interlinked, lenses: categorization, process and outcome.   </w:t>
      </w:r>
    </w:p>
    <w:p w14:paraId="7AB2E2C4" w14:textId="1D71818D" w:rsidR="00EA5B1B" w:rsidRPr="00484D61" w:rsidRDefault="00EA5B1B" w:rsidP="00EA5B1B">
      <w:pPr>
        <w:rPr>
          <w:rFonts w:ascii="Calibri" w:hAnsi="Calibri" w:cs="Calibri"/>
          <w:b/>
          <w:bCs/>
          <w:sz w:val="20"/>
          <w:szCs w:val="20"/>
          <w:lang w:val="en-GB"/>
        </w:rPr>
      </w:pPr>
      <w:r w:rsidRPr="00484D61">
        <w:rPr>
          <w:rFonts w:ascii="Calibri" w:hAnsi="Calibri" w:cs="Calibri"/>
          <w:b/>
          <w:bCs/>
          <w:sz w:val="20"/>
          <w:szCs w:val="20"/>
          <w:lang w:val="en-GB"/>
        </w:rPr>
        <w:t xml:space="preserve">(Additional text can be </w:t>
      </w:r>
      <w:r w:rsidR="008D3214">
        <w:rPr>
          <w:rFonts w:ascii="Calibri" w:hAnsi="Calibri" w:cs="Calibri"/>
          <w:b/>
          <w:bCs/>
          <w:sz w:val="20"/>
          <w:szCs w:val="20"/>
          <w:lang w:val="en-GB"/>
        </w:rPr>
        <w:t>sourced</w:t>
      </w:r>
      <w:r w:rsidRPr="00484D61">
        <w:rPr>
          <w:rFonts w:ascii="Calibri" w:hAnsi="Calibri" w:cs="Calibri"/>
          <w:b/>
          <w:bCs/>
          <w:sz w:val="20"/>
          <w:szCs w:val="20"/>
          <w:lang w:val="en-GB"/>
        </w:rPr>
        <w:t xml:space="preserve"> by request</w:t>
      </w:r>
      <w:r>
        <w:rPr>
          <w:rFonts w:ascii="Calibri" w:hAnsi="Calibri" w:cs="Calibri"/>
          <w:b/>
          <w:bCs/>
          <w:sz w:val="20"/>
          <w:szCs w:val="20"/>
          <w:lang w:val="en-GB"/>
        </w:rPr>
        <w:t xml:space="preserve"> from the author – a.hall@csm.arts.ac.uk</w:t>
      </w:r>
      <w:r w:rsidRPr="00484D61">
        <w:rPr>
          <w:rFonts w:ascii="Calibri" w:hAnsi="Calibri" w:cs="Calibri"/>
          <w:b/>
          <w:bCs/>
          <w:sz w:val="20"/>
          <w:szCs w:val="20"/>
          <w:lang w:val="en-GB"/>
        </w:rPr>
        <w:t>)</w:t>
      </w:r>
    </w:p>
    <w:p w14:paraId="5EFE3B0D" w14:textId="77777777" w:rsidR="000A5323" w:rsidRDefault="000A5323"/>
    <w:sectPr w:rsidR="000A5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1B"/>
    <w:rsid w:val="000A5323"/>
    <w:rsid w:val="008D3214"/>
    <w:rsid w:val="00AB0A17"/>
    <w:rsid w:val="00BC0B6D"/>
    <w:rsid w:val="00BF683A"/>
    <w:rsid w:val="00E314FC"/>
    <w:rsid w:val="00EA5B1B"/>
    <w:rsid w:val="00FB2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94ED1"/>
  <w15:chartTrackingRefBased/>
  <w15:docId w15:val="{C62326D1-DF99-A54B-B9DA-07B24012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B1B"/>
  </w:style>
  <w:style w:type="paragraph" w:styleId="Heading1">
    <w:name w:val="heading 1"/>
    <w:basedOn w:val="Normal"/>
    <w:next w:val="Normal"/>
    <w:link w:val="Heading1Char"/>
    <w:uiPriority w:val="9"/>
    <w:qFormat/>
    <w:rsid w:val="00EA5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B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B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B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B1B"/>
    <w:rPr>
      <w:rFonts w:eastAsiaTheme="majorEastAsia" w:cstheme="majorBidi"/>
      <w:color w:val="272727" w:themeColor="text1" w:themeTint="D8"/>
    </w:rPr>
  </w:style>
  <w:style w:type="paragraph" w:styleId="Title">
    <w:name w:val="Title"/>
    <w:basedOn w:val="Normal"/>
    <w:next w:val="Normal"/>
    <w:link w:val="TitleChar"/>
    <w:uiPriority w:val="10"/>
    <w:qFormat/>
    <w:rsid w:val="00EA5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B1B"/>
    <w:pPr>
      <w:spacing w:before="160"/>
      <w:jc w:val="center"/>
    </w:pPr>
    <w:rPr>
      <w:i/>
      <w:iCs/>
      <w:color w:val="404040" w:themeColor="text1" w:themeTint="BF"/>
    </w:rPr>
  </w:style>
  <w:style w:type="character" w:customStyle="1" w:styleId="QuoteChar">
    <w:name w:val="Quote Char"/>
    <w:basedOn w:val="DefaultParagraphFont"/>
    <w:link w:val="Quote"/>
    <w:uiPriority w:val="29"/>
    <w:rsid w:val="00EA5B1B"/>
    <w:rPr>
      <w:i/>
      <w:iCs/>
      <w:color w:val="404040" w:themeColor="text1" w:themeTint="BF"/>
    </w:rPr>
  </w:style>
  <w:style w:type="paragraph" w:styleId="ListParagraph">
    <w:name w:val="List Paragraph"/>
    <w:basedOn w:val="Normal"/>
    <w:uiPriority w:val="34"/>
    <w:qFormat/>
    <w:rsid w:val="00EA5B1B"/>
    <w:pPr>
      <w:ind w:left="720"/>
      <w:contextualSpacing/>
    </w:pPr>
  </w:style>
  <w:style w:type="character" w:styleId="IntenseEmphasis">
    <w:name w:val="Intense Emphasis"/>
    <w:basedOn w:val="DefaultParagraphFont"/>
    <w:uiPriority w:val="21"/>
    <w:qFormat/>
    <w:rsid w:val="00EA5B1B"/>
    <w:rPr>
      <w:i/>
      <w:iCs/>
      <w:color w:val="0F4761" w:themeColor="accent1" w:themeShade="BF"/>
    </w:rPr>
  </w:style>
  <w:style w:type="paragraph" w:styleId="IntenseQuote">
    <w:name w:val="Intense Quote"/>
    <w:basedOn w:val="Normal"/>
    <w:next w:val="Normal"/>
    <w:link w:val="IntenseQuoteChar"/>
    <w:uiPriority w:val="30"/>
    <w:qFormat/>
    <w:rsid w:val="00EA5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B1B"/>
    <w:rPr>
      <w:i/>
      <w:iCs/>
      <w:color w:val="0F4761" w:themeColor="accent1" w:themeShade="BF"/>
    </w:rPr>
  </w:style>
  <w:style w:type="character" w:styleId="IntenseReference">
    <w:name w:val="Intense Reference"/>
    <w:basedOn w:val="DefaultParagraphFont"/>
    <w:uiPriority w:val="32"/>
    <w:qFormat/>
    <w:rsid w:val="00EA5B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7473</Characters>
  <Application>Microsoft Office Word</Application>
  <DocSecurity>0</DocSecurity>
  <Lines>62</Lines>
  <Paragraphs>17</Paragraphs>
  <ScaleCrop>false</ScaleCrop>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Hall</dc:creator>
  <cp:keywords/>
  <dc:description/>
  <cp:lastModifiedBy>Andrew Hall</cp:lastModifiedBy>
  <cp:revision>2</cp:revision>
  <dcterms:created xsi:type="dcterms:W3CDTF">2026-04-05T11:32:00Z</dcterms:created>
  <dcterms:modified xsi:type="dcterms:W3CDTF">2026-04-05T11:32:00Z</dcterms:modified>
</cp:coreProperties>
</file>