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72B4" w14:textId="77777777" w:rsidR="001C1FD8" w:rsidRPr="004E5056" w:rsidRDefault="001C1FD8" w:rsidP="001C1FD8">
      <w:pPr>
        <w:rPr>
          <w:rFonts w:ascii="Calibri" w:hAnsi="Calibri" w:cs="Calibri"/>
          <w:b/>
          <w:bCs/>
          <w:lang w:val="en-GB"/>
        </w:rPr>
      </w:pPr>
      <w:r w:rsidRPr="004E5056">
        <w:rPr>
          <w:rFonts w:ascii="Calibri" w:hAnsi="Calibri" w:cs="Calibri"/>
          <w:b/>
          <w:bCs/>
          <w:lang w:val="en-GB"/>
        </w:rPr>
        <w:t>Andrew Hall – ‘Published Research’ for inclusion in my UAL Elements Research Profile, March 2026:</w:t>
      </w:r>
    </w:p>
    <w:p w14:paraId="79903A4E" w14:textId="77777777" w:rsidR="001C1FD8" w:rsidRPr="00FC23BC" w:rsidRDefault="001C1FD8" w:rsidP="001C1FD8">
      <w:pPr>
        <w:rPr>
          <w:rFonts w:ascii="Calibri" w:hAnsi="Calibri" w:cs="Calibri"/>
          <w:sz w:val="22"/>
          <w:szCs w:val="22"/>
          <w:lang w:val="en-GB"/>
        </w:rPr>
      </w:pPr>
    </w:p>
    <w:p w14:paraId="2D19B727" w14:textId="77777777" w:rsidR="001C1FD8" w:rsidRPr="00FC23BC" w:rsidRDefault="001C1FD8" w:rsidP="001C1FD8">
      <w:pPr>
        <w:pStyle w:val="ListParagraph"/>
        <w:numPr>
          <w:ilvl w:val="0"/>
          <w:numId w:val="1"/>
        </w:numPr>
        <w:rPr>
          <w:rFonts w:ascii="Calibri" w:hAnsi="Calibri" w:cs="Calibri"/>
          <w:b/>
          <w:bCs/>
          <w:sz w:val="22"/>
          <w:szCs w:val="22"/>
          <w:lang w:val="en-GB"/>
        </w:rPr>
      </w:pPr>
      <w:r w:rsidRPr="00FC23BC">
        <w:rPr>
          <w:rFonts w:ascii="Calibri" w:hAnsi="Calibri" w:cs="Calibri"/>
          <w:b/>
          <w:bCs/>
          <w:sz w:val="22"/>
          <w:szCs w:val="22"/>
          <w:lang w:val="en-GB"/>
        </w:rPr>
        <w:t xml:space="preserve">‘The Pursuit of the Unique in the Digital Era’, </w:t>
      </w:r>
      <w:r>
        <w:rPr>
          <w:rFonts w:ascii="Calibri" w:hAnsi="Calibri" w:cs="Calibri"/>
          <w:b/>
          <w:bCs/>
          <w:sz w:val="22"/>
          <w:szCs w:val="22"/>
          <w:lang w:val="en-GB"/>
        </w:rPr>
        <w:t xml:space="preserve">‘Drawing Out’ Conference, RMIT, Melbourne Australia, </w:t>
      </w:r>
      <w:r w:rsidRPr="00FC23BC">
        <w:rPr>
          <w:rFonts w:ascii="Calibri" w:hAnsi="Calibri" w:cs="Calibri"/>
          <w:b/>
          <w:bCs/>
          <w:sz w:val="22"/>
          <w:szCs w:val="22"/>
          <w:lang w:val="en-GB"/>
        </w:rPr>
        <w:t>April 2010.</w:t>
      </w:r>
    </w:p>
    <w:p w14:paraId="4E940D89" w14:textId="77777777" w:rsidR="001C1FD8" w:rsidRDefault="001C1FD8" w:rsidP="001C1FD8">
      <w:pPr>
        <w:rPr>
          <w:rFonts w:ascii="Calibri" w:hAnsi="Calibri" w:cs="Calibri"/>
          <w:b/>
          <w:bCs/>
          <w:sz w:val="22"/>
          <w:szCs w:val="22"/>
          <w:lang w:val="en-GB"/>
        </w:rPr>
      </w:pPr>
      <w:r w:rsidRPr="00FC23BC">
        <w:rPr>
          <w:rFonts w:ascii="Calibri" w:hAnsi="Calibri" w:cs="Calibri"/>
          <w:b/>
          <w:bCs/>
          <w:sz w:val="22"/>
          <w:szCs w:val="22"/>
          <w:lang w:val="en-GB"/>
        </w:rPr>
        <w:t>Introduction:</w:t>
      </w:r>
    </w:p>
    <w:p w14:paraId="20D82DB8" w14:textId="77777777" w:rsidR="001C1FD8" w:rsidRPr="00484D61" w:rsidRDefault="001C1FD8" w:rsidP="001C1FD8">
      <w:pPr>
        <w:rPr>
          <w:rFonts w:ascii="Calibri" w:hAnsi="Calibri" w:cs="Calibri"/>
          <w:b/>
          <w:bCs/>
          <w:sz w:val="20"/>
          <w:szCs w:val="20"/>
          <w:lang w:val="en-GB"/>
        </w:rPr>
      </w:pPr>
      <w:r w:rsidRPr="00484D61">
        <w:rPr>
          <w:rFonts w:ascii="Calibri" w:hAnsi="Calibri" w:cs="Calibri"/>
          <w:b/>
          <w:bCs/>
          <w:sz w:val="20"/>
          <w:szCs w:val="20"/>
          <w:lang w:val="en-GB"/>
        </w:rPr>
        <w:t xml:space="preserve">(Slide 1: Norman Thompson” ‘A Definition of Print’, 1974, </w:t>
      </w:r>
      <w:proofErr w:type="gramStart"/>
      <w:r w:rsidRPr="00484D61">
        <w:rPr>
          <w:rFonts w:ascii="Calibri" w:hAnsi="Calibri" w:cs="Calibri"/>
          <w:b/>
          <w:bCs/>
          <w:sz w:val="20"/>
          <w:szCs w:val="20"/>
          <w:lang w:val="en-GB"/>
        </w:rPr>
        <w:t>photo-etching</w:t>
      </w:r>
      <w:proofErr w:type="gramEnd"/>
      <w:r w:rsidRPr="00484D61">
        <w:rPr>
          <w:rFonts w:ascii="Calibri" w:hAnsi="Calibri" w:cs="Calibri"/>
          <w:b/>
          <w:bCs/>
          <w:sz w:val="20"/>
          <w:szCs w:val="20"/>
          <w:lang w:val="en-GB"/>
        </w:rPr>
        <w:t xml:space="preserve"> and screen print)</w:t>
      </w:r>
    </w:p>
    <w:p w14:paraId="205EA35E" w14:textId="77777777" w:rsidR="001C1FD8" w:rsidRDefault="001C1FD8" w:rsidP="001C1FD8">
      <w:pPr>
        <w:rPr>
          <w:rFonts w:ascii="Calibri" w:hAnsi="Calibri" w:cs="Calibri"/>
          <w:sz w:val="22"/>
          <w:szCs w:val="22"/>
          <w:lang w:val="en-GB"/>
        </w:rPr>
      </w:pPr>
      <w:r w:rsidRPr="00FC23BC">
        <w:rPr>
          <w:rFonts w:ascii="Calibri" w:hAnsi="Calibri" w:cs="Calibri"/>
          <w:sz w:val="22"/>
          <w:szCs w:val="22"/>
          <w:lang w:val="en-GB"/>
        </w:rPr>
        <w:t xml:space="preserve">In this paper I aim to explore the relationship of the artistic practitioner with both traditional technologies (the pencil, the brush, the tube of paint) and with mechanical technologies (the printing press, the half-tone screen, the computer). In turn, this relationship results in the one-off artwork and the print, “an identification or mark on a surface left by the pressure of a thing in contact with it.” By unravelling this shifting relationship over the span of some sixty years, I will question whether technological innovation within the arts truly replaces one method of production with another, the consequence of which might be seen as a process of erasure, or whether old and new technologies buffer against one another and combine in a constantly shifting relationship, with one volatile, creative and unpredictable agent at their helm – the artist. I will explore this field by citing the theories of the critic Walter Benjmain and the curator Pat Gilmour, by discussing the impact </w:t>
      </w:r>
      <w:r>
        <w:rPr>
          <w:rFonts w:ascii="Calibri" w:hAnsi="Calibri" w:cs="Calibri"/>
          <w:sz w:val="22"/>
          <w:szCs w:val="22"/>
          <w:lang w:val="en-GB"/>
        </w:rPr>
        <w:t xml:space="preserve">of digital technologies, by looking at the work of established artists and recent art school graduates and by sharing developments involving a mass drawing project at a London art college that embraces both the digital and the analogue. By doing this, I will endeavour to pinpoint whether theories in relation to this subject have </w:t>
      </w:r>
      <w:proofErr w:type="spellStart"/>
      <w:r>
        <w:rPr>
          <w:rFonts w:ascii="Calibri" w:hAnsi="Calibri" w:cs="Calibri"/>
          <w:sz w:val="22"/>
          <w:szCs w:val="22"/>
          <w:lang w:val="en-GB"/>
        </w:rPr>
        <w:t>occured</w:t>
      </w:r>
      <w:proofErr w:type="spellEnd"/>
      <w:r>
        <w:rPr>
          <w:rFonts w:ascii="Calibri" w:hAnsi="Calibri" w:cs="Calibri"/>
          <w:sz w:val="22"/>
          <w:szCs w:val="22"/>
          <w:lang w:val="en-GB"/>
        </w:rPr>
        <w:t xml:space="preserve"> as predicted, or whether stranger and more unusual results have ensued, thereby creating a new set of problems for the contemporary artistic practitioner to embrace.</w:t>
      </w:r>
    </w:p>
    <w:p w14:paraId="69AE177A" w14:textId="77777777" w:rsidR="001C1FD8" w:rsidRDefault="001C1FD8" w:rsidP="001C1FD8">
      <w:pPr>
        <w:rPr>
          <w:rFonts w:ascii="Calibri" w:hAnsi="Calibri" w:cs="Calibri"/>
          <w:b/>
          <w:bCs/>
          <w:sz w:val="22"/>
          <w:szCs w:val="22"/>
          <w:lang w:val="en-GB"/>
        </w:rPr>
      </w:pPr>
      <w:r w:rsidRPr="001C6279">
        <w:rPr>
          <w:rFonts w:ascii="Calibri" w:hAnsi="Calibri" w:cs="Calibri"/>
          <w:b/>
          <w:bCs/>
          <w:sz w:val="22"/>
          <w:szCs w:val="22"/>
          <w:lang w:val="en-GB"/>
        </w:rPr>
        <w:t>Main Text:</w:t>
      </w:r>
    </w:p>
    <w:p w14:paraId="56C7845A" w14:textId="77777777" w:rsidR="001C1FD8" w:rsidRPr="00484D61" w:rsidRDefault="001C1FD8" w:rsidP="001C1FD8">
      <w:pPr>
        <w:rPr>
          <w:rFonts w:ascii="Calibri" w:hAnsi="Calibri" w:cs="Calibri"/>
          <w:b/>
          <w:bCs/>
          <w:sz w:val="20"/>
          <w:szCs w:val="20"/>
          <w:lang w:val="en-GB"/>
        </w:rPr>
      </w:pPr>
      <w:r w:rsidRPr="00484D61">
        <w:rPr>
          <w:rFonts w:ascii="Calibri" w:hAnsi="Calibri" w:cs="Calibri"/>
          <w:b/>
          <w:bCs/>
          <w:sz w:val="20"/>
          <w:szCs w:val="20"/>
          <w:lang w:val="en-GB"/>
        </w:rPr>
        <w:t xml:space="preserve">(Slide 2: Photograph of Walter Benjamin by Gisele Freund, The John </w:t>
      </w:r>
      <w:proofErr w:type="spellStart"/>
      <w:r w:rsidRPr="00484D61">
        <w:rPr>
          <w:rFonts w:ascii="Calibri" w:hAnsi="Calibri" w:cs="Calibri"/>
          <w:b/>
          <w:bCs/>
          <w:sz w:val="20"/>
          <w:szCs w:val="20"/>
          <w:lang w:val="en-GB"/>
        </w:rPr>
        <w:t>Hillelson</w:t>
      </w:r>
      <w:proofErr w:type="spellEnd"/>
      <w:r w:rsidRPr="00484D61">
        <w:rPr>
          <w:rFonts w:ascii="Calibri" w:hAnsi="Calibri" w:cs="Calibri"/>
          <w:b/>
          <w:bCs/>
          <w:sz w:val="20"/>
          <w:szCs w:val="20"/>
          <w:lang w:val="en-GB"/>
        </w:rPr>
        <w:t xml:space="preserve"> Agency) </w:t>
      </w:r>
    </w:p>
    <w:p w14:paraId="3F2D5327" w14:textId="77777777" w:rsidR="001C1FD8" w:rsidRDefault="001C1FD8" w:rsidP="001C1FD8">
      <w:pPr>
        <w:rPr>
          <w:rFonts w:ascii="Calibri" w:hAnsi="Calibri" w:cs="Calibri"/>
          <w:sz w:val="22"/>
          <w:szCs w:val="22"/>
          <w:lang w:val="en-GB"/>
        </w:rPr>
      </w:pPr>
      <w:r>
        <w:rPr>
          <w:rFonts w:ascii="Calibri" w:hAnsi="Calibri" w:cs="Calibri"/>
          <w:sz w:val="22"/>
          <w:szCs w:val="22"/>
          <w:lang w:val="en-GB"/>
        </w:rPr>
        <w:t>In his essay titled ‘The Work of Art in the Age of Mechanical Reproduction’, the renowned Jewish literary critic Walter Benjamin discussed the relationship between art, technology and mass society. In his time, Benjamin had witnessed the profound impact of machinery on the reproduction of both text and image, a shift from ancient reproduction methods connected with founding and stamping, to woodcuts, lithography and perhaps most importantly of all, photomechanical reproduction. As Benjamin himself wrote:</w:t>
      </w:r>
    </w:p>
    <w:p w14:paraId="48DBCC92" w14:textId="77777777" w:rsidR="001C1FD8" w:rsidRDefault="001C1FD8" w:rsidP="001C1FD8">
      <w:pPr>
        <w:rPr>
          <w:rFonts w:ascii="Calibri" w:hAnsi="Calibri" w:cs="Calibri"/>
          <w:i/>
          <w:iCs/>
          <w:sz w:val="20"/>
          <w:szCs w:val="20"/>
          <w:lang w:val="en-GB"/>
        </w:rPr>
      </w:pPr>
      <w:r w:rsidRPr="00736288">
        <w:rPr>
          <w:rFonts w:ascii="Calibri" w:hAnsi="Calibri" w:cs="Calibri"/>
          <w:i/>
          <w:iCs/>
          <w:sz w:val="20"/>
          <w:szCs w:val="20"/>
          <w:lang w:val="en-GB"/>
        </w:rPr>
        <w:t>“Around 1900, technical reproduction had reached a standard that not only permitted it to reproduce all transmitted works of art and thus to cause the most profound change in their impact on the public; it also captured a place of its own among the artistic processes.”</w:t>
      </w:r>
    </w:p>
    <w:p w14:paraId="3343C8DE" w14:textId="77777777" w:rsidR="001C1FD8" w:rsidRPr="00484D61" w:rsidRDefault="001C1FD8" w:rsidP="001C1FD8">
      <w:pPr>
        <w:rPr>
          <w:rFonts w:ascii="Calibri" w:hAnsi="Calibri" w:cs="Calibri"/>
          <w:b/>
          <w:bCs/>
          <w:sz w:val="20"/>
          <w:szCs w:val="20"/>
          <w:lang w:val="en-GB"/>
        </w:rPr>
      </w:pPr>
      <w:r w:rsidRPr="00484D61">
        <w:rPr>
          <w:rFonts w:ascii="Calibri" w:hAnsi="Calibri" w:cs="Calibri"/>
          <w:b/>
          <w:bCs/>
          <w:sz w:val="20"/>
          <w:szCs w:val="20"/>
          <w:lang w:val="en-GB"/>
        </w:rPr>
        <w:t>(Slide 3: Michelangelo Merisi di Caravaggio, ‘Medusa’, c.1595 – 8, Museo Regionale, Messina).</w:t>
      </w:r>
    </w:p>
    <w:p w14:paraId="4A7DBF98"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In establishing his theory, Benjamin cited that mass reproduction of works of art had ‘the power to meet the beholder half-way”, resulting in a considerable shift of scale and context, as well as having the </w:t>
      </w:r>
      <w:r>
        <w:rPr>
          <w:rFonts w:ascii="Calibri" w:hAnsi="Calibri" w:cs="Calibri"/>
          <w:sz w:val="22"/>
          <w:szCs w:val="22"/>
          <w:lang w:val="en-GB"/>
        </w:rPr>
        <w:lastRenderedPageBreak/>
        <w:t>disadvantage of being capable of reproducing some of the unique aspects of a work of art (its physical matter, its history of ownership, it deterioration through ageing). He chose to call these unique properties the ‘aura’, and stated its fragile position within the mechanised world:</w:t>
      </w:r>
    </w:p>
    <w:p w14:paraId="552C06FB" w14:textId="77777777" w:rsidR="001C1FD8" w:rsidRDefault="001C1FD8" w:rsidP="001C1FD8">
      <w:pPr>
        <w:rPr>
          <w:rFonts w:ascii="Calibri" w:hAnsi="Calibri" w:cs="Calibri"/>
          <w:i/>
          <w:iCs/>
          <w:sz w:val="20"/>
          <w:szCs w:val="20"/>
          <w:lang w:val="en-GB"/>
        </w:rPr>
      </w:pPr>
      <w:r w:rsidRPr="00736288">
        <w:rPr>
          <w:rFonts w:ascii="Calibri" w:hAnsi="Calibri" w:cs="Calibri"/>
          <w:i/>
          <w:iCs/>
          <w:sz w:val="20"/>
          <w:szCs w:val="20"/>
          <w:lang w:val="en-GB"/>
        </w:rPr>
        <w:t>“That which withers in the age of mechanical reproduction is the aura of the work of art.”</w:t>
      </w:r>
    </w:p>
    <w:p w14:paraId="1514A015" w14:textId="77777777" w:rsidR="001C1FD8" w:rsidRDefault="001C1FD8" w:rsidP="001C1FD8">
      <w:pPr>
        <w:rPr>
          <w:rFonts w:ascii="Calibri" w:hAnsi="Calibri" w:cs="Calibri"/>
          <w:sz w:val="22"/>
          <w:szCs w:val="22"/>
          <w:lang w:val="en-GB"/>
        </w:rPr>
      </w:pPr>
      <w:r>
        <w:rPr>
          <w:rFonts w:ascii="Calibri" w:hAnsi="Calibri" w:cs="Calibri"/>
          <w:sz w:val="22"/>
          <w:szCs w:val="22"/>
          <w:lang w:val="en-GB"/>
        </w:rPr>
        <w:t>Benjamin described this relationship between the aura and reproduction of a work of art as follows:</w:t>
      </w:r>
    </w:p>
    <w:p w14:paraId="534DF163" w14:textId="77777777" w:rsidR="001C1FD8" w:rsidRDefault="001C1FD8" w:rsidP="001C1FD8">
      <w:pPr>
        <w:rPr>
          <w:rFonts w:ascii="Calibri" w:hAnsi="Calibri" w:cs="Calibri"/>
          <w:i/>
          <w:iCs/>
          <w:sz w:val="20"/>
          <w:szCs w:val="20"/>
          <w:lang w:val="en-GB"/>
        </w:rPr>
      </w:pPr>
      <w:r w:rsidRPr="00002B2A">
        <w:rPr>
          <w:rFonts w:ascii="Calibri" w:hAnsi="Calibri" w:cs="Calibri"/>
          <w:i/>
          <w:iCs/>
          <w:sz w:val="20"/>
          <w:szCs w:val="20"/>
          <w:lang w:val="en-GB"/>
        </w:rPr>
        <w:t>“Every day the urge grows stronger to get hold of an object at very close range by way of its likeness, its reproduction. To pry an object from its shell, to destroy its aura, is the mark of a perception whose sense of ‘the universal equality of things’ has increased to such a degree that it extracts it even from a unique object by means of re</w:t>
      </w:r>
      <w:r>
        <w:rPr>
          <w:rFonts w:ascii="Calibri" w:hAnsi="Calibri" w:cs="Calibri"/>
          <w:i/>
          <w:iCs/>
          <w:sz w:val="20"/>
          <w:szCs w:val="20"/>
          <w:lang w:val="en-GB"/>
        </w:rPr>
        <w:t>p</w:t>
      </w:r>
      <w:r w:rsidRPr="00002B2A">
        <w:rPr>
          <w:rFonts w:ascii="Calibri" w:hAnsi="Calibri" w:cs="Calibri"/>
          <w:i/>
          <w:iCs/>
          <w:sz w:val="20"/>
          <w:szCs w:val="20"/>
          <w:lang w:val="en-GB"/>
        </w:rPr>
        <w:t>roduction.”</w:t>
      </w:r>
    </w:p>
    <w:p w14:paraId="70323FCC"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Benjamin saw the unique object of art as </w:t>
      </w:r>
      <w:proofErr w:type="gramStart"/>
      <w:r>
        <w:rPr>
          <w:rFonts w:ascii="Calibri" w:hAnsi="Calibri" w:cs="Calibri"/>
          <w:sz w:val="22"/>
          <w:szCs w:val="22"/>
          <w:lang w:val="en-GB"/>
        </w:rPr>
        <w:t>being located in</w:t>
      </w:r>
      <w:proofErr w:type="gramEnd"/>
      <w:r>
        <w:rPr>
          <w:rFonts w:ascii="Calibri" w:hAnsi="Calibri" w:cs="Calibri"/>
          <w:sz w:val="22"/>
          <w:szCs w:val="22"/>
          <w:lang w:val="en-GB"/>
        </w:rPr>
        <w:t xml:space="preserve"> tradition, in the magical and religious, and cited that:</w:t>
      </w:r>
    </w:p>
    <w:p w14:paraId="52C67755" w14:textId="77777777" w:rsidR="001C1FD8" w:rsidRDefault="001C1FD8" w:rsidP="001C1FD8">
      <w:pPr>
        <w:rPr>
          <w:rFonts w:ascii="Calibri" w:hAnsi="Calibri" w:cs="Calibri"/>
          <w:i/>
          <w:iCs/>
          <w:sz w:val="20"/>
          <w:szCs w:val="20"/>
          <w:lang w:val="en-GB"/>
        </w:rPr>
      </w:pPr>
      <w:r w:rsidRPr="00002B2A">
        <w:rPr>
          <w:rFonts w:ascii="Calibri" w:hAnsi="Calibri" w:cs="Calibri"/>
          <w:i/>
          <w:iCs/>
          <w:sz w:val="20"/>
          <w:szCs w:val="20"/>
          <w:lang w:val="en-GB"/>
        </w:rPr>
        <w:t>“For the first time in world history, mechanical reproduction emancipates the work of art from its parasitical dependence on ritual. To an even greater degree, the work of art reproduced becomes the work of art designed for reproducibility.”</w:t>
      </w:r>
    </w:p>
    <w:p w14:paraId="22DCEC3F"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Benjamin continued his enlightened discussion on a trajectory that encompassed photography and film (which, though important, are beyond the bounds of this discussion), as well as arriving at a conclusion that suggested that the ultimate union between machinery and aesthetics was war. However, the </w:t>
      </w:r>
      <w:proofErr w:type="gramStart"/>
      <w:r>
        <w:rPr>
          <w:rFonts w:ascii="Calibri" w:hAnsi="Calibri" w:cs="Calibri"/>
          <w:sz w:val="22"/>
          <w:szCs w:val="22"/>
          <w:lang w:val="en-GB"/>
        </w:rPr>
        <w:t>particular comment</w:t>
      </w:r>
      <w:proofErr w:type="gramEnd"/>
      <w:r>
        <w:rPr>
          <w:rFonts w:ascii="Calibri" w:hAnsi="Calibri" w:cs="Calibri"/>
          <w:sz w:val="22"/>
          <w:szCs w:val="22"/>
          <w:lang w:val="en-GB"/>
        </w:rPr>
        <w:t xml:space="preserve"> by Benjamin regarding ‘art designed for reproducibility’ is perhaps a useful juncture at which to look specifically at the artist’s direct involvement with the reproduced artwork – that is, the print.</w:t>
      </w:r>
    </w:p>
    <w:p w14:paraId="105FE3BD" w14:textId="77777777" w:rsidR="001C1FD8" w:rsidRDefault="001C1FD8" w:rsidP="001C1FD8">
      <w:pPr>
        <w:rPr>
          <w:rFonts w:ascii="Calibri" w:hAnsi="Calibri" w:cs="Calibri"/>
          <w:b/>
          <w:bCs/>
          <w:sz w:val="20"/>
          <w:szCs w:val="20"/>
          <w:lang w:val="en-GB"/>
        </w:rPr>
      </w:pPr>
      <w:r w:rsidRPr="00002B2A">
        <w:rPr>
          <w:rFonts w:ascii="Calibri" w:hAnsi="Calibri" w:cs="Calibri"/>
          <w:b/>
          <w:bCs/>
          <w:sz w:val="20"/>
          <w:szCs w:val="20"/>
          <w:lang w:val="en-GB"/>
        </w:rPr>
        <w:t>(Slide 4: James McNeill Whistler: ‘The Lime Burner’, the Netherlands, c.1859, Etching)</w:t>
      </w:r>
    </w:p>
    <w:p w14:paraId="49B07BA3" w14:textId="77777777" w:rsidR="001C1FD8" w:rsidRDefault="001C1FD8" w:rsidP="001C1FD8">
      <w:pPr>
        <w:rPr>
          <w:rFonts w:ascii="Calibri" w:hAnsi="Calibri" w:cs="Calibri"/>
          <w:sz w:val="22"/>
          <w:szCs w:val="22"/>
          <w:lang w:val="en-GB"/>
        </w:rPr>
      </w:pPr>
      <w:r>
        <w:rPr>
          <w:rFonts w:ascii="Calibri" w:hAnsi="Calibri" w:cs="Calibri"/>
          <w:sz w:val="22"/>
          <w:szCs w:val="22"/>
          <w:lang w:val="en-GB"/>
        </w:rPr>
        <w:t>Using Benjamin’s essay as a theoretical foundation, the curator Pat Gilmour, in her catalogue to accompany the 1978 Arts Council of Great Britain exhibition titled ‘The Mechanised Image’ (An historical perspective on 20</w:t>
      </w:r>
      <w:r w:rsidRPr="00C0622C">
        <w:rPr>
          <w:rFonts w:ascii="Calibri" w:hAnsi="Calibri" w:cs="Calibri"/>
          <w:sz w:val="22"/>
          <w:szCs w:val="22"/>
          <w:vertAlign w:val="superscript"/>
          <w:lang w:val="en-GB"/>
        </w:rPr>
        <w:t>th</w:t>
      </w:r>
      <w:r>
        <w:rPr>
          <w:rFonts w:ascii="Calibri" w:hAnsi="Calibri" w:cs="Calibri"/>
          <w:sz w:val="22"/>
          <w:szCs w:val="22"/>
          <w:lang w:val="en-GB"/>
        </w:rPr>
        <w:t xml:space="preserve"> Century prints), began with the following statement:</w:t>
      </w:r>
    </w:p>
    <w:p w14:paraId="1283FBFA" w14:textId="77777777" w:rsidR="001C1FD8" w:rsidRDefault="001C1FD8" w:rsidP="001C1FD8">
      <w:pPr>
        <w:rPr>
          <w:rFonts w:ascii="Calibri" w:hAnsi="Calibri" w:cs="Calibri"/>
          <w:i/>
          <w:iCs/>
          <w:sz w:val="20"/>
          <w:szCs w:val="20"/>
          <w:lang w:val="en-GB"/>
        </w:rPr>
      </w:pPr>
      <w:r w:rsidRPr="00C0622C">
        <w:rPr>
          <w:rFonts w:ascii="Calibri" w:hAnsi="Calibri" w:cs="Calibri"/>
          <w:i/>
          <w:iCs/>
          <w:sz w:val="20"/>
          <w:szCs w:val="20"/>
          <w:lang w:val="en-GB"/>
        </w:rPr>
        <w:t>“Making a print is essentially a way of mechanising an image, but because we have retained, against the odds, what Walter Benjamin called a ‘</w:t>
      </w:r>
      <w:proofErr w:type="spellStart"/>
      <w:r w:rsidRPr="00C0622C">
        <w:rPr>
          <w:rFonts w:ascii="Calibri" w:hAnsi="Calibri" w:cs="Calibri"/>
          <w:i/>
          <w:iCs/>
          <w:sz w:val="20"/>
          <w:szCs w:val="20"/>
          <w:lang w:val="en-GB"/>
        </w:rPr>
        <w:t>fetishistic</w:t>
      </w:r>
      <w:proofErr w:type="spellEnd"/>
      <w:r w:rsidRPr="00C0622C">
        <w:rPr>
          <w:rFonts w:ascii="Calibri" w:hAnsi="Calibri" w:cs="Calibri"/>
          <w:i/>
          <w:iCs/>
          <w:sz w:val="20"/>
          <w:szCs w:val="20"/>
          <w:lang w:val="en-GB"/>
        </w:rPr>
        <w:t>, fundamentally anti-technological notion of art’, the story of artist’s prints, particularly during the last hundred years, reflects a fascinating ideological struggle. On the one hand, there has been the technological production with its so-called ‘impersonal’ qualities – the regularity and precision of conscious design and division of labour in the making – and that climax and apotheosis of the individually hand-crafted, the allegedly more human ‘original print.”</w:t>
      </w:r>
    </w:p>
    <w:p w14:paraId="6C665E8A" w14:textId="77777777" w:rsidR="001C1FD8" w:rsidRDefault="001C1FD8" w:rsidP="001C1FD8">
      <w:pPr>
        <w:rPr>
          <w:rFonts w:ascii="Calibri" w:hAnsi="Calibri" w:cs="Calibri"/>
          <w:sz w:val="22"/>
          <w:szCs w:val="22"/>
          <w:lang w:val="en-GB"/>
        </w:rPr>
      </w:pPr>
      <w:r>
        <w:rPr>
          <w:rFonts w:ascii="Calibri" w:hAnsi="Calibri" w:cs="Calibri"/>
          <w:sz w:val="22"/>
          <w:szCs w:val="22"/>
          <w:lang w:val="en-GB"/>
        </w:rPr>
        <w:t>Gilmour challenged the notion that the artist’s print was inherently devoid of ‘uniqueness’, by exploring the assumption at the centre of the artist’s relationship with this printing technology – that though the machine-generated image had many advantages, including unit cost, replication capability and audience reach, it was still denigrated into a poor second place behind the hallowed artefact, the unique, the ‘</w:t>
      </w:r>
      <w:proofErr w:type="spellStart"/>
      <w:r>
        <w:rPr>
          <w:rFonts w:ascii="Calibri" w:hAnsi="Calibri" w:cs="Calibri"/>
          <w:sz w:val="22"/>
          <w:szCs w:val="22"/>
          <w:lang w:val="en-GB"/>
        </w:rPr>
        <w:t>unus</w:t>
      </w:r>
      <w:proofErr w:type="spellEnd"/>
      <w:r>
        <w:rPr>
          <w:rFonts w:ascii="Calibri" w:hAnsi="Calibri" w:cs="Calibri"/>
          <w:sz w:val="22"/>
          <w:szCs w:val="22"/>
          <w:lang w:val="en-GB"/>
        </w:rPr>
        <w:t>’.</w:t>
      </w:r>
    </w:p>
    <w:p w14:paraId="2E45C13B"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Gilmour took her audience through the spectrum of debate in the historical discussion surrounding key artists’ engagement with ‘the mechanised image’, illustrating this with work from the limited edition </w:t>
      </w:r>
      <w:r>
        <w:rPr>
          <w:rFonts w:ascii="Calibri" w:hAnsi="Calibri" w:cs="Calibri"/>
          <w:sz w:val="22"/>
          <w:szCs w:val="22"/>
          <w:lang w:val="en-GB"/>
        </w:rPr>
        <w:lastRenderedPageBreak/>
        <w:t xml:space="preserve">print market that emerged in the 1950’s, including </w:t>
      </w:r>
      <w:proofErr w:type="spellStart"/>
      <w:r>
        <w:rPr>
          <w:rFonts w:ascii="Calibri" w:hAnsi="Calibri" w:cs="Calibri"/>
          <w:sz w:val="22"/>
          <w:szCs w:val="22"/>
          <w:lang w:val="en-GB"/>
        </w:rPr>
        <w:t>Kelpra</w:t>
      </w:r>
      <w:proofErr w:type="spellEnd"/>
      <w:r>
        <w:rPr>
          <w:rFonts w:ascii="Calibri" w:hAnsi="Calibri" w:cs="Calibri"/>
          <w:sz w:val="22"/>
          <w:szCs w:val="22"/>
          <w:lang w:val="en-GB"/>
        </w:rPr>
        <w:t xml:space="preserve"> Studio, Advance Graphics and </w:t>
      </w:r>
      <w:proofErr w:type="spellStart"/>
      <w:r>
        <w:rPr>
          <w:rFonts w:ascii="Calibri" w:hAnsi="Calibri" w:cs="Calibri"/>
          <w:sz w:val="22"/>
          <w:szCs w:val="22"/>
          <w:lang w:val="en-GB"/>
        </w:rPr>
        <w:t>Editio</w:t>
      </w:r>
      <w:proofErr w:type="spellEnd"/>
      <w:r>
        <w:rPr>
          <w:rFonts w:ascii="Calibri" w:hAnsi="Calibri" w:cs="Calibri"/>
          <w:sz w:val="22"/>
          <w:szCs w:val="22"/>
          <w:lang w:val="en-GB"/>
        </w:rPr>
        <w:t xml:space="preserve"> Electro. At one end of the spectrum, she described James McNeill Whistler at work in the print room, as well as his adroitness as a businessman:</w:t>
      </w:r>
    </w:p>
    <w:p w14:paraId="4512B9E4" w14:textId="77777777" w:rsidR="001C1FD8" w:rsidRDefault="001C1FD8" w:rsidP="001C1FD8">
      <w:pPr>
        <w:rPr>
          <w:rFonts w:ascii="Calibri" w:hAnsi="Calibri" w:cs="Calibri"/>
          <w:i/>
          <w:iCs/>
          <w:sz w:val="20"/>
          <w:szCs w:val="20"/>
          <w:lang w:val="en-GB"/>
        </w:rPr>
      </w:pPr>
      <w:r w:rsidRPr="00621EAA">
        <w:rPr>
          <w:rFonts w:ascii="Calibri" w:hAnsi="Calibri" w:cs="Calibri"/>
          <w:i/>
          <w:iCs/>
          <w:sz w:val="20"/>
          <w:szCs w:val="20"/>
          <w:lang w:val="en-GB"/>
        </w:rPr>
        <w:t xml:space="preserve">“Under the art for art’s sake banner, he boosted uniqueness by such devices as manipulating ink on his etching plates </w:t>
      </w:r>
      <w:proofErr w:type="gramStart"/>
      <w:r w:rsidRPr="00621EAA">
        <w:rPr>
          <w:rFonts w:ascii="Calibri" w:hAnsi="Calibri" w:cs="Calibri"/>
          <w:i/>
          <w:iCs/>
          <w:sz w:val="20"/>
          <w:szCs w:val="20"/>
          <w:lang w:val="en-GB"/>
        </w:rPr>
        <w:t>so as to</w:t>
      </w:r>
      <w:proofErr w:type="gramEnd"/>
      <w:r w:rsidRPr="00621EAA">
        <w:rPr>
          <w:rFonts w:ascii="Calibri" w:hAnsi="Calibri" w:cs="Calibri"/>
          <w:i/>
          <w:iCs/>
          <w:sz w:val="20"/>
          <w:szCs w:val="20"/>
          <w:lang w:val="en-GB"/>
        </w:rPr>
        <w:t xml:space="preserve"> confound mechanical ideas of regularity and identicality. He made watchwords of spontaneity and intuition. Perhaps even more important in its implication for future practice, he adopted the limited edition, selling signed and numbered prints at double the cost of unsigned examples of identical pictures and emphasising snobbish connoisseurship and mystique at the expense of content, by suggesting his signature was as valuable as whatever the image had to say.”</w:t>
      </w:r>
    </w:p>
    <w:p w14:paraId="7A724846" w14:textId="77777777" w:rsidR="001C1FD8" w:rsidRPr="00621EAA" w:rsidRDefault="001C1FD8" w:rsidP="001C1FD8">
      <w:pPr>
        <w:rPr>
          <w:rFonts w:ascii="Calibri" w:hAnsi="Calibri" w:cs="Calibri"/>
          <w:b/>
          <w:bCs/>
          <w:sz w:val="20"/>
          <w:szCs w:val="20"/>
          <w:lang w:val="en-GB"/>
        </w:rPr>
      </w:pPr>
      <w:r w:rsidRPr="00621EAA">
        <w:rPr>
          <w:rFonts w:ascii="Calibri" w:hAnsi="Calibri" w:cs="Calibri"/>
          <w:b/>
          <w:bCs/>
          <w:sz w:val="20"/>
          <w:szCs w:val="20"/>
          <w:lang w:val="en-GB"/>
        </w:rPr>
        <w:t xml:space="preserve">(Slide 5: Laszlo Moholy-Nagy: ‘Study </w:t>
      </w:r>
      <w:r>
        <w:rPr>
          <w:rFonts w:ascii="Calibri" w:hAnsi="Calibri" w:cs="Calibri"/>
          <w:b/>
          <w:bCs/>
          <w:sz w:val="20"/>
          <w:szCs w:val="20"/>
          <w:lang w:val="en-GB"/>
        </w:rPr>
        <w:t>w</w:t>
      </w:r>
      <w:r w:rsidRPr="00621EAA">
        <w:rPr>
          <w:rFonts w:ascii="Calibri" w:hAnsi="Calibri" w:cs="Calibri"/>
          <w:b/>
          <w:bCs/>
          <w:sz w:val="20"/>
          <w:szCs w:val="20"/>
          <w:lang w:val="en-GB"/>
        </w:rPr>
        <w:t xml:space="preserve">ith Pins </w:t>
      </w:r>
      <w:r>
        <w:rPr>
          <w:rFonts w:ascii="Calibri" w:hAnsi="Calibri" w:cs="Calibri"/>
          <w:b/>
          <w:bCs/>
          <w:sz w:val="20"/>
          <w:szCs w:val="20"/>
          <w:lang w:val="en-GB"/>
        </w:rPr>
        <w:t>a</w:t>
      </w:r>
      <w:r w:rsidRPr="00621EAA">
        <w:rPr>
          <w:rFonts w:ascii="Calibri" w:hAnsi="Calibri" w:cs="Calibri"/>
          <w:b/>
          <w:bCs/>
          <w:sz w:val="20"/>
          <w:szCs w:val="20"/>
          <w:lang w:val="en-GB"/>
        </w:rPr>
        <w:t>nd Ribbons’, 1937-8, colour print, assembly (</w:t>
      </w:r>
      <w:proofErr w:type="spellStart"/>
      <w:r w:rsidRPr="00621EAA">
        <w:rPr>
          <w:rFonts w:ascii="Calibri" w:hAnsi="Calibri" w:cs="Calibri"/>
          <w:b/>
          <w:bCs/>
          <w:sz w:val="20"/>
          <w:szCs w:val="20"/>
          <w:lang w:val="en-GB"/>
        </w:rPr>
        <w:t>Vivex</w:t>
      </w:r>
      <w:proofErr w:type="spellEnd"/>
      <w:r w:rsidRPr="00621EAA">
        <w:rPr>
          <w:rFonts w:ascii="Calibri" w:hAnsi="Calibri" w:cs="Calibri"/>
          <w:b/>
          <w:bCs/>
          <w:sz w:val="20"/>
          <w:szCs w:val="20"/>
          <w:lang w:val="en-GB"/>
        </w:rPr>
        <w:t>) process)</w:t>
      </w:r>
    </w:p>
    <w:p w14:paraId="0D4BAD94"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 At the other end of the spectrum, Gilmour cited Laszlo Moholy-Nagy’s own description of his engagement with artistic technology by celebrating a more objective approach:</w:t>
      </w:r>
    </w:p>
    <w:p w14:paraId="2B4EBBE4" w14:textId="77777777" w:rsidR="001C1FD8" w:rsidRDefault="001C1FD8" w:rsidP="001C1FD8">
      <w:pPr>
        <w:rPr>
          <w:rFonts w:ascii="Calibri" w:hAnsi="Calibri" w:cs="Calibri"/>
          <w:i/>
          <w:iCs/>
          <w:sz w:val="20"/>
          <w:szCs w:val="20"/>
          <w:lang w:val="en-GB"/>
        </w:rPr>
      </w:pPr>
      <w:r w:rsidRPr="00E773E7">
        <w:rPr>
          <w:rFonts w:ascii="Calibri" w:hAnsi="Calibri" w:cs="Calibri"/>
          <w:i/>
          <w:iCs/>
          <w:sz w:val="20"/>
          <w:szCs w:val="20"/>
          <w:lang w:val="en-GB"/>
        </w:rPr>
        <w:t xml:space="preserve">“An airbrush and spray gun can produce a smooth and impersonal surface treatment which is beyond the skill of the hand. I was not afraid to employ such tools </w:t>
      </w:r>
      <w:proofErr w:type="gramStart"/>
      <w:r w:rsidRPr="00E773E7">
        <w:rPr>
          <w:rFonts w:ascii="Calibri" w:hAnsi="Calibri" w:cs="Calibri"/>
          <w:i/>
          <w:iCs/>
          <w:sz w:val="20"/>
          <w:szCs w:val="20"/>
          <w:lang w:val="en-GB"/>
        </w:rPr>
        <w:t>in order to</w:t>
      </w:r>
      <w:proofErr w:type="gramEnd"/>
      <w:r w:rsidRPr="00E773E7">
        <w:rPr>
          <w:rFonts w:ascii="Calibri" w:hAnsi="Calibri" w:cs="Calibri"/>
          <w:i/>
          <w:iCs/>
          <w:sz w:val="20"/>
          <w:szCs w:val="20"/>
          <w:lang w:val="en-GB"/>
        </w:rPr>
        <w:t xml:space="preserve"> achieve machine-like perfection. I was not at all afraid of losing ‘the personal touch’…the collector’s naïve desire for the unique can hardly be justified. It hampers the cultural potential of mass consumption…in an industrial age, the distinction between art and non-art, between manual craftsmanship and mechanical technology is no longer an absolute one.”</w:t>
      </w:r>
    </w:p>
    <w:p w14:paraId="068AEB5B" w14:textId="77777777" w:rsidR="001C1FD8" w:rsidRDefault="001C1FD8" w:rsidP="001C1FD8">
      <w:pPr>
        <w:rPr>
          <w:rFonts w:ascii="Calibri" w:hAnsi="Calibri" w:cs="Calibri"/>
          <w:sz w:val="22"/>
          <w:szCs w:val="22"/>
          <w:lang w:val="en-GB"/>
        </w:rPr>
      </w:pPr>
      <w:r>
        <w:rPr>
          <w:rFonts w:ascii="Calibri" w:hAnsi="Calibri" w:cs="Calibri"/>
          <w:sz w:val="22"/>
          <w:szCs w:val="22"/>
          <w:lang w:val="en-GB"/>
        </w:rPr>
        <w:t>Gilmour showed how these two artists, and many more besides, took differing ideological stances within the medium of print, and, as free agents, innovated and ‘played’ in their own ways to create a commercially viable product. Gilmour also recognised the way in which the artist had staked their role as creative agent within an extensive team of technicians and master printers who helped them to produce engravings, relief prints, intaglios, lithographs, object impressions, frottage, wood cuts, screen prints (or serigraphs) and photo-screen prints. In the process, they often encouraged these teams of craftsmen to innovate and improvise themselves. Gilmour cited this relationship between agent and teams as follows…</w:t>
      </w:r>
    </w:p>
    <w:p w14:paraId="1A73A727" w14:textId="77777777" w:rsidR="001C1FD8" w:rsidRPr="00484D61" w:rsidRDefault="001C1FD8" w:rsidP="001C1FD8">
      <w:pPr>
        <w:rPr>
          <w:rFonts w:ascii="Calibri" w:hAnsi="Calibri" w:cs="Calibri"/>
          <w:b/>
          <w:bCs/>
          <w:sz w:val="20"/>
          <w:szCs w:val="20"/>
          <w:lang w:val="en-GB"/>
        </w:rPr>
      </w:pPr>
      <w:r w:rsidRPr="00484D61">
        <w:rPr>
          <w:rFonts w:ascii="Calibri" w:hAnsi="Calibri" w:cs="Calibri"/>
          <w:b/>
          <w:bCs/>
          <w:sz w:val="20"/>
          <w:szCs w:val="20"/>
          <w:lang w:val="en-GB"/>
        </w:rPr>
        <w:t>(Additional text can be supplied by request</w:t>
      </w:r>
      <w:r>
        <w:rPr>
          <w:rFonts w:ascii="Calibri" w:hAnsi="Calibri" w:cs="Calibri"/>
          <w:b/>
          <w:bCs/>
          <w:sz w:val="20"/>
          <w:szCs w:val="20"/>
          <w:lang w:val="en-GB"/>
        </w:rPr>
        <w:t xml:space="preserve"> from the author – a.hall@csm.arts.ac.uk</w:t>
      </w:r>
      <w:r w:rsidRPr="00484D61">
        <w:rPr>
          <w:rFonts w:ascii="Calibri" w:hAnsi="Calibri" w:cs="Calibri"/>
          <w:b/>
          <w:bCs/>
          <w:sz w:val="20"/>
          <w:szCs w:val="20"/>
          <w:lang w:val="en-GB"/>
        </w:rPr>
        <w:t>)</w:t>
      </w:r>
    </w:p>
    <w:p w14:paraId="61E03345" w14:textId="77777777" w:rsidR="001C1FD8" w:rsidRDefault="001C1FD8" w:rsidP="001C1FD8">
      <w:pPr>
        <w:rPr>
          <w:rFonts w:ascii="Calibri" w:hAnsi="Calibri" w:cs="Calibri"/>
          <w:sz w:val="22"/>
          <w:szCs w:val="22"/>
          <w:lang w:val="en-GB"/>
        </w:rPr>
      </w:pPr>
    </w:p>
    <w:p w14:paraId="711BCF6E" w14:textId="77777777" w:rsidR="001C1FD8" w:rsidRPr="004B4F08" w:rsidRDefault="001C1FD8" w:rsidP="001C1FD8">
      <w:pPr>
        <w:rPr>
          <w:rFonts w:ascii="Calibri" w:hAnsi="Calibri" w:cs="Calibri"/>
          <w:b/>
          <w:bCs/>
          <w:sz w:val="22"/>
          <w:szCs w:val="22"/>
          <w:lang w:val="en-GB"/>
        </w:rPr>
      </w:pPr>
      <w:r w:rsidRPr="004B4F08">
        <w:rPr>
          <w:rFonts w:ascii="Calibri" w:hAnsi="Calibri" w:cs="Calibri"/>
          <w:b/>
          <w:bCs/>
          <w:sz w:val="22"/>
          <w:szCs w:val="22"/>
          <w:lang w:val="en-GB"/>
        </w:rPr>
        <w:t xml:space="preserve">2). ‘Picture this: the artist as illustrator’, edited by Sylvia </w:t>
      </w:r>
      <w:proofErr w:type="spellStart"/>
      <w:r w:rsidRPr="004B4F08">
        <w:rPr>
          <w:rFonts w:ascii="Calibri" w:hAnsi="Calibri" w:cs="Calibri"/>
          <w:b/>
          <w:bCs/>
          <w:sz w:val="22"/>
          <w:szCs w:val="22"/>
          <w:lang w:val="en-GB"/>
        </w:rPr>
        <w:t>Backemeyer</w:t>
      </w:r>
      <w:proofErr w:type="spellEnd"/>
      <w:r w:rsidRPr="004B4F08">
        <w:rPr>
          <w:rFonts w:ascii="Calibri" w:hAnsi="Calibri" w:cs="Calibri"/>
          <w:b/>
          <w:bCs/>
          <w:sz w:val="22"/>
          <w:szCs w:val="22"/>
          <w:lang w:val="en-GB"/>
        </w:rPr>
        <w:t xml:space="preserve">, Chapter 9 / Andrew Hall / ‘All change! A personal view of illustration at Central Saint </w:t>
      </w:r>
      <w:proofErr w:type="spellStart"/>
      <w:r w:rsidRPr="004B4F08">
        <w:rPr>
          <w:rFonts w:ascii="Calibri" w:hAnsi="Calibri" w:cs="Calibri"/>
          <w:b/>
          <w:bCs/>
          <w:sz w:val="22"/>
          <w:szCs w:val="22"/>
          <w:lang w:val="en-GB"/>
        </w:rPr>
        <w:t>Martins</w:t>
      </w:r>
      <w:proofErr w:type="spellEnd"/>
      <w:r w:rsidRPr="004B4F08">
        <w:rPr>
          <w:rFonts w:ascii="Calibri" w:hAnsi="Calibri" w:cs="Calibri"/>
          <w:b/>
          <w:bCs/>
          <w:sz w:val="22"/>
          <w:szCs w:val="22"/>
          <w:lang w:val="en-GB"/>
        </w:rPr>
        <w:t xml:space="preserve"> 1980 – 2004”</w:t>
      </w:r>
    </w:p>
    <w:p w14:paraId="52F1A858"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It’s a funny thing, illustration. Honestly it is. One minute it’s for kids, and is all light and pink and fluffy, the next it’s for adults, and it’s all heavy and dark and serious. Not to mention all the areas of corporate greyness in between.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what’s going on? How can this subject of commercial image-making be so broad in its range, and in the light of its wide and varied application, how can a college such as ours teach it effectively and with precision?</w:t>
      </w:r>
    </w:p>
    <w:p w14:paraId="1BD41BB3"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My chapter in this book deals with the history of illustration at Central Saint Martins over the last 24 years. I would like to offer a personal view of this period, without pretending to accurately represent each year in detail, and see how the educational experience that the college has offered, and continues </w:t>
      </w:r>
      <w:r>
        <w:rPr>
          <w:rFonts w:ascii="Calibri" w:hAnsi="Calibri" w:cs="Calibri"/>
          <w:sz w:val="22"/>
          <w:szCs w:val="22"/>
          <w:lang w:val="en-GB"/>
        </w:rPr>
        <w:lastRenderedPageBreak/>
        <w:t xml:space="preserve">to offer, has meshed with the commercial world of visual communication, thereby creating some impressive students along the way. Institutions, as we all know, can be buoyant, dynamic structures, but can also be oppressive, leaden systems that, through lack of change, eventually collapse in on themselves. If Central Saint </w:t>
      </w:r>
      <w:proofErr w:type="spellStart"/>
      <w:r>
        <w:rPr>
          <w:rFonts w:ascii="Calibri" w:hAnsi="Calibri" w:cs="Calibri"/>
          <w:sz w:val="22"/>
          <w:szCs w:val="22"/>
          <w:lang w:val="en-GB"/>
        </w:rPr>
        <w:t>Martins</w:t>
      </w:r>
      <w:proofErr w:type="spellEnd"/>
      <w:r>
        <w:rPr>
          <w:rFonts w:ascii="Calibri" w:hAnsi="Calibri" w:cs="Calibri"/>
          <w:sz w:val="22"/>
          <w:szCs w:val="22"/>
          <w:lang w:val="en-GB"/>
        </w:rPr>
        <w:t xml:space="preserve"> belongs to the former, which it surely does, how exactly has it continued to stay abreast of the market and maintain its lifeblood and relevance? I have a hunch it’s to do with this thing called ‘change’.</w:t>
      </w:r>
    </w:p>
    <w:p w14:paraId="333772CD" w14:textId="77777777" w:rsidR="001C1FD8" w:rsidRDefault="001C1FD8" w:rsidP="001C1FD8">
      <w:pPr>
        <w:rPr>
          <w:rFonts w:ascii="Calibri" w:hAnsi="Calibri" w:cs="Calibri"/>
          <w:sz w:val="22"/>
          <w:szCs w:val="22"/>
          <w:lang w:val="en-GB"/>
        </w:rPr>
      </w:pPr>
      <w:r>
        <w:rPr>
          <w:rFonts w:ascii="Calibri" w:hAnsi="Calibri" w:cs="Calibri"/>
          <w:sz w:val="22"/>
          <w:szCs w:val="22"/>
          <w:lang w:val="en-GB"/>
        </w:rPr>
        <w:t>The uniqueness and character of a college department can be represented by location and environment, as well as by a community of teaching staff and students. The department has its steady rise, its apex, and then, almost imperceptibly, its eventual decline; the departmental philosophy can become unfocused, the teaching systems can remain static and inflexible, whilst the external market transforms itself beyond all recognition. A situation then arises where the creative results of the students can lack relevance. The more rigid the system that is set in place within the institution, and the greater the change outside, the more disastrous the results can be. So, how can an institution such as CSM counteract the phenomenon of threatened stagnation?</w:t>
      </w:r>
    </w:p>
    <w:p w14:paraId="713BF4F7" w14:textId="77777777" w:rsidR="001C1FD8" w:rsidRDefault="001C1FD8" w:rsidP="001C1FD8">
      <w:pPr>
        <w:rPr>
          <w:rFonts w:ascii="Calibri" w:hAnsi="Calibri" w:cs="Calibri"/>
          <w:sz w:val="22"/>
          <w:szCs w:val="22"/>
          <w:lang w:val="en-GB"/>
        </w:rPr>
      </w:pPr>
      <w:r>
        <w:rPr>
          <w:rFonts w:ascii="Calibri" w:hAnsi="Calibri" w:cs="Calibri"/>
          <w:sz w:val="22"/>
          <w:szCs w:val="22"/>
          <w:lang w:val="en-GB"/>
        </w:rPr>
        <w:t>It seems that every so often an agent of change, be it a person or a thing, has entered through the illustration department doors, and has swept away the old order. At first this process may seem destructive, a process that by its very nature re-orders and re-invents without sentiment. But, once change is achieved, a new structure is born from the wreckage, with new ways of working and thinking, and a renaissance of sorts begins.</w:t>
      </w:r>
    </w:p>
    <w:p w14:paraId="2431A769" w14:textId="77777777" w:rsidR="001C1FD8" w:rsidRPr="000E6349" w:rsidRDefault="001C1FD8" w:rsidP="001C1FD8">
      <w:pPr>
        <w:rPr>
          <w:rFonts w:ascii="Calibri" w:hAnsi="Calibri" w:cs="Calibri"/>
          <w:b/>
          <w:bCs/>
          <w:sz w:val="20"/>
          <w:szCs w:val="20"/>
          <w:lang w:val="en-GB"/>
        </w:rPr>
      </w:pPr>
      <w:r w:rsidRPr="000E6349">
        <w:rPr>
          <w:rFonts w:ascii="Calibri" w:hAnsi="Calibri" w:cs="Calibri"/>
          <w:b/>
          <w:bCs/>
          <w:sz w:val="20"/>
          <w:szCs w:val="20"/>
          <w:lang w:val="en-GB"/>
        </w:rPr>
        <w:t xml:space="preserve">(Image 1: ‘In Defence of Anywhere’ by Aude Van Ryn, </w:t>
      </w:r>
      <w:proofErr w:type="spellStart"/>
      <w:r w:rsidRPr="000E6349">
        <w:rPr>
          <w:rFonts w:ascii="Calibri" w:hAnsi="Calibri" w:cs="Calibri"/>
          <w:b/>
          <w:bCs/>
          <w:sz w:val="20"/>
          <w:szCs w:val="20"/>
          <w:lang w:val="en-GB"/>
        </w:rPr>
        <w:t>Adbusters</w:t>
      </w:r>
      <w:proofErr w:type="spellEnd"/>
      <w:r w:rsidRPr="000E6349">
        <w:rPr>
          <w:rFonts w:ascii="Calibri" w:hAnsi="Calibri" w:cs="Calibri"/>
          <w:b/>
          <w:bCs/>
          <w:sz w:val="20"/>
          <w:szCs w:val="20"/>
          <w:lang w:val="en-GB"/>
        </w:rPr>
        <w:t>, June 2001.)</w:t>
      </w:r>
    </w:p>
    <w:p w14:paraId="1FF02E67"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Often that source of change is not connected with a change of staffing or location, but can be a change foisted upon the department, in particular the accelerated march of technology, and its consequent effects on the commercial market. It can occur that a modern version of the Greek Trojan Horse enters the institution, and then, for better or worse, nothing is ever quite the same again. In the case of graphic design at Central Saint </w:t>
      </w:r>
      <w:proofErr w:type="gramStart"/>
      <w:r>
        <w:rPr>
          <w:rFonts w:ascii="Calibri" w:hAnsi="Calibri" w:cs="Calibri"/>
          <w:sz w:val="22"/>
          <w:szCs w:val="22"/>
          <w:lang w:val="en-GB"/>
        </w:rPr>
        <w:t>Martins</w:t>
      </w:r>
      <w:proofErr w:type="gramEnd"/>
      <w:r>
        <w:rPr>
          <w:rFonts w:ascii="Calibri" w:hAnsi="Calibri" w:cs="Calibri"/>
          <w:sz w:val="22"/>
          <w:szCs w:val="22"/>
          <w:lang w:val="en-GB"/>
        </w:rPr>
        <w:t xml:space="preserve"> it was the arrival of the Apple Mac home computer which entered through the doors of Long Acre in 1986. Packaged in unassuming beige boxes this was to have a profound and inestimable effect </w:t>
      </w:r>
      <w:proofErr w:type="gramStart"/>
      <w:r>
        <w:rPr>
          <w:rFonts w:ascii="Calibri" w:hAnsi="Calibri" w:cs="Calibri"/>
          <w:sz w:val="22"/>
          <w:szCs w:val="22"/>
          <w:lang w:val="en-GB"/>
        </w:rPr>
        <w:t>on the subject of design</w:t>
      </w:r>
      <w:proofErr w:type="gramEnd"/>
      <w:r>
        <w:rPr>
          <w:rFonts w:ascii="Calibri" w:hAnsi="Calibri" w:cs="Calibri"/>
          <w:sz w:val="22"/>
          <w:szCs w:val="22"/>
          <w:lang w:val="en-GB"/>
        </w:rPr>
        <w:t xml:space="preserve"> and illustration that very few, even within the communication industry, could have accurately predicted.</w:t>
      </w:r>
    </w:p>
    <w:p w14:paraId="5C30F54A" w14:textId="77777777" w:rsidR="001C1FD8" w:rsidRDefault="001C1FD8" w:rsidP="001C1FD8">
      <w:pPr>
        <w:rPr>
          <w:rFonts w:ascii="Calibri" w:hAnsi="Calibri" w:cs="Calibri"/>
          <w:sz w:val="22"/>
          <w:szCs w:val="22"/>
          <w:lang w:val="en-GB"/>
        </w:rPr>
      </w:pPr>
      <w:r>
        <w:rPr>
          <w:rFonts w:ascii="Calibri" w:hAnsi="Calibri" w:cs="Calibri"/>
          <w:sz w:val="22"/>
          <w:szCs w:val="22"/>
          <w:lang w:val="en-GB"/>
        </w:rPr>
        <w:t>Though we might wish to pretend otherwise, technology has always ridden shotgun with visual communication. The subject is inherently to do with mass communication, so how could it be otherwise?</w:t>
      </w:r>
    </w:p>
    <w:p w14:paraId="5D3F09D9"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And just as Ruari McLean stated that Gutenberg’s printing press ‘changed the world’ (1), so too, did the Mac. Shortly after its arrival, it proceeded to devastate a thriving and healthy illustration </w:t>
      </w:r>
      <w:proofErr w:type="gramStart"/>
      <w:r>
        <w:rPr>
          <w:rFonts w:ascii="Calibri" w:hAnsi="Calibri" w:cs="Calibri"/>
          <w:sz w:val="22"/>
          <w:szCs w:val="22"/>
          <w:lang w:val="en-GB"/>
        </w:rPr>
        <w:t>industry, and</w:t>
      </w:r>
      <w:proofErr w:type="gramEnd"/>
      <w:r>
        <w:rPr>
          <w:rFonts w:ascii="Calibri" w:hAnsi="Calibri" w:cs="Calibri"/>
          <w:sz w:val="22"/>
          <w:szCs w:val="22"/>
          <w:lang w:val="en-GB"/>
        </w:rPr>
        <w:t xml:space="preserve"> tore apart the relationship between designer and illustrator. As rick Poynor, a leading British illustration and design critic, pointed out, “Illustration’s recent problems can be summarised in a single word: technology” (2). The Mac had the unprecedented power to democratise the production of the image within the communication design industry. Whereas the illustrators had previously wielded exclusive control over their market, they now saw designers in their droves abandoning the hand-authored craft of the illustrator. The designers employed methods that, though perhaps sacrilegious to the illustrator, </w:t>
      </w:r>
      <w:r>
        <w:rPr>
          <w:rFonts w:ascii="Calibri" w:hAnsi="Calibri" w:cs="Calibri"/>
          <w:sz w:val="22"/>
          <w:szCs w:val="22"/>
          <w:lang w:val="en-GB"/>
        </w:rPr>
        <w:lastRenderedPageBreak/>
        <w:t xml:space="preserve">were already familiar to the designer: tracing and collaging type, arranging ‘found’ imagery, cutting and pasting, manipulating photography and blurring its origins. Suddenly the territory of illustration was looking largely irrelevant as manipulated type and photographic imagery took their place. Even the </w:t>
      </w:r>
      <w:r w:rsidRPr="00E368DF">
        <w:rPr>
          <w:rFonts w:ascii="Calibri" w:hAnsi="Calibri" w:cs="Calibri"/>
          <w:i/>
          <w:iCs/>
          <w:sz w:val="22"/>
          <w:szCs w:val="22"/>
          <w:lang w:val="en-GB"/>
        </w:rPr>
        <w:t xml:space="preserve">‘European illustration annual’ </w:t>
      </w:r>
      <w:r>
        <w:rPr>
          <w:rFonts w:ascii="Calibri" w:hAnsi="Calibri" w:cs="Calibri"/>
          <w:sz w:val="22"/>
          <w:szCs w:val="22"/>
          <w:lang w:val="en-GB"/>
        </w:rPr>
        <w:t>of 1992, a showcase and cornerstone of the art of illustration, was visually dominated by the work of its designer, ironically a former CSM student, Jonathan Barnbrook. One could argue, perhaps unfairly, that the illustrators had it coming.</w:t>
      </w:r>
    </w:p>
    <w:p w14:paraId="5669AE3C" w14:textId="77777777" w:rsidR="001C1FD8" w:rsidRDefault="001C1FD8" w:rsidP="001C1FD8">
      <w:pPr>
        <w:rPr>
          <w:rFonts w:ascii="Calibri" w:hAnsi="Calibri" w:cs="Calibri"/>
          <w:sz w:val="22"/>
          <w:szCs w:val="22"/>
          <w:lang w:val="en-GB"/>
        </w:rPr>
      </w:pPr>
      <w:r>
        <w:rPr>
          <w:rFonts w:ascii="Calibri" w:hAnsi="Calibri" w:cs="Calibri"/>
          <w:sz w:val="22"/>
          <w:szCs w:val="22"/>
          <w:lang w:val="en-GB"/>
        </w:rPr>
        <w:t>(Image 2 &amp; 3: ‘New Year’ by Jason Brookes, for Elle January 2004, and ‘Valentine 2004’, for Elle February 2004.</w:t>
      </w:r>
    </w:p>
    <w:p w14:paraId="2F4E1CEC"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During the 1980’s, the illustration industry had enjoyed one of its most successful relationships with the design and advertising </w:t>
      </w:r>
      <w:proofErr w:type="gramStart"/>
      <w:r>
        <w:rPr>
          <w:rFonts w:ascii="Calibri" w:hAnsi="Calibri" w:cs="Calibri"/>
          <w:sz w:val="22"/>
          <w:szCs w:val="22"/>
          <w:lang w:val="en-GB"/>
        </w:rPr>
        <w:t>industries, and</w:t>
      </w:r>
      <w:proofErr w:type="gramEnd"/>
      <w:r>
        <w:rPr>
          <w:rFonts w:ascii="Calibri" w:hAnsi="Calibri" w:cs="Calibri"/>
          <w:sz w:val="22"/>
          <w:szCs w:val="22"/>
          <w:lang w:val="en-GB"/>
        </w:rPr>
        <w:t xml:space="preserve"> had ignored the fact that it might need to keep abreast of change </w:t>
      </w:r>
      <w:proofErr w:type="gramStart"/>
      <w:r>
        <w:rPr>
          <w:rFonts w:ascii="Calibri" w:hAnsi="Calibri" w:cs="Calibri"/>
          <w:sz w:val="22"/>
          <w:szCs w:val="22"/>
          <w:lang w:val="en-GB"/>
        </w:rPr>
        <w:t>in order to</w:t>
      </w:r>
      <w:proofErr w:type="gramEnd"/>
      <w:r>
        <w:rPr>
          <w:rFonts w:ascii="Calibri" w:hAnsi="Calibri" w:cs="Calibri"/>
          <w:sz w:val="22"/>
          <w:szCs w:val="22"/>
          <w:lang w:val="en-GB"/>
        </w:rPr>
        <w:t xml:space="preserve"> maintain its financial foothold within these industries. </w:t>
      </w:r>
      <w:proofErr w:type="gramStart"/>
      <w:r>
        <w:rPr>
          <w:rFonts w:ascii="Calibri" w:hAnsi="Calibri" w:cs="Calibri"/>
          <w:sz w:val="22"/>
          <w:szCs w:val="22"/>
          <w:lang w:val="en-GB"/>
        </w:rPr>
        <w:t>In particular, it</w:t>
      </w:r>
      <w:proofErr w:type="gramEnd"/>
      <w:r>
        <w:rPr>
          <w:rFonts w:ascii="Calibri" w:hAnsi="Calibri" w:cs="Calibri"/>
          <w:sz w:val="22"/>
          <w:szCs w:val="22"/>
          <w:lang w:val="en-GB"/>
        </w:rPr>
        <w:t xml:space="preserve"> largely ignored the newly available computing technology. Consequently, the early nineties were the worst period for freelance illustrators in the last hundred years: many illustration giants of yesterday were now in the commercial bargain bin, or worse still, on the scrapheap. The Mac and its software options swept aside their ownership of the </w:t>
      </w:r>
      <w:proofErr w:type="gramStart"/>
      <w:r>
        <w:rPr>
          <w:rFonts w:ascii="Calibri" w:hAnsi="Calibri" w:cs="Calibri"/>
          <w:sz w:val="22"/>
          <w:szCs w:val="22"/>
          <w:lang w:val="en-GB"/>
        </w:rPr>
        <w:t>industry, and</w:t>
      </w:r>
      <w:proofErr w:type="gramEnd"/>
      <w:r>
        <w:rPr>
          <w:rFonts w:ascii="Calibri" w:hAnsi="Calibri" w:cs="Calibri"/>
          <w:sz w:val="22"/>
          <w:szCs w:val="22"/>
          <w:lang w:val="en-GB"/>
        </w:rPr>
        <w:t xml:space="preserve"> heralded a broad stylistic change that made many </w:t>
      </w:r>
      <w:proofErr w:type="gramStart"/>
      <w:r>
        <w:rPr>
          <w:rFonts w:ascii="Calibri" w:hAnsi="Calibri" w:cs="Calibri"/>
          <w:sz w:val="22"/>
          <w:szCs w:val="22"/>
          <w:lang w:val="en-GB"/>
        </w:rPr>
        <w:t>illustrator’s</w:t>
      </w:r>
      <w:proofErr w:type="gramEnd"/>
      <w:r>
        <w:rPr>
          <w:rFonts w:ascii="Calibri" w:hAnsi="Calibri" w:cs="Calibri"/>
          <w:sz w:val="22"/>
          <w:szCs w:val="22"/>
          <w:lang w:val="en-GB"/>
        </w:rPr>
        <w:t xml:space="preserve"> work look antiquated and folkish, even whimsical; it seemed that what everyone had wanted yesterday, no-one wanted today.</w:t>
      </w:r>
    </w:p>
    <w:p w14:paraId="62B85D81" w14:textId="77777777" w:rsidR="001C1FD8" w:rsidRDefault="001C1FD8" w:rsidP="001C1FD8">
      <w:pPr>
        <w:rPr>
          <w:rFonts w:ascii="Calibri" w:hAnsi="Calibri" w:cs="Calibri"/>
          <w:sz w:val="22"/>
          <w:szCs w:val="22"/>
          <w:lang w:val="en-GB"/>
        </w:rPr>
      </w:pPr>
      <w:r>
        <w:rPr>
          <w:rFonts w:ascii="Calibri" w:hAnsi="Calibri" w:cs="Calibri"/>
          <w:sz w:val="22"/>
          <w:szCs w:val="22"/>
          <w:lang w:val="en-GB"/>
        </w:rPr>
        <w:t xml:space="preserve">And what could be done about all this? Would the subject of illustration even survive? In the article for </w:t>
      </w:r>
      <w:r w:rsidRPr="0048562A">
        <w:rPr>
          <w:rFonts w:ascii="Calibri" w:hAnsi="Calibri" w:cs="Calibri"/>
          <w:i/>
          <w:iCs/>
          <w:sz w:val="22"/>
          <w:szCs w:val="22"/>
          <w:lang w:val="en-GB"/>
        </w:rPr>
        <w:t>Frieze</w:t>
      </w:r>
      <w:r>
        <w:rPr>
          <w:rFonts w:ascii="Calibri" w:hAnsi="Calibri" w:cs="Calibri"/>
          <w:i/>
          <w:iCs/>
          <w:sz w:val="22"/>
          <w:szCs w:val="22"/>
          <w:lang w:val="en-GB"/>
        </w:rPr>
        <w:t xml:space="preserve"> </w:t>
      </w:r>
      <w:r>
        <w:rPr>
          <w:rFonts w:ascii="Calibri" w:hAnsi="Calibri" w:cs="Calibri"/>
          <w:sz w:val="22"/>
          <w:szCs w:val="22"/>
          <w:lang w:val="en-GB"/>
        </w:rPr>
        <w:t>magazine, Rick Poynor wrote:</w:t>
      </w:r>
    </w:p>
    <w:p w14:paraId="55E7FA8C" w14:textId="77777777" w:rsidR="001C1FD8" w:rsidRPr="004B4F08" w:rsidRDefault="001C1FD8" w:rsidP="001C1FD8">
      <w:pPr>
        <w:rPr>
          <w:rFonts w:ascii="Calibri" w:hAnsi="Calibri" w:cs="Calibri"/>
          <w:sz w:val="20"/>
          <w:szCs w:val="20"/>
          <w:lang w:val="en-GB"/>
        </w:rPr>
      </w:pPr>
      <w:r w:rsidRPr="004B4F08">
        <w:rPr>
          <w:rFonts w:ascii="Calibri" w:hAnsi="Calibri" w:cs="Calibri"/>
          <w:sz w:val="20"/>
          <w:szCs w:val="20"/>
          <w:lang w:val="en-GB"/>
        </w:rPr>
        <w:t>“Not long ago, one talented British illustrator told me that illustration was in such a perilous state that it would have to die before it could be re-born.” (3)</w:t>
      </w:r>
    </w:p>
    <w:p w14:paraId="3F83C126" w14:textId="77777777" w:rsidR="001C1FD8" w:rsidRPr="0048562A" w:rsidRDefault="001C1FD8" w:rsidP="001C1FD8">
      <w:pPr>
        <w:rPr>
          <w:rFonts w:ascii="Calibri" w:hAnsi="Calibri" w:cs="Calibri"/>
          <w:sz w:val="22"/>
          <w:szCs w:val="22"/>
          <w:lang w:val="en-GB"/>
        </w:rPr>
      </w:pPr>
      <w:r>
        <w:rPr>
          <w:rFonts w:ascii="Calibri" w:hAnsi="Calibri" w:cs="Calibri"/>
          <w:sz w:val="22"/>
          <w:szCs w:val="22"/>
          <w:lang w:val="en-GB"/>
        </w:rPr>
        <w:t xml:space="preserve">It would take perhaps more than a decade to achieve a new footing for illustration within the communication industry, an industry that had chosen to all but abandon it. As the new technology swept in (and as all that pre-dated it was declared irrelevant and backward) a schism occurred between traditional image-making methods and the new, clean, digital technologies. And it was not until the turn of the new century that these two factors were publicly re-united, in the shape of the Pentagram designer Angus Hyland and Roanne Bell’s illustration publication </w:t>
      </w:r>
      <w:r w:rsidRPr="004B4F08">
        <w:rPr>
          <w:rFonts w:ascii="Calibri" w:hAnsi="Calibri" w:cs="Calibri"/>
          <w:i/>
          <w:iCs/>
          <w:sz w:val="22"/>
          <w:szCs w:val="22"/>
          <w:lang w:val="en-GB"/>
        </w:rPr>
        <w:t>‘Hand to eye’</w:t>
      </w:r>
      <w:r>
        <w:rPr>
          <w:rFonts w:ascii="Calibri" w:hAnsi="Calibri" w:cs="Calibri"/>
          <w:sz w:val="22"/>
          <w:szCs w:val="22"/>
          <w:lang w:val="en-GB"/>
        </w:rPr>
        <w:t xml:space="preserve"> (4). So, how did these dramatic commercial and technological changes affect illustration at Central Saint Martins?</w:t>
      </w:r>
    </w:p>
    <w:p w14:paraId="3C95A50C" w14:textId="77F16512" w:rsidR="001C1FD8" w:rsidRPr="00484D61" w:rsidRDefault="001C1FD8" w:rsidP="001C1FD8">
      <w:pPr>
        <w:rPr>
          <w:rFonts w:ascii="Calibri" w:hAnsi="Calibri" w:cs="Calibri"/>
          <w:b/>
          <w:bCs/>
          <w:sz w:val="20"/>
          <w:szCs w:val="20"/>
          <w:lang w:val="en-GB"/>
        </w:rPr>
      </w:pPr>
      <w:r w:rsidRPr="00484D61">
        <w:rPr>
          <w:rFonts w:ascii="Calibri" w:hAnsi="Calibri" w:cs="Calibri"/>
          <w:b/>
          <w:bCs/>
          <w:sz w:val="20"/>
          <w:szCs w:val="20"/>
          <w:lang w:val="en-GB"/>
        </w:rPr>
        <w:t xml:space="preserve">(Additional text can be </w:t>
      </w:r>
      <w:r>
        <w:rPr>
          <w:rFonts w:ascii="Calibri" w:hAnsi="Calibri" w:cs="Calibri"/>
          <w:b/>
          <w:bCs/>
          <w:sz w:val="20"/>
          <w:szCs w:val="20"/>
          <w:lang w:val="en-GB"/>
        </w:rPr>
        <w:t>sourced</w:t>
      </w:r>
      <w:r w:rsidRPr="00484D61">
        <w:rPr>
          <w:rFonts w:ascii="Calibri" w:hAnsi="Calibri" w:cs="Calibri"/>
          <w:b/>
          <w:bCs/>
          <w:sz w:val="20"/>
          <w:szCs w:val="20"/>
          <w:lang w:val="en-GB"/>
        </w:rPr>
        <w:t xml:space="preserve"> by request</w:t>
      </w:r>
      <w:r>
        <w:rPr>
          <w:rFonts w:ascii="Calibri" w:hAnsi="Calibri" w:cs="Calibri"/>
          <w:b/>
          <w:bCs/>
          <w:sz w:val="20"/>
          <w:szCs w:val="20"/>
          <w:lang w:val="en-GB"/>
        </w:rPr>
        <w:t xml:space="preserve"> from the author – a.hall@csm.arts.ac.uk</w:t>
      </w:r>
      <w:r w:rsidRPr="00484D61">
        <w:rPr>
          <w:rFonts w:ascii="Calibri" w:hAnsi="Calibri" w:cs="Calibri"/>
          <w:b/>
          <w:bCs/>
          <w:sz w:val="20"/>
          <w:szCs w:val="20"/>
          <w:lang w:val="en-GB"/>
        </w:rPr>
        <w:t>)</w:t>
      </w:r>
    </w:p>
    <w:p w14:paraId="54872842" w14:textId="77777777" w:rsidR="000A5323" w:rsidRDefault="000A5323"/>
    <w:sectPr w:rsidR="000A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4031"/>
    <w:multiLevelType w:val="hybridMultilevel"/>
    <w:tmpl w:val="3B26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43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D8"/>
    <w:rsid w:val="000A5323"/>
    <w:rsid w:val="001C1FD8"/>
    <w:rsid w:val="00AB0A17"/>
    <w:rsid w:val="00BC0B6D"/>
    <w:rsid w:val="00BF683A"/>
    <w:rsid w:val="00E314FC"/>
    <w:rsid w:val="00FB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C0B2C"/>
  <w15:chartTrackingRefBased/>
  <w15:docId w15:val="{DB7E33F1-E405-854D-8F50-07659B7F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D8"/>
  </w:style>
  <w:style w:type="paragraph" w:styleId="Heading1">
    <w:name w:val="heading 1"/>
    <w:basedOn w:val="Normal"/>
    <w:next w:val="Normal"/>
    <w:link w:val="Heading1Char"/>
    <w:uiPriority w:val="9"/>
    <w:qFormat/>
    <w:rsid w:val="001C1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FD8"/>
    <w:rPr>
      <w:rFonts w:eastAsiaTheme="majorEastAsia" w:cstheme="majorBidi"/>
      <w:color w:val="272727" w:themeColor="text1" w:themeTint="D8"/>
    </w:rPr>
  </w:style>
  <w:style w:type="paragraph" w:styleId="Title">
    <w:name w:val="Title"/>
    <w:basedOn w:val="Normal"/>
    <w:next w:val="Normal"/>
    <w:link w:val="TitleChar"/>
    <w:uiPriority w:val="10"/>
    <w:qFormat/>
    <w:rsid w:val="001C1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FD8"/>
    <w:pPr>
      <w:spacing w:before="160"/>
      <w:jc w:val="center"/>
    </w:pPr>
    <w:rPr>
      <w:i/>
      <w:iCs/>
      <w:color w:val="404040" w:themeColor="text1" w:themeTint="BF"/>
    </w:rPr>
  </w:style>
  <w:style w:type="character" w:customStyle="1" w:styleId="QuoteChar">
    <w:name w:val="Quote Char"/>
    <w:basedOn w:val="DefaultParagraphFont"/>
    <w:link w:val="Quote"/>
    <w:uiPriority w:val="29"/>
    <w:rsid w:val="001C1FD8"/>
    <w:rPr>
      <w:i/>
      <w:iCs/>
      <w:color w:val="404040" w:themeColor="text1" w:themeTint="BF"/>
    </w:rPr>
  </w:style>
  <w:style w:type="paragraph" w:styleId="ListParagraph">
    <w:name w:val="List Paragraph"/>
    <w:basedOn w:val="Normal"/>
    <w:uiPriority w:val="34"/>
    <w:qFormat/>
    <w:rsid w:val="001C1FD8"/>
    <w:pPr>
      <w:ind w:left="720"/>
      <w:contextualSpacing/>
    </w:pPr>
  </w:style>
  <w:style w:type="character" w:styleId="IntenseEmphasis">
    <w:name w:val="Intense Emphasis"/>
    <w:basedOn w:val="DefaultParagraphFont"/>
    <w:uiPriority w:val="21"/>
    <w:qFormat/>
    <w:rsid w:val="001C1FD8"/>
    <w:rPr>
      <w:i/>
      <w:iCs/>
      <w:color w:val="0F4761" w:themeColor="accent1" w:themeShade="BF"/>
    </w:rPr>
  </w:style>
  <w:style w:type="paragraph" w:styleId="IntenseQuote">
    <w:name w:val="Intense Quote"/>
    <w:basedOn w:val="Normal"/>
    <w:next w:val="Normal"/>
    <w:link w:val="IntenseQuoteChar"/>
    <w:uiPriority w:val="30"/>
    <w:qFormat/>
    <w:rsid w:val="001C1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FD8"/>
    <w:rPr>
      <w:i/>
      <w:iCs/>
      <w:color w:val="0F4761" w:themeColor="accent1" w:themeShade="BF"/>
    </w:rPr>
  </w:style>
  <w:style w:type="character" w:styleId="IntenseReference">
    <w:name w:val="Intense Reference"/>
    <w:basedOn w:val="DefaultParagraphFont"/>
    <w:uiPriority w:val="32"/>
    <w:qFormat/>
    <w:rsid w:val="001C1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2378</Words>
  <Characters>13555</Characters>
  <Application>Microsoft Office Word</Application>
  <DocSecurity>0</DocSecurity>
  <Lines>112</Lines>
  <Paragraphs>31</Paragraphs>
  <ScaleCrop>false</ScaleCrop>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dc:creator>
  <cp:keywords/>
  <dc:description/>
  <cp:lastModifiedBy>Andrew Hall</cp:lastModifiedBy>
  <cp:revision>1</cp:revision>
  <dcterms:created xsi:type="dcterms:W3CDTF">2026-04-05T11:16:00Z</dcterms:created>
  <dcterms:modified xsi:type="dcterms:W3CDTF">2026-04-05T11:17:00Z</dcterms:modified>
</cp:coreProperties>
</file>