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7AB6" w14:textId="77777777" w:rsidR="00836DA0" w:rsidRPr="008833B6" w:rsidRDefault="00836DA0" w:rsidP="00836DA0">
      <w:pPr>
        <w:rPr>
          <w:rFonts w:ascii="Helvetica Neue" w:hAnsi="Helvetica Neue" w:cs="Arial"/>
          <w:b/>
          <w:bCs/>
          <w:color w:val="FF0000"/>
          <w:sz w:val="36"/>
          <w:szCs w:val="36"/>
        </w:rPr>
      </w:pPr>
      <w:r w:rsidRPr="008833B6">
        <w:rPr>
          <w:rFonts w:ascii="Helvetica Neue" w:hAnsi="Helvetica Neue" w:cs="Arial"/>
          <w:b/>
          <w:bCs/>
          <w:color w:val="FF0000"/>
          <w:sz w:val="36"/>
          <w:szCs w:val="36"/>
        </w:rPr>
        <w:t>Branded Content Governance Project</w:t>
      </w:r>
    </w:p>
    <w:p w14:paraId="133C4381" w14:textId="77777777" w:rsidR="00836DA0" w:rsidRPr="00FC21F7" w:rsidRDefault="00836DA0" w:rsidP="00836DA0">
      <w:pPr>
        <w:rPr>
          <w:rFonts w:ascii="Helvetica Neue" w:hAnsi="Helvetica Neue" w:cs="Arial"/>
          <w:color w:val="FF0000"/>
        </w:rPr>
      </w:pPr>
    </w:p>
    <w:p w14:paraId="09F665DD" w14:textId="77777777" w:rsidR="00836DA0" w:rsidRPr="008D03DA" w:rsidRDefault="00836DA0" w:rsidP="00836DA0">
      <w:pPr>
        <w:rPr>
          <w:rFonts w:ascii="Helvetica Neue" w:hAnsi="Helvetica Neue" w:cs="Arial"/>
          <w:b/>
          <w:bCs/>
          <w:sz w:val="36"/>
          <w:szCs w:val="36"/>
        </w:rPr>
      </w:pPr>
      <w:r w:rsidRPr="008D03DA">
        <w:rPr>
          <w:rFonts w:ascii="Helvetica Neue" w:hAnsi="Helvetica Neue" w:cs="Arial"/>
          <w:b/>
          <w:bCs/>
          <w:sz w:val="36"/>
          <w:szCs w:val="36"/>
        </w:rPr>
        <w:t>Don’t make advertising the next sewage scandal:</w:t>
      </w:r>
    </w:p>
    <w:p w14:paraId="4CAE7307" w14:textId="77777777" w:rsidR="00836DA0" w:rsidRPr="008D03DA" w:rsidRDefault="00836DA0" w:rsidP="00836DA0">
      <w:pPr>
        <w:rPr>
          <w:rFonts w:ascii="Helvetica Neue" w:hAnsi="Helvetica Neue" w:cs="Arial"/>
          <w:b/>
          <w:bCs/>
          <w:sz w:val="36"/>
          <w:szCs w:val="36"/>
        </w:rPr>
      </w:pPr>
      <w:r w:rsidRPr="008D03DA">
        <w:rPr>
          <w:rFonts w:ascii="Helvetica Neue" w:hAnsi="Helvetica Neue" w:cs="Arial"/>
          <w:b/>
          <w:bCs/>
          <w:sz w:val="36"/>
          <w:szCs w:val="36"/>
        </w:rPr>
        <w:t>accountability and oversight in UK digital advertising regulation</w:t>
      </w:r>
    </w:p>
    <w:p w14:paraId="5B7F9FAB" w14:textId="77777777" w:rsidR="00836DA0" w:rsidRDefault="00836DA0" w:rsidP="00836DA0">
      <w:pPr>
        <w:rPr>
          <w:rFonts w:ascii="Helvetica Neue" w:hAnsi="Helvetica Neue" w:cs="Arial"/>
        </w:rPr>
      </w:pPr>
    </w:p>
    <w:p w14:paraId="4A1D51F1" w14:textId="77777777" w:rsidR="00836DA0" w:rsidRDefault="00836DA0" w:rsidP="00836DA0">
      <w:pPr>
        <w:rPr>
          <w:rFonts w:ascii="Helvetica Neue" w:hAnsi="Helvetica Neue" w:cs="Arial"/>
        </w:rPr>
      </w:pPr>
      <w:r>
        <w:rPr>
          <w:rFonts w:ascii="Helvetica Neue" w:hAnsi="Helvetica Neue" w:cs="Arial"/>
        </w:rPr>
        <w:t>21 February 2024</w:t>
      </w:r>
    </w:p>
    <w:p w14:paraId="61DD56D3" w14:textId="77777777" w:rsidR="00836DA0" w:rsidRPr="00FC21F7" w:rsidRDefault="00836DA0" w:rsidP="00836DA0">
      <w:pPr>
        <w:rPr>
          <w:rFonts w:ascii="Helvetica Neue" w:hAnsi="Helvetica Neue" w:cs="Arial"/>
        </w:rPr>
      </w:pPr>
    </w:p>
    <w:p w14:paraId="0358D969" w14:textId="77777777" w:rsidR="00836DA0" w:rsidRPr="003D4705" w:rsidRDefault="00836DA0" w:rsidP="00836DA0">
      <w:pPr>
        <w:rPr>
          <w:rFonts w:ascii="Helvetica Neue Light" w:hAnsi="Helvetica Neue Light" w:cs="Arial"/>
          <w:sz w:val="22"/>
          <w:szCs w:val="22"/>
        </w:rPr>
      </w:pPr>
      <w:r w:rsidRPr="003D4705">
        <w:rPr>
          <w:rFonts w:ascii="Helvetica Neue Light" w:hAnsi="Helvetica Neue Light" w:cs="Arial"/>
          <w:sz w:val="22"/>
          <w:szCs w:val="22"/>
        </w:rPr>
        <w:t>Jonathan Hardy, Professor of Communications, University of the Arts London</w:t>
      </w:r>
    </w:p>
    <w:p w14:paraId="0299552F" w14:textId="77777777" w:rsidR="00836DA0" w:rsidRPr="003D4705" w:rsidRDefault="00836DA0" w:rsidP="00836DA0">
      <w:pPr>
        <w:pStyle w:val="paragraph"/>
        <w:spacing w:before="0" w:beforeAutospacing="0" w:after="0" w:afterAutospacing="0"/>
        <w:textAlignment w:val="baseline"/>
        <w:rPr>
          <w:rFonts w:ascii="Helvetica Neue Light" w:hAnsi="Helvetica Neue Light" w:cs="Arial"/>
          <w:sz w:val="22"/>
          <w:szCs w:val="22"/>
          <w:lang w:val="en-US"/>
        </w:rPr>
      </w:pPr>
      <w:r w:rsidRPr="003D4705">
        <w:rPr>
          <w:rFonts w:ascii="Helvetica Neue Light" w:hAnsi="Helvetica Neue Light" w:cs="Arial"/>
          <w:sz w:val="22"/>
          <w:szCs w:val="22"/>
        </w:rPr>
        <w:t xml:space="preserve">Principal Investigator, Branded Content Governance Project (ESRC/AHRC </w:t>
      </w:r>
      <w:r w:rsidRPr="003D4705">
        <w:rPr>
          <w:rFonts w:ascii="Helvetica Neue Light" w:eastAsiaTheme="minorEastAsia" w:hAnsi="Helvetica Neue Light" w:cs="Arial"/>
          <w:noProof/>
          <w:color w:val="212121"/>
          <w:sz w:val="22"/>
          <w:szCs w:val="22"/>
        </w:rPr>
        <w:t>ES/W007991/1)</w:t>
      </w:r>
      <w:r w:rsidRPr="003D4705">
        <w:rPr>
          <w:rStyle w:val="apple-converted-space"/>
          <w:rFonts w:ascii="Helvetica Neue Light" w:hAnsi="Helvetica Neue Light" w:cs="Arial"/>
          <w:color w:val="000000"/>
          <w:sz w:val="22"/>
          <w:szCs w:val="22"/>
        </w:rPr>
        <w:t> </w:t>
      </w:r>
      <w:hyperlink r:id="rId6" w:tooltip="https://www.arts.ac.uk/branded-content-governance" w:history="1">
        <w:r w:rsidRPr="003D4705">
          <w:rPr>
            <w:rStyle w:val="Hyperlink"/>
            <w:rFonts w:ascii="Helvetica Neue Light" w:hAnsi="Helvetica Neue Light" w:cs="Arial"/>
            <w:color w:val="0563C1"/>
            <w:sz w:val="22"/>
            <w:szCs w:val="22"/>
          </w:rPr>
          <w:t>arts.ac.uk/branded-content-governance</w:t>
        </w:r>
      </w:hyperlink>
    </w:p>
    <w:p w14:paraId="4F659CDA" w14:textId="77777777" w:rsidR="00836DA0" w:rsidRPr="003D4705" w:rsidRDefault="00836DA0" w:rsidP="00836DA0">
      <w:pPr>
        <w:rPr>
          <w:rFonts w:ascii="Helvetica Neue" w:hAnsi="Helvetica Neue" w:cs="Arial"/>
          <w:sz w:val="22"/>
          <w:szCs w:val="22"/>
        </w:rPr>
      </w:pPr>
    </w:p>
    <w:p w14:paraId="083F3A8E" w14:textId="77777777" w:rsidR="00836DA0" w:rsidRPr="003D4705" w:rsidRDefault="00836DA0" w:rsidP="00836DA0">
      <w:pPr>
        <w:rPr>
          <w:rFonts w:ascii="Helvetica Neue Light" w:hAnsi="Helvetica Neue Light" w:cs="Arial"/>
          <w:sz w:val="22"/>
          <w:szCs w:val="22"/>
        </w:rPr>
      </w:pPr>
      <w:r w:rsidRPr="003D4705">
        <w:rPr>
          <w:rFonts w:ascii="Helvetica Neue Light" w:hAnsi="Helvetica Neue Light" w:cs="Arial"/>
          <w:sz w:val="22"/>
          <w:szCs w:val="22"/>
        </w:rPr>
        <w:t xml:space="preserve">This commentary on the UK Online Advertising Programme consultation follows from the </w:t>
      </w:r>
      <w:hyperlink r:id="rId7" w:history="1">
        <w:r w:rsidRPr="003D4705">
          <w:rPr>
            <w:rStyle w:val="Hyperlink"/>
            <w:rFonts w:ascii="Helvetica Neue Light" w:hAnsi="Helvetica Neue Light" w:cs="Arial"/>
            <w:i/>
            <w:iCs/>
            <w:sz w:val="22"/>
            <w:szCs w:val="22"/>
          </w:rPr>
          <w:t>Online Advertising Regulation Policy Briefing</w:t>
        </w:r>
      </w:hyperlink>
      <w:r w:rsidRPr="003D4705">
        <w:rPr>
          <w:rFonts w:ascii="Helvetica Neue Light" w:hAnsi="Helvetica Neue Light" w:cs="Arial"/>
          <w:sz w:val="22"/>
          <w:szCs w:val="22"/>
        </w:rPr>
        <w:t xml:space="preserve"> produced and published the Branded Content Governance (BCG) Project in June 2023. A longer report version is available via </w:t>
      </w:r>
      <w:hyperlink r:id="rId8" w:history="1">
        <w:r w:rsidRPr="003D4705">
          <w:rPr>
            <w:rStyle w:val="Hyperlink"/>
            <w:rFonts w:ascii="Helvetica Neue Light" w:hAnsi="Helvetica Neue Light" w:cs="Arial"/>
            <w:sz w:val="22"/>
            <w:szCs w:val="22"/>
          </w:rPr>
          <w:t>BCGProject@arts.ac.uk</w:t>
        </w:r>
      </w:hyperlink>
      <w:r w:rsidRPr="003D4705">
        <w:rPr>
          <w:rFonts w:ascii="Helvetica Neue Light" w:hAnsi="Helvetica Neue Light" w:cs="Arial"/>
          <w:sz w:val="22"/>
          <w:szCs w:val="22"/>
        </w:rPr>
        <w:t>. The views expressed are the author’s own.</w:t>
      </w:r>
    </w:p>
    <w:p w14:paraId="7CB61E84" w14:textId="77777777" w:rsidR="00836DA0" w:rsidRDefault="00836DA0" w:rsidP="00836DA0">
      <w:pPr>
        <w:rPr>
          <w:rFonts w:ascii="Helvetica Neue" w:hAnsi="Helvetica Neue" w:cs="Arial"/>
        </w:rPr>
      </w:pPr>
    </w:p>
    <w:p w14:paraId="71BDB259" w14:textId="77777777" w:rsidR="00836DA0" w:rsidRPr="00FC21F7" w:rsidRDefault="00836DA0" w:rsidP="00836DA0">
      <w:pPr>
        <w:rPr>
          <w:rFonts w:ascii="Helvetica Neue" w:hAnsi="Helvetica Neue" w:cs="Arial"/>
        </w:rPr>
      </w:pPr>
    </w:p>
    <w:p w14:paraId="156FFF0A" w14:textId="77777777" w:rsidR="00836DA0" w:rsidRPr="003D4705" w:rsidRDefault="00836DA0" w:rsidP="00836DA0">
      <w:pPr>
        <w:rPr>
          <w:rFonts w:ascii="Helvetica Neue" w:hAnsi="Helvetica Neue" w:cs="Arial"/>
          <w:sz w:val="22"/>
          <w:szCs w:val="22"/>
        </w:rPr>
      </w:pPr>
      <w:r w:rsidRPr="003D4705">
        <w:rPr>
          <w:rFonts w:ascii="Helvetica Neue" w:hAnsi="Helvetica Neue" w:cs="Arial"/>
          <w:sz w:val="22"/>
          <w:szCs w:val="22"/>
        </w:rPr>
        <w:t xml:space="preserve">Imagine this; a government minister sets up an enquiry into the regulation of advertising. This enquiry asks whether stronger regulation is needed, with greater legal powers beyond the industry self-regulatory system in place. </w:t>
      </w:r>
      <w:proofErr w:type="gramStart"/>
      <w:r w:rsidRPr="003D4705">
        <w:rPr>
          <w:rFonts w:ascii="Helvetica Neue" w:hAnsi="Helvetica Neue" w:cs="Arial"/>
          <w:sz w:val="22"/>
          <w:szCs w:val="22"/>
        </w:rPr>
        <w:t>A majority of</w:t>
      </w:r>
      <w:proofErr w:type="gramEnd"/>
      <w:r w:rsidRPr="003D4705">
        <w:rPr>
          <w:rFonts w:ascii="Helvetica Neue" w:hAnsi="Helvetica Neue" w:cs="Arial"/>
          <w:sz w:val="22"/>
          <w:szCs w:val="22"/>
        </w:rPr>
        <w:t xml:space="preserve"> respondents agree this is needed, while those invested in the existing arrangements object.</w:t>
      </w:r>
      <w:r w:rsidRPr="003D4705">
        <w:rPr>
          <w:rStyle w:val="EndnoteReference"/>
          <w:rFonts w:ascii="Helvetica Neue" w:hAnsi="Helvetica Neue" w:cs="Arial"/>
          <w:sz w:val="22"/>
          <w:szCs w:val="22"/>
        </w:rPr>
        <w:endnoteReference w:id="1"/>
      </w:r>
      <w:r w:rsidRPr="003D4705">
        <w:rPr>
          <w:rFonts w:ascii="Helvetica Neue" w:hAnsi="Helvetica Neue" w:cs="Arial"/>
          <w:sz w:val="22"/>
          <w:szCs w:val="22"/>
        </w:rPr>
        <w:t xml:space="preserve"> Another minister takes over while the first is on maternity leave. The stand-in now proposes a new approach. The key players in the existing self-regulatory system will be invited to join the minister in a Taskforce. Together they will meet and manage the next steps. The industry actors and arrangements that were placed under wider public scrutiny by one minister are now the ones invited to prepare the fix. The public are offered summary minutes, then an action plan, but no wider role. Meanwhile, the Government does not even publish the responses made to the original consultation, breaching its own best practice rules. Imagine that.</w:t>
      </w:r>
    </w:p>
    <w:p w14:paraId="0497DC1B" w14:textId="77777777" w:rsidR="00836DA0" w:rsidRPr="003D4705" w:rsidRDefault="00836DA0" w:rsidP="00836DA0">
      <w:pPr>
        <w:rPr>
          <w:rFonts w:ascii="Helvetica Neue" w:hAnsi="Helvetica Neue" w:cs="Arial"/>
          <w:sz w:val="22"/>
          <w:szCs w:val="22"/>
        </w:rPr>
      </w:pPr>
    </w:p>
    <w:p w14:paraId="50E3B77F" w14:textId="77777777" w:rsidR="00836DA0" w:rsidRPr="003D4705" w:rsidRDefault="00836DA0" w:rsidP="00836DA0">
      <w:pPr>
        <w:autoSpaceDE w:val="0"/>
        <w:autoSpaceDN w:val="0"/>
        <w:adjustRightInd w:val="0"/>
        <w:rPr>
          <w:rFonts w:ascii="Helvetica Neue" w:hAnsi="Helvetica Neue" w:cs="Arial"/>
          <w:kern w:val="0"/>
          <w:sz w:val="22"/>
          <w:szCs w:val="22"/>
        </w:rPr>
      </w:pPr>
      <w:r w:rsidRPr="003D4705">
        <w:rPr>
          <w:rFonts w:ascii="Helvetica Neue" w:hAnsi="Helvetica Neue" w:cs="Arial"/>
          <w:sz w:val="22"/>
          <w:szCs w:val="22"/>
        </w:rPr>
        <w:t>The Minister of State, Julia Lopez MP, initiated the Online Advertising Programme consultation in March 2022</w:t>
      </w:r>
      <w:r w:rsidRPr="003D4705">
        <w:rPr>
          <w:rStyle w:val="EndnoteReference"/>
          <w:rFonts w:ascii="Helvetica Neue" w:hAnsi="Helvetica Neue" w:cs="Arial"/>
          <w:sz w:val="22"/>
          <w:szCs w:val="22"/>
        </w:rPr>
        <w:endnoteReference w:id="2"/>
      </w:r>
      <w:r w:rsidRPr="003D4705">
        <w:rPr>
          <w:rFonts w:ascii="Helvetica Neue" w:hAnsi="Helvetica Neue" w:cs="Arial"/>
          <w:sz w:val="22"/>
          <w:szCs w:val="22"/>
        </w:rPr>
        <w:t xml:space="preserve">. The consultation asked whether the current system of advertising self-regulation was sufficient or needed strengthening to deal with the massive expansion of advertising in the digital ecosystem, including by those who, to put it charitably, had limited ‘buy in’ to the claimed powers of advertising ‘self-regulation’.  The government invited comments on three options: advertising self-regulation could continue largely as it was, overseen by the Advertising Standards Authority (ASA) but with </w:t>
      </w:r>
      <w:r w:rsidRPr="003D4705">
        <w:rPr>
          <w:rFonts w:ascii="Helvetica Neue" w:hAnsi="Helvetica Neue" w:cs="Arial"/>
          <w:sz w:val="22"/>
          <w:szCs w:val="22"/>
          <w:lang w:val="en-US"/>
        </w:rPr>
        <w:t xml:space="preserve">new requirements for intermediaries, </w:t>
      </w:r>
      <w:proofErr w:type="gramStart"/>
      <w:r w:rsidRPr="003D4705">
        <w:rPr>
          <w:rFonts w:ascii="Helvetica Neue" w:hAnsi="Helvetica Neue" w:cs="Arial"/>
          <w:sz w:val="22"/>
          <w:szCs w:val="22"/>
          <w:lang w:val="en-US"/>
        </w:rPr>
        <w:t>publishers</w:t>
      </w:r>
      <w:proofErr w:type="gramEnd"/>
      <w:r w:rsidRPr="003D4705">
        <w:rPr>
          <w:rFonts w:ascii="Helvetica Neue" w:hAnsi="Helvetica Neue" w:cs="Arial"/>
          <w:sz w:val="22"/>
          <w:szCs w:val="22"/>
          <w:lang w:val="en-US"/>
        </w:rPr>
        <w:t xml:space="preserve"> and platforms</w:t>
      </w:r>
      <w:r w:rsidRPr="003D4705">
        <w:rPr>
          <w:rFonts w:ascii="Helvetica Neue" w:hAnsi="Helvetica Neue" w:cs="Arial"/>
          <w:sz w:val="22"/>
          <w:szCs w:val="22"/>
        </w:rPr>
        <w:t>; self-regulation could be underpinned by strengthened statutory regulation; or option 3, a statutory regulatory system could be established. Option 3</w:t>
      </w:r>
      <w:r w:rsidRPr="003D4705">
        <w:rPr>
          <w:rStyle w:val="apple-converted-space"/>
          <w:rFonts w:ascii="Helvetica Neue" w:hAnsi="Helvetica Neue" w:cs="Arial"/>
          <w:color w:val="212121"/>
          <w:sz w:val="22"/>
          <w:szCs w:val="22"/>
        </w:rPr>
        <w:t> </w:t>
      </w:r>
      <w:r w:rsidRPr="003D4705">
        <w:rPr>
          <w:rFonts w:ascii="Helvetica Neue" w:hAnsi="Helvetica Neue" w:cs="Arial"/>
          <w:color w:val="212121"/>
          <w:sz w:val="22"/>
          <w:szCs w:val="22"/>
        </w:rPr>
        <w:t xml:space="preserve">was the most favoured option by those the Government identified as being “concerned with illegal harms and protecting vulnerable groups”, with </w:t>
      </w:r>
      <w:r w:rsidRPr="003D4705">
        <w:rPr>
          <w:rFonts w:ascii="Helvetica Neue" w:hAnsi="Helvetica Neue" w:cs="Arial"/>
          <w:kern w:val="0"/>
          <w:sz w:val="22"/>
          <w:szCs w:val="22"/>
        </w:rPr>
        <w:t>industry self-regulation being the least supported, “with the exception of advertisers”</w:t>
      </w:r>
      <w:r w:rsidRPr="003D4705">
        <w:rPr>
          <w:rStyle w:val="EndnoteReference"/>
          <w:rFonts w:ascii="Helvetica Neue" w:hAnsi="Helvetica Neue" w:cs="Arial"/>
          <w:kern w:val="0"/>
          <w:sz w:val="22"/>
          <w:szCs w:val="22"/>
        </w:rPr>
        <w:endnoteReference w:id="3"/>
      </w:r>
      <w:r w:rsidRPr="003D4705">
        <w:rPr>
          <w:rFonts w:ascii="Helvetica Neue" w:hAnsi="Helvetica Neue" w:cs="Arial"/>
          <w:kern w:val="0"/>
          <w:sz w:val="22"/>
          <w:szCs w:val="22"/>
        </w:rPr>
        <w:t xml:space="preserve">. </w:t>
      </w:r>
    </w:p>
    <w:p w14:paraId="4B036C1C" w14:textId="77777777" w:rsidR="00836DA0" w:rsidRPr="003D4705" w:rsidRDefault="00836DA0" w:rsidP="00836DA0">
      <w:pPr>
        <w:rPr>
          <w:rFonts w:ascii="Helvetica Neue" w:hAnsi="Helvetica Neue" w:cs="Arial"/>
          <w:sz w:val="22"/>
          <w:szCs w:val="22"/>
        </w:rPr>
      </w:pPr>
    </w:p>
    <w:p w14:paraId="5D575A5E" w14:textId="77777777" w:rsidR="00836DA0" w:rsidRPr="003D4705" w:rsidRDefault="00836DA0" w:rsidP="00836DA0">
      <w:pPr>
        <w:rPr>
          <w:rFonts w:ascii="Helvetica Neue" w:hAnsi="Helvetica Neue" w:cs="Arial"/>
          <w:sz w:val="22"/>
          <w:szCs w:val="22"/>
        </w:rPr>
      </w:pPr>
      <w:r w:rsidRPr="003D4705">
        <w:rPr>
          <w:rFonts w:ascii="Helvetica Neue" w:hAnsi="Helvetica Neue" w:cs="Arial"/>
          <w:sz w:val="22"/>
          <w:szCs w:val="22"/>
        </w:rPr>
        <w:t xml:space="preserve">A process of asking questions was initiated. Vociferous supporters of the existing system demanded that the debate be </w:t>
      </w:r>
      <w:proofErr w:type="gramStart"/>
      <w:r w:rsidRPr="003D4705">
        <w:rPr>
          <w:rFonts w:ascii="Helvetica Neue" w:hAnsi="Helvetica Neue" w:cs="Arial"/>
          <w:sz w:val="22"/>
          <w:szCs w:val="22"/>
        </w:rPr>
        <w:t>closed down</w:t>
      </w:r>
      <w:proofErr w:type="gramEnd"/>
      <w:r w:rsidRPr="003D4705">
        <w:rPr>
          <w:rFonts w:ascii="Helvetica Neue" w:hAnsi="Helvetica Neue" w:cs="Arial"/>
          <w:sz w:val="22"/>
          <w:szCs w:val="22"/>
        </w:rPr>
        <w:t>. Option 3, a statutory regulator, should be ruled out, removed from discussion altogether, argued the Internet Advertising Bureau, among other members of the self-regulatory system. This was a call for ‘regulatory space’ to be shrunk, placing the statutory option beyond the sphere of ‘legitimate controversy’</w:t>
      </w:r>
      <w:r w:rsidRPr="003D4705">
        <w:rPr>
          <w:rStyle w:val="EndnoteReference"/>
          <w:rFonts w:ascii="Helvetica Neue" w:hAnsi="Helvetica Neue" w:cs="Arial"/>
          <w:sz w:val="22"/>
          <w:szCs w:val="22"/>
        </w:rPr>
        <w:endnoteReference w:id="4"/>
      </w:r>
      <w:r w:rsidRPr="003D4705">
        <w:rPr>
          <w:rFonts w:ascii="Helvetica Neue" w:hAnsi="Helvetica Neue" w:cs="Arial"/>
          <w:sz w:val="22"/>
          <w:szCs w:val="22"/>
        </w:rPr>
        <w:t xml:space="preserve">. The </w:t>
      </w:r>
      <w:r w:rsidRPr="003D4705">
        <w:rPr>
          <w:rFonts w:ascii="Helvetica Neue" w:hAnsi="Helvetica Neue" w:cs="Arial"/>
          <w:sz w:val="22"/>
          <w:szCs w:val="22"/>
        </w:rPr>
        <w:lastRenderedPageBreak/>
        <w:t>regulatory system is to serve the public, not the industry alone. Yet, read the cries of horror that a statutory fix should even be contemplated and that public-spirited masks slips to reveal more naked self-interest.</w:t>
      </w:r>
    </w:p>
    <w:p w14:paraId="7B32AD13" w14:textId="77777777" w:rsidR="00836DA0" w:rsidRPr="003D4705" w:rsidRDefault="00836DA0" w:rsidP="00836DA0">
      <w:pPr>
        <w:rPr>
          <w:rFonts w:ascii="Helvetica Neue" w:hAnsi="Helvetica Neue" w:cs="Arial"/>
          <w:sz w:val="22"/>
          <w:szCs w:val="22"/>
        </w:rPr>
      </w:pPr>
    </w:p>
    <w:p w14:paraId="6226A571" w14:textId="77777777" w:rsidR="00836DA0" w:rsidRPr="003D4705" w:rsidRDefault="00836DA0" w:rsidP="00836DA0">
      <w:pPr>
        <w:rPr>
          <w:rFonts w:ascii="Helvetica Neue" w:hAnsi="Helvetica Neue" w:cs="Arial"/>
          <w:sz w:val="22"/>
          <w:szCs w:val="22"/>
        </w:rPr>
      </w:pPr>
      <w:r w:rsidRPr="003D4705">
        <w:rPr>
          <w:rFonts w:ascii="Helvetica Neue" w:hAnsi="Helvetica Neue" w:cs="Arial"/>
          <w:sz w:val="22"/>
          <w:szCs w:val="22"/>
        </w:rPr>
        <w:t xml:space="preserve">The Government’s response to its consultation has been led by John </w:t>
      </w:r>
      <w:proofErr w:type="spellStart"/>
      <w:r w:rsidRPr="003D4705">
        <w:rPr>
          <w:rFonts w:ascii="Helvetica Neue" w:hAnsi="Helvetica Neue" w:cs="Arial"/>
          <w:sz w:val="22"/>
          <w:szCs w:val="22"/>
        </w:rPr>
        <w:t>Whittingdale</w:t>
      </w:r>
      <w:proofErr w:type="spellEnd"/>
      <w:r w:rsidRPr="003D4705">
        <w:rPr>
          <w:rFonts w:ascii="Helvetica Neue" w:hAnsi="Helvetica Neue" w:cs="Arial"/>
          <w:sz w:val="22"/>
          <w:szCs w:val="22"/>
        </w:rPr>
        <w:t xml:space="preserve"> MP who took over responsibility from Julia Lopez MP while she was on maternity leave. First, the Government has indicated there will be future legislation. Second, the minister established a Taskforce, “bringing together industry and government to build the evidence base and drive forward non-legislative action”</w:t>
      </w:r>
      <w:r w:rsidRPr="003D4705">
        <w:rPr>
          <w:rStyle w:val="EndnoteReference"/>
          <w:rFonts w:ascii="Helvetica Neue" w:hAnsi="Helvetica Neue" w:cs="Arial"/>
          <w:sz w:val="22"/>
          <w:szCs w:val="22"/>
        </w:rPr>
        <w:endnoteReference w:id="5"/>
      </w:r>
      <w:r w:rsidRPr="003D4705">
        <w:rPr>
          <w:rFonts w:ascii="Helvetica Neue" w:hAnsi="Helvetica Neue" w:cs="Arial"/>
          <w:sz w:val="22"/>
          <w:szCs w:val="22"/>
        </w:rPr>
        <w:t xml:space="preserve">. However, a third key move was to delimit the scope for action for both legislative and non-legislative paths. What is defined as ‘in scope’ are first, illegal online advertising, and second, protecting under-18s from adverts for products that are illegal to be sold to them. These are vitally important areas, but the Government has ignored the responses from a wealth of children’s, </w:t>
      </w:r>
      <w:proofErr w:type="gramStart"/>
      <w:r w:rsidRPr="003D4705">
        <w:rPr>
          <w:rFonts w:ascii="Helvetica Neue" w:hAnsi="Helvetica Neue" w:cs="Arial"/>
          <w:sz w:val="22"/>
          <w:szCs w:val="22"/>
        </w:rPr>
        <w:t>health</w:t>
      </w:r>
      <w:proofErr w:type="gramEnd"/>
      <w:r w:rsidRPr="003D4705">
        <w:rPr>
          <w:rFonts w:ascii="Helvetica Neue" w:hAnsi="Helvetica Neue" w:cs="Arial"/>
          <w:sz w:val="22"/>
          <w:szCs w:val="22"/>
        </w:rPr>
        <w:t xml:space="preserve"> and other civil society voices to focus entirely on the illegal actions of ‘rogue’ advertisers and not on the need to create better rules and enforcement across the ‘legitimate’ industry that the original consultation considered. </w:t>
      </w:r>
    </w:p>
    <w:p w14:paraId="7FA5BD7C" w14:textId="77777777" w:rsidR="00836DA0" w:rsidRPr="003D4705" w:rsidRDefault="00836DA0" w:rsidP="00836DA0">
      <w:pPr>
        <w:rPr>
          <w:rFonts w:ascii="Helvetica Neue" w:hAnsi="Helvetica Neue" w:cs="Arial"/>
          <w:sz w:val="22"/>
          <w:szCs w:val="22"/>
        </w:rPr>
      </w:pPr>
    </w:p>
    <w:p w14:paraId="14632B4C" w14:textId="77777777" w:rsidR="00836DA0" w:rsidRPr="003D4705" w:rsidRDefault="00836DA0" w:rsidP="00836DA0">
      <w:pPr>
        <w:rPr>
          <w:rFonts w:ascii="Helvetica Neue" w:hAnsi="Helvetica Neue" w:cs="Arial"/>
          <w:sz w:val="22"/>
          <w:szCs w:val="22"/>
        </w:rPr>
      </w:pPr>
      <w:r w:rsidRPr="003D4705">
        <w:rPr>
          <w:rFonts w:ascii="Helvetica Neue" w:hAnsi="Helvetica Neue" w:cs="Arial"/>
          <w:sz w:val="22"/>
          <w:szCs w:val="22"/>
        </w:rPr>
        <w:t>The Taskforce comprises 14 people, whose non-governmental appointees are all members of the same self-regulatory system that was placed under scrutiny in the original consultation, except for two members, both from industry-led organisations (</w:t>
      </w:r>
      <w:proofErr w:type="spellStart"/>
      <w:r w:rsidRPr="003D4705">
        <w:rPr>
          <w:rFonts w:ascii="Helvetica Neue" w:hAnsi="Helvetica Neue" w:cs="Arial"/>
          <w:sz w:val="22"/>
          <w:szCs w:val="22"/>
        </w:rPr>
        <w:t>TechUK</w:t>
      </w:r>
      <w:proofErr w:type="spellEnd"/>
      <w:r w:rsidRPr="003D4705">
        <w:rPr>
          <w:rFonts w:ascii="Helvetica Neue" w:hAnsi="Helvetica Neue" w:cs="Arial"/>
          <w:sz w:val="22"/>
          <w:szCs w:val="22"/>
        </w:rPr>
        <w:t xml:space="preserve"> and Stop Scams UK). The Taskforce is chaired by the Minister, while the deputy chair is a key member of the self-regulatory system: </w:t>
      </w:r>
      <w:r w:rsidRPr="003D4705">
        <w:rPr>
          <w:rFonts w:ascii="Helvetica Neue" w:hAnsi="Helvetica Neue" w:cs="Arial"/>
          <w:kern w:val="0"/>
          <w:sz w:val="22"/>
          <w:szCs w:val="22"/>
        </w:rPr>
        <w:t xml:space="preserve">Mark Lund, Chairman, of the Advertising Standards Board of Finance (ASBOF), the industry group that oversees the financing of the ASA.  </w:t>
      </w:r>
    </w:p>
    <w:p w14:paraId="3B80AFCB" w14:textId="77777777" w:rsidR="00836DA0" w:rsidRPr="003D4705" w:rsidRDefault="00836DA0" w:rsidP="00836DA0">
      <w:pPr>
        <w:rPr>
          <w:rFonts w:ascii="Helvetica Neue" w:hAnsi="Helvetica Neue" w:cs="Arial"/>
          <w:sz w:val="22"/>
          <w:szCs w:val="22"/>
        </w:rPr>
      </w:pPr>
    </w:p>
    <w:p w14:paraId="52E4C687" w14:textId="77777777" w:rsidR="00836DA0" w:rsidRPr="003D4705" w:rsidRDefault="00836DA0" w:rsidP="00836DA0">
      <w:pPr>
        <w:rPr>
          <w:rFonts w:ascii="Helvetica Neue" w:hAnsi="Helvetica Neue" w:cs="Arial"/>
          <w:b/>
          <w:bCs/>
          <w:sz w:val="22"/>
          <w:szCs w:val="22"/>
        </w:rPr>
      </w:pPr>
      <w:r w:rsidRPr="003D4705">
        <w:rPr>
          <w:rFonts w:ascii="Helvetica Neue" w:hAnsi="Helvetica Neue" w:cs="Arial"/>
          <w:b/>
          <w:bCs/>
          <w:sz w:val="22"/>
          <w:szCs w:val="22"/>
        </w:rPr>
        <w:t>Digital advertising is the next sewage scandal</w:t>
      </w:r>
    </w:p>
    <w:p w14:paraId="2DA10355" w14:textId="77777777" w:rsidR="00836DA0" w:rsidRPr="003D4705" w:rsidRDefault="00836DA0" w:rsidP="00836DA0">
      <w:pPr>
        <w:rPr>
          <w:rFonts w:ascii="Helvetica Neue" w:hAnsi="Helvetica Neue" w:cs="Arial"/>
          <w:sz w:val="22"/>
          <w:szCs w:val="22"/>
        </w:rPr>
      </w:pPr>
    </w:p>
    <w:p w14:paraId="1509A900" w14:textId="77777777" w:rsidR="00836DA0" w:rsidRPr="003D4705" w:rsidRDefault="00836DA0" w:rsidP="00836DA0">
      <w:pPr>
        <w:rPr>
          <w:rFonts w:ascii="Helvetica Neue" w:hAnsi="Helvetica Neue" w:cs="Arial"/>
          <w:sz w:val="22"/>
          <w:szCs w:val="22"/>
        </w:rPr>
      </w:pPr>
      <w:r w:rsidRPr="003D4705">
        <w:rPr>
          <w:rFonts w:ascii="Helvetica Neue" w:hAnsi="Helvetica Neue" w:cs="Arial"/>
          <w:sz w:val="22"/>
          <w:szCs w:val="22"/>
        </w:rPr>
        <w:t xml:space="preserve">The dumping of raw sewage in Britain’s rivers and seas exposed a rank regulatory failure. A weak system of regulatory oversight of private businesses, further weakened by funding cuts to monitoring and enforcement, created a permissive culture for massive environmental damage and sustained law breaking. </w:t>
      </w:r>
      <w:r w:rsidRPr="003D4705">
        <w:rPr>
          <w:rFonts w:ascii="Helvetica Neue" w:hAnsi="Helvetica Neue" w:cs="Arial"/>
          <w:i/>
          <w:iCs/>
          <w:sz w:val="22"/>
          <w:szCs w:val="22"/>
        </w:rPr>
        <w:t>The Guardian</w:t>
      </w:r>
      <w:r w:rsidRPr="003D4705">
        <w:rPr>
          <w:rFonts w:ascii="Helvetica Neue" w:hAnsi="Helvetica Neue" w:cs="Arial"/>
          <w:sz w:val="22"/>
          <w:szCs w:val="22"/>
        </w:rPr>
        <w:t xml:space="preserve"> newspaper’s revelations about dinners in a private members club between industry and regulator in 2023, which the latter argued was evidence of it robustly holding the industry to account, divulge an unpleasant seepage of rottenness</w:t>
      </w:r>
      <w:r w:rsidRPr="003D4705">
        <w:rPr>
          <w:rStyle w:val="EndnoteReference"/>
          <w:rFonts w:ascii="Helvetica Neue" w:hAnsi="Helvetica Neue" w:cs="Arial"/>
          <w:sz w:val="22"/>
          <w:szCs w:val="22"/>
        </w:rPr>
        <w:endnoteReference w:id="6"/>
      </w:r>
      <w:r w:rsidRPr="003D4705">
        <w:rPr>
          <w:rFonts w:ascii="Helvetica Neue" w:hAnsi="Helvetica Neue" w:cs="Arial"/>
          <w:sz w:val="22"/>
          <w:szCs w:val="22"/>
        </w:rPr>
        <w:t>.</w:t>
      </w:r>
    </w:p>
    <w:p w14:paraId="2EA525AA" w14:textId="77777777" w:rsidR="00836DA0" w:rsidRPr="003D4705" w:rsidRDefault="00836DA0" w:rsidP="00836DA0">
      <w:pPr>
        <w:rPr>
          <w:rFonts w:ascii="Helvetica Neue" w:hAnsi="Helvetica Neue" w:cs="Arial"/>
          <w:sz w:val="22"/>
          <w:szCs w:val="22"/>
        </w:rPr>
      </w:pPr>
    </w:p>
    <w:p w14:paraId="10A2BB3C" w14:textId="77777777" w:rsidR="00836DA0" w:rsidRPr="003D4705" w:rsidRDefault="00836DA0" w:rsidP="00836DA0">
      <w:pPr>
        <w:rPr>
          <w:rFonts w:ascii="Helvetica Neue" w:hAnsi="Helvetica Neue" w:cs="Arial"/>
          <w:sz w:val="22"/>
          <w:szCs w:val="22"/>
        </w:rPr>
      </w:pPr>
      <w:r w:rsidRPr="003D4705">
        <w:rPr>
          <w:rFonts w:ascii="Helvetica Neue" w:hAnsi="Helvetica Neue" w:cs="Arial"/>
          <w:sz w:val="22"/>
          <w:szCs w:val="22"/>
        </w:rPr>
        <w:t xml:space="preserve">Yet, for advertising, even the legal framework is less defined than the weakened system of water oversight. There is a patchwork of regulators, </w:t>
      </w:r>
      <w:proofErr w:type="gramStart"/>
      <w:r w:rsidRPr="003D4705">
        <w:rPr>
          <w:rFonts w:ascii="Helvetica Neue" w:hAnsi="Helvetica Neue" w:cs="Arial"/>
          <w:sz w:val="22"/>
          <w:szCs w:val="22"/>
        </w:rPr>
        <w:t>rules</w:t>
      </w:r>
      <w:proofErr w:type="gramEnd"/>
      <w:r w:rsidRPr="003D4705">
        <w:rPr>
          <w:rFonts w:ascii="Helvetica Neue" w:hAnsi="Helvetica Neue" w:cs="Arial"/>
          <w:sz w:val="22"/>
          <w:szCs w:val="22"/>
        </w:rPr>
        <w:t xml:space="preserve"> and arrangements. But the main parallel with the water industry, is that advertising risks being exposed as a similar, systemic failure of regulation. Advertising governance is not a well-maintained system of effective oversight but one that allows leaks, ‘</w:t>
      </w:r>
      <w:proofErr w:type="gramStart"/>
      <w:r w:rsidRPr="003D4705">
        <w:rPr>
          <w:rFonts w:ascii="Helvetica Neue" w:hAnsi="Helvetica Neue" w:cs="Arial"/>
          <w:sz w:val="22"/>
          <w:szCs w:val="22"/>
        </w:rPr>
        <w:t>overspills’</w:t>
      </w:r>
      <w:proofErr w:type="gramEnd"/>
      <w:r w:rsidRPr="003D4705">
        <w:rPr>
          <w:rFonts w:ascii="Helvetica Neue" w:hAnsi="Helvetica Neue" w:cs="Arial"/>
          <w:sz w:val="22"/>
          <w:szCs w:val="22"/>
        </w:rPr>
        <w:t xml:space="preserve"> and evasion of rules.  Brand funded content is routinely not adequately labelled to identify it as advertising, whether by social media influencers or news publishers. These are not just the actions of ‘rogue’ marketers but involve major players represented by Taskforce members:  brands, social media platforms, media companies and agencies.</w:t>
      </w:r>
      <w:r w:rsidRPr="003D4705">
        <w:rPr>
          <w:rStyle w:val="EndnoteReference"/>
          <w:rFonts w:ascii="Helvetica Neue" w:hAnsi="Helvetica Neue" w:cs="Arial"/>
          <w:sz w:val="22"/>
          <w:szCs w:val="22"/>
        </w:rPr>
        <w:endnoteReference w:id="7"/>
      </w:r>
      <w:r w:rsidRPr="003D4705">
        <w:rPr>
          <w:rFonts w:ascii="Helvetica Neue" w:hAnsi="Helvetica Neue" w:cs="Arial"/>
          <w:sz w:val="22"/>
          <w:szCs w:val="22"/>
        </w:rPr>
        <w:t xml:space="preserve"> There is mounting public concern, combined with evidence of poor awareness and low confidence in the existing system</w:t>
      </w:r>
      <w:r w:rsidRPr="003D4705">
        <w:rPr>
          <w:rStyle w:val="EndnoteReference"/>
          <w:rFonts w:ascii="Helvetica Neue" w:hAnsi="Helvetica Neue" w:cs="Arial"/>
          <w:sz w:val="22"/>
          <w:szCs w:val="22"/>
        </w:rPr>
        <w:endnoteReference w:id="8"/>
      </w:r>
      <w:r w:rsidRPr="003D4705">
        <w:rPr>
          <w:rFonts w:ascii="Helvetica Neue" w:hAnsi="Helvetica Neue" w:cs="Arial"/>
          <w:sz w:val="22"/>
          <w:szCs w:val="22"/>
        </w:rPr>
        <w:t xml:space="preserve">. This all makes the ‘solution’ put forward by the Minister of dubious long-term benefit for the industry as well as for consumers and citizens. </w:t>
      </w:r>
    </w:p>
    <w:p w14:paraId="4DF5A36B" w14:textId="77777777" w:rsidR="00836DA0" w:rsidRPr="003D4705" w:rsidRDefault="00836DA0" w:rsidP="00836DA0">
      <w:pPr>
        <w:rPr>
          <w:rFonts w:ascii="Helvetica Neue" w:hAnsi="Helvetica Neue" w:cs="Arial"/>
          <w:sz w:val="22"/>
          <w:szCs w:val="22"/>
        </w:rPr>
      </w:pPr>
    </w:p>
    <w:p w14:paraId="638B29AB" w14:textId="77777777" w:rsidR="00836DA0" w:rsidRPr="003D4705" w:rsidRDefault="00836DA0" w:rsidP="00836DA0">
      <w:pPr>
        <w:rPr>
          <w:rFonts w:ascii="Helvetica Neue" w:hAnsi="Helvetica Neue" w:cs="Arial"/>
          <w:sz w:val="22"/>
          <w:szCs w:val="22"/>
        </w:rPr>
      </w:pPr>
      <w:r w:rsidRPr="003D4705">
        <w:rPr>
          <w:rFonts w:ascii="Helvetica Neue" w:hAnsi="Helvetica Neue" w:cs="Arial"/>
          <w:sz w:val="22"/>
          <w:szCs w:val="22"/>
        </w:rPr>
        <w:t xml:space="preserve">The Taskforce takes forward the issues of the original consultation but without the input from interests beyond the advertising industry. A process of </w:t>
      </w:r>
      <w:proofErr w:type="gramStart"/>
      <w:r w:rsidRPr="003D4705">
        <w:rPr>
          <w:rFonts w:ascii="Helvetica Neue" w:hAnsi="Helvetica Neue" w:cs="Arial"/>
          <w:sz w:val="22"/>
          <w:szCs w:val="22"/>
        </w:rPr>
        <w:t>opening up</w:t>
      </w:r>
      <w:proofErr w:type="gramEnd"/>
      <w:r w:rsidRPr="003D4705">
        <w:rPr>
          <w:rFonts w:ascii="Helvetica Neue" w:hAnsi="Helvetica Neue" w:cs="Arial"/>
          <w:sz w:val="22"/>
          <w:szCs w:val="22"/>
        </w:rPr>
        <w:t xml:space="preserve"> important policy issues to wider public scrutiny has been closed down to a managed one, involving the very parties placed under review, and found wanting. The DCMS should publish the responses to the original consultation, and subject the Taskforce action plan, published in November 2023, to the wider public consultation and engagement that this vital policy area needs.</w:t>
      </w:r>
    </w:p>
    <w:p w14:paraId="6BDB045C" w14:textId="77777777" w:rsidR="00B42EF8" w:rsidRDefault="00B42EF8"/>
    <w:sectPr w:rsidR="00B42EF8">
      <w:footerReference w:type="even" r:id="rId9"/>
      <w:footerReference w:type="default" r:id="rId10"/>
      <w:footnotePr>
        <w:pos w:val="beneathTex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F667F" w14:textId="77777777" w:rsidR="00836DA0" w:rsidRDefault="00836DA0" w:rsidP="00836DA0">
      <w:r>
        <w:separator/>
      </w:r>
    </w:p>
  </w:endnote>
  <w:endnote w:type="continuationSeparator" w:id="0">
    <w:p w14:paraId="3EE530EC" w14:textId="77777777" w:rsidR="00836DA0" w:rsidRDefault="00836DA0" w:rsidP="00836DA0">
      <w:r>
        <w:continuationSeparator/>
      </w:r>
    </w:p>
  </w:endnote>
  <w:endnote w:id="1">
    <w:p w14:paraId="6CCA713D" w14:textId="77777777" w:rsidR="00836DA0" w:rsidRPr="007A25BF" w:rsidRDefault="00836DA0" w:rsidP="00836DA0">
      <w:pPr>
        <w:pStyle w:val="EndnoteText"/>
        <w:spacing w:after="80"/>
        <w:rPr>
          <w:sz w:val="18"/>
          <w:szCs w:val="18"/>
        </w:rPr>
      </w:pPr>
      <w:r>
        <w:rPr>
          <w:rStyle w:val="EndnoteReference"/>
        </w:rPr>
        <w:endnoteRef/>
      </w:r>
      <w:r>
        <w:t xml:space="preserve"> </w:t>
      </w:r>
      <w:r w:rsidRPr="007A25BF">
        <w:rPr>
          <w:sz w:val="18"/>
          <w:szCs w:val="18"/>
        </w:rPr>
        <w:t>DCMS (2023) Government response to Online Advertising Programme consultation (25 July).</w:t>
      </w:r>
      <w:r w:rsidRPr="00984808">
        <w:rPr>
          <w:sz w:val="18"/>
          <w:szCs w:val="18"/>
        </w:rPr>
        <w:t xml:space="preserve"> </w:t>
      </w:r>
      <w:hyperlink r:id="rId1" w:history="1">
        <w:r w:rsidRPr="007A25BF">
          <w:rPr>
            <w:rStyle w:val="Hyperlink"/>
            <w:sz w:val="18"/>
            <w:szCs w:val="18"/>
          </w:rPr>
          <w:t>https://www.gov.uk/government/consultations/online-advertising-programme-consultation/outcome/government-response-to-online-advertising-programme-consultation</w:t>
        </w:r>
      </w:hyperlink>
    </w:p>
    <w:p w14:paraId="2D67357C" w14:textId="77777777" w:rsidR="00836DA0" w:rsidRPr="00984808" w:rsidRDefault="00836DA0" w:rsidP="00836DA0">
      <w:pPr>
        <w:spacing w:after="80"/>
        <w:rPr>
          <w:rFonts w:ascii="Calibri" w:eastAsia="Times New Roman" w:hAnsi="Calibri" w:cs="Calibri"/>
          <w:color w:val="000000"/>
          <w:kern w:val="0"/>
          <w:sz w:val="18"/>
          <w:szCs w:val="18"/>
          <w:lang w:eastAsia="en-GB"/>
          <w14:ligatures w14:val="none"/>
        </w:rPr>
      </w:pPr>
      <w:r w:rsidRPr="007A25BF">
        <w:rPr>
          <w:sz w:val="18"/>
          <w:szCs w:val="18"/>
        </w:rPr>
        <w:t>‘</w:t>
      </w:r>
      <w:r w:rsidRPr="007A25BF">
        <w:rPr>
          <w:rFonts w:ascii="Calibri" w:eastAsia="Times New Roman" w:hAnsi="Calibri" w:cs="Calibri"/>
          <w:color w:val="000000"/>
          <w:kern w:val="0"/>
          <w:sz w:val="18"/>
          <w:szCs w:val="18"/>
          <w:lang w:eastAsia="en-GB"/>
          <w14:ligatures w14:val="none"/>
        </w:rPr>
        <w:t xml:space="preserve">Across the four questions, between 25% and 33% of respondents supported full statutory regulation across the supply chain over industry self-regulation or backstopped </w:t>
      </w:r>
      <w:proofErr w:type="gramStart"/>
      <w:r w:rsidRPr="007A25BF">
        <w:rPr>
          <w:rFonts w:ascii="Calibri" w:eastAsia="Times New Roman" w:hAnsi="Calibri" w:cs="Calibri"/>
          <w:color w:val="000000"/>
          <w:kern w:val="0"/>
          <w:sz w:val="18"/>
          <w:szCs w:val="18"/>
          <w:lang w:eastAsia="en-GB"/>
          <w14:ligatures w14:val="none"/>
        </w:rPr>
        <w:t>regulation</w:t>
      </w:r>
      <w:r>
        <w:rPr>
          <w:rFonts w:ascii="Calibri" w:eastAsia="Times New Roman" w:hAnsi="Calibri" w:cs="Calibri"/>
          <w:color w:val="000000"/>
          <w:kern w:val="0"/>
          <w:sz w:val="18"/>
          <w:szCs w:val="18"/>
          <w:lang w:eastAsia="en-GB"/>
          <w14:ligatures w14:val="none"/>
        </w:rPr>
        <w:t>[</w:t>
      </w:r>
      <w:proofErr w:type="gramEnd"/>
      <w:r>
        <w:rPr>
          <w:rFonts w:ascii="Calibri" w:eastAsia="Times New Roman" w:hAnsi="Calibri" w:cs="Calibri"/>
          <w:color w:val="000000"/>
          <w:kern w:val="0"/>
          <w:sz w:val="18"/>
          <w:szCs w:val="18"/>
          <w:lang w:eastAsia="en-GB"/>
          <w14:ligatures w14:val="none"/>
        </w:rPr>
        <w:t>…]</w:t>
      </w:r>
      <w:r w:rsidRPr="007A25BF">
        <w:rPr>
          <w:rFonts w:ascii="Calibri" w:eastAsia="Times New Roman" w:hAnsi="Calibri" w:cs="Calibri"/>
          <w:color w:val="000000"/>
          <w:kern w:val="0"/>
          <w:sz w:val="18"/>
          <w:szCs w:val="18"/>
          <w:lang w:eastAsia="en-GB"/>
          <w14:ligatures w14:val="none"/>
        </w:rPr>
        <w:t xml:space="preserve">. The ASA raised significant concerns about full statutory regulation, given the effect it would have on their viability and the self-regulatory framework more broadly. Industry self-regulation was least supported for all actors </w:t>
      </w:r>
      <w:proofErr w:type="gramStart"/>
      <w:r w:rsidRPr="007A25BF">
        <w:rPr>
          <w:rFonts w:ascii="Calibri" w:eastAsia="Times New Roman" w:hAnsi="Calibri" w:cs="Calibri"/>
          <w:color w:val="000000"/>
          <w:kern w:val="0"/>
          <w:sz w:val="18"/>
          <w:szCs w:val="18"/>
          <w:lang w:eastAsia="en-GB"/>
          <w14:ligatures w14:val="none"/>
        </w:rPr>
        <w:t>with the exception of</w:t>
      </w:r>
      <w:proofErr w:type="gramEnd"/>
      <w:r w:rsidRPr="007A25BF">
        <w:rPr>
          <w:rFonts w:ascii="Calibri" w:eastAsia="Times New Roman" w:hAnsi="Calibri" w:cs="Calibri"/>
          <w:color w:val="000000"/>
          <w:kern w:val="0"/>
          <w:sz w:val="18"/>
          <w:szCs w:val="18"/>
          <w:lang w:eastAsia="en-GB"/>
          <w14:ligatures w14:val="none"/>
        </w:rPr>
        <w:t xml:space="preserve"> advertisers, where it was second highest. For all other groups, backstopped regulation was the second most supported choice, with an average of 19% of respondents supporting this</w:t>
      </w:r>
      <w:r>
        <w:rPr>
          <w:rFonts w:ascii="Calibri" w:eastAsia="Times New Roman" w:hAnsi="Calibri" w:cs="Calibri"/>
          <w:color w:val="000000"/>
          <w:kern w:val="0"/>
          <w:sz w:val="18"/>
          <w:szCs w:val="18"/>
          <w:lang w:eastAsia="en-GB"/>
          <w14:ligatures w14:val="none"/>
        </w:rPr>
        <w:t xml:space="preserve"> option…’</w:t>
      </w:r>
    </w:p>
  </w:endnote>
  <w:endnote w:id="2">
    <w:p w14:paraId="6B7BA77E" w14:textId="77777777" w:rsidR="00836DA0" w:rsidRPr="005706A2" w:rsidRDefault="00836DA0" w:rsidP="00836DA0">
      <w:pPr>
        <w:pStyle w:val="EndnoteText"/>
        <w:spacing w:after="80"/>
        <w:rPr>
          <w:rFonts w:cstheme="minorHAnsi"/>
          <w:sz w:val="18"/>
          <w:szCs w:val="18"/>
        </w:rPr>
      </w:pPr>
      <w:r>
        <w:rPr>
          <w:rStyle w:val="EndnoteReference"/>
        </w:rPr>
        <w:endnoteRef/>
      </w:r>
      <w:r>
        <w:t xml:space="preserve"> </w:t>
      </w:r>
      <w:r w:rsidRPr="005706A2">
        <w:rPr>
          <w:rStyle w:val="A16"/>
          <w:rFonts w:cstheme="minorHAnsi"/>
          <w:sz w:val="18"/>
          <w:szCs w:val="18"/>
        </w:rPr>
        <w:t xml:space="preserve">DCMS (2022) </w:t>
      </w:r>
      <w:r w:rsidRPr="005706A2">
        <w:rPr>
          <w:rStyle w:val="A16"/>
          <w:rFonts w:cstheme="minorHAnsi"/>
          <w:i/>
          <w:iCs/>
          <w:sz w:val="18"/>
          <w:szCs w:val="18"/>
        </w:rPr>
        <w:t>Online Advertising Programme Consultation</w:t>
      </w:r>
      <w:r w:rsidRPr="005706A2">
        <w:rPr>
          <w:rStyle w:val="A16"/>
          <w:rFonts w:cstheme="minorHAnsi"/>
          <w:sz w:val="18"/>
          <w:szCs w:val="18"/>
        </w:rPr>
        <w:t xml:space="preserve">. London: Department for Digital, Culture, Media &amp; Sport. </w:t>
      </w:r>
      <w:r w:rsidRPr="005706A2">
        <w:rPr>
          <w:rStyle w:val="A16"/>
          <w:rFonts w:cstheme="minorHAnsi"/>
          <w:color w:val="1E4DDC"/>
          <w:sz w:val="18"/>
          <w:szCs w:val="18"/>
        </w:rPr>
        <w:t>https://www.gov.uk/ government/consultations/online-advertising-programme-consultation/ online-advertising-programme-consultation</w:t>
      </w:r>
    </w:p>
  </w:endnote>
  <w:endnote w:id="3">
    <w:p w14:paraId="01D577A0" w14:textId="77777777" w:rsidR="00836DA0" w:rsidRPr="00461388" w:rsidRDefault="00836DA0" w:rsidP="00836DA0">
      <w:pPr>
        <w:pStyle w:val="EndnoteText"/>
        <w:spacing w:after="80"/>
        <w:rPr>
          <w:sz w:val="18"/>
          <w:szCs w:val="18"/>
        </w:rPr>
      </w:pPr>
      <w:r>
        <w:rPr>
          <w:rStyle w:val="EndnoteReference"/>
        </w:rPr>
        <w:endnoteRef/>
      </w:r>
      <w:r>
        <w:t xml:space="preserve"> </w:t>
      </w:r>
      <w:r w:rsidRPr="007A25BF">
        <w:rPr>
          <w:sz w:val="18"/>
          <w:szCs w:val="18"/>
        </w:rPr>
        <w:t>DCMS (2023) Government response to Online Advertising Programme consultation (25 July).</w:t>
      </w:r>
    </w:p>
  </w:endnote>
  <w:endnote w:id="4">
    <w:p w14:paraId="755AE97F" w14:textId="77777777" w:rsidR="00836DA0" w:rsidRPr="0068445B" w:rsidRDefault="00836DA0" w:rsidP="00836DA0">
      <w:pPr>
        <w:pStyle w:val="EndnoteText"/>
        <w:spacing w:after="80"/>
        <w:rPr>
          <w:rFonts w:cstheme="minorHAnsi"/>
          <w:sz w:val="18"/>
          <w:szCs w:val="18"/>
        </w:rPr>
      </w:pPr>
      <w:r>
        <w:rPr>
          <w:rStyle w:val="EndnoteReference"/>
        </w:rPr>
        <w:endnoteRef/>
      </w:r>
      <w:r>
        <w:t xml:space="preserve"> </w:t>
      </w:r>
      <w:proofErr w:type="spellStart"/>
      <w:r w:rsidRPr="00E2117E">
        <w:rPr>
          <w:rStyle w:val="A16"/>
          <w:rFonts w:cstheme="minorHAnsi"/>
          <w:sz w:val="18"/>
          <w:szCs w:val="18"/>
        </w:rPr>
        <w:t>Hancher</w:t>
      </w:r>
      <w:proofErr w:type="spellEnd"/>
      <w:r w:rsidRPr="00E2117E">
        <w:rPr>
          <w:rStyle w:val="A16"/>
          <w:rFonts w:cstheme="minorHAnsi"/>
          <w:sz w:val="18"/>
          <w:szCs w:val="18"/>
        </w:rPr>
        <w:t xml:space="preserve">, L., and Moran, M. (1989) ‘Organising Regulatory Space’ in L. </w:t>
      </w:r>
      <w:proofErr w:type="spellStart"/>
      <w:r w:rsidRPr="00E2117E">
        <w:rPr>
          <w:rStyle w:val="A16"/>
          <w:rFonts w:cstheme="minorHAnsi"/>
          <w:sz w:val="18"/>
          <w:szCs w:val="18"/>
        </w:rPr>
        <w:t>Hancher</w:t>
      </w:r>
      <w:proofErr w:type="spellEnd"/>
      <w:r w:rsidRPr="00E2117E">
        <w:rPr>
          <w:rStyle w:val="A16"/>
          <w:rFonts w:cstheme="minorHAnsi"/>
          <w:sz w:val="18"/>
          <w:szCs w:val="18"/>
        </w:rPr>
        <w:t xml:space="preserve"> and M. Moran (eds) </w:t>
      </w:r>
      <w:r w:rsidRPr="00E2117E">
        <w:rPr>
          <w:rStyle w:val="A16"/>
          <w:rFonts w:cstheme="minorHAnsi"/>
          <w:i/>
          <w:iCs/>
          <w:sz w:val="18"/>
          <w:szCs w:val="18"/>
        </w:rPr>
        <w:t>Capitalism, Culture and Economic Regulation</w:t>
      </w:r>
      <w:r w:rsidRPr="00E2117E">
        <w:rPr>
          <w:rStyle w:val="A16"/>
          <w:rFonts w:cstheme="minorHAnsi"/>
          <w:sz w:val="18"/>
          <w:szCs w:val="18"/>
        </w:rPr>
        <w:t xml:space="preserve">, Oxford: Clarendon.pp271-299; </w:t>
      </w:r>
      <w:proofErr w:type="spellStart"/>
      <w:r w:rsidRPr="00E2117E">
        <w:rPr>
          <w:rFonts w:cstheme="minorHAnsi"/>
          <w:color w:val="000000"/>
          <w:kern w:val="0"/>
          <w:sz w:val="18"/>
          <w:szCs w:val="18"/>
        </w:rPr>
        <w:t>Hallin</w:t>
      </w:r>
      <w:proofErr w:type="spellEnd"/>
      <w:r w:rsidRPr="00E2117E">
        <w:rPr>
          <w:rFonts w:cstheme="minorHAnsi"/>
          <w:color w:val="000000"/>
          <w:kern w:val="0"/>
          <w:sz w:val="18"/>
          <w:szCs w:val="18"/>
        </w:rPr>
        <w:t xml:space="preserve">, D. (1986) </w:t>
      </w:r>
      <w:r w:rsidRPr="00E2117E">
        <w:rPr>
          <w:rFonts w:cstheme="minorHAnsi"/>
          <w:i/>
          <w:iCs/>
          <w:color w:val="000000"/>
          <w:kern w:val="0"/>
          <w:sz w:val="18"/>
          <w:szCs w:val="18"/>
        </w:rPr>
        <w:t xml:space="preserve">The Uncensored War: </w:t>
      </w:r>
      <w:proofErr w:type="gramStart"/>
      <w:r w:rsidRPr="00E2117E">
        <w:rPr>
          <w:rFonts w:cstheme="minorHAnsi"/>
          <w:i/>
          <w:iCs/>
          <w:color w:val="000000"/>
          <w:kern w:val="0"/>
          <w:sz w:val="18"/>
          <w:szCs w:val="18"/>
        </w:rPr>
        <w:t>the</w:t>
      </w:r>
      <w:proofErr w:type="gramEnd"/>
      <w:r w:rsidRPr="00E2117E">
        <w:rPr>
          <w:rFonts w:cstheme="minorHAnsi"/>
          <w:i/>
          <w:iCs/>
          <w:color w:val="000000"/>
          <w:kern w:val="0"/>
          <w:sz w:val="18"/>
          <w:szCs w:val="18"/>
        </w:rPr>
        <w:t xml:space="preserve"> Media and Vietnam</w:t>
      </w:r>
      <w:r w:rsidRPr="00E2117E">
        <w:rPr>
          <w:rFonts w:cstheme="minorHAnsi"/>
          <w:color w:val="000000"/>
          <w:kern w:val="0"/>
          <w:sz w:val="18"/>
          <w:szCs w:val="18"/>
        </w:rPr>
        <w:t>, Berkeley and Los Angeles: University of California Press.</w:t>
      </w:r>
    </w:p>
  </w:endnote>
  <w:endnote w:id="5">
    <w:p w14:paraId="3BBCAC11" w14:textId="77777777" w:rsidR="00836DA0" w:rsidRPr="00170A84" w:rsidRDefault="00836DA0" w:rsidP="00836DA0">
      <w:pPr>
        <w:pStyle w:val="Heading1"/>
        <w:spacing w:before="0" w:beforeAutospacing="0" w:after="80" w:afterAutospacing="0"/>
        <w:rPr>
          <w:rFonts w:asciiTheme="minorHAnsi" w:hAnsiTheme="minorHAnsi" w:cstheme="minorHAnsi"/>
          <w:b w:val="0"/>
          <w:bCs w:val="0"/>
          <w:sz w:val="18"/>
          <w:szCs w:val="18"/>
        </w:rPr>
      </w:pPr>
      <w:r w:rsidRPr="0068445B">
        <w:rPr>
          <w:rStyle w:val="EndnoteReference"/>
          <w:rFonts w:asciiTheme="minorHAnsi" w:hAnsiTheme="minorHAnsi" w:cstheme="minorHAnsi"/>
          <w:b w:val="0"/>
          <w:bCs w:val="0"/>
          <w:sz w:val="18"/>
          <w:szCs w:val="18"/>
        </w:rPr>
        <w:endnoteRef/>
      </w:r>
      <w:r w:rsidRPr="0068445B">
        <w:rPr>
          <w:rFonts w:asciiTheme="minorHAnsi" w:hAnsiTheme="minorHAnsi" w:cstheme="minorHAnsi"/>
          <w:b w:val="0"/>
          <w:bCs w:val="0"/>
          <w:sz w:val="18"/>
          <w:szCs w:val="18"/>
        </w:rPr>
        <w:t xml:space="preserve"> </w:t>
      </w:r>
      <w:r>
        <w:rPr>
          <w:rFonts w:asciiTheme="minorHAnsi" w:hAnsiTheme="minorHAnsi" w:cstheme="minorHAnsi"/>
          <w:b w:val="0"/>
          <w:bCs w:val="0"/>
          <w:sz w:val="18"/>
          <w:szCs w:val="18"/>
        </w:rPr>
        <w:t xml:space="preserve">DCMS (2023) </w:t>
      </w:r>
      <w:r w:rsidRPr="00170A84">
        <w:rPr>
          <w:rFonts w:asciiTheme="minorHAnsi" w:hAnsiTheme="minorHAnsi" w:cstheme="minorHAnsi"/>
          <w:b w:val="0"/>
          <w:bCs w:val="0"/>
          <w:sz w:val="18"/>
          <w:szCs w:val="18"/>
        </w:rPr>
        <w:t>Online Advertising Taskforce action plan</w:t>
      </w:r>
      <w:r>
        <w:rPr>
          <w:rFonts w:asciiTheme="minorHAnsi" w:hAnsiTheme="minorHAnsi" w:cstheme="minorHAnsi"/>
          <w:b w:val="0"/>
          <w:bCs w:val="0"/>
          <w:sz w:val="18"/>
          <w:szCs w:val="18"/>
        </w:rPr>
        <w:t xml:space="preserve">, (30 November). </w:t>
      </w:r>
      <w:hyperlink r:id="rId2" w:history="1">
        <w:r w:rsidRPr="000F6908">
          <w:rPr>
            <w:rStyle w:val="Hyperlink"/>
            <w:rFonts w:asciiTheme="minorHAnsi" w:hAnsiTheme="minorHAnsi" w:cstheme="minorHAnsi"/>
            <w:b w:val="0"/>
            <w:bCs w:val="0"/>
            <w:sz w:val="18"/>
            <w:szCs w:val="18"/>
          </w:rPr>
          <w:t>https://www.gov.uk/government/publications/online-advertising-taskforce-action-plan</w:t>
        </w:r>
      </w:hyperlink>
      <w:r>
        <w:rPr>
          <w:rFonts w:asciiTheme="minorHAnsi" w:hAnsiTheme="minorHAnsi" w:cstheme="minorHAnsi"/>
          <w:b w:val="0"/>
          <w:bCs w:val="0"/>
          <w:sz w:val="18"/>
          <w:szCs w:val="18"/>
        </w:rPr>
        <w:t xml:space="preserve"> </w:t>
      </w:r>
    </w:p>
  </w:endnote>
  <w:endnote w:id="6">
    <w:p w14:paraId="5021ED8E" w14:textId="77777777" w:rsidR="00836DA0" w:rsidRPr="00F9789F" w:rsidRDefault="00836DA0" w:rsidP="00836DA0">
      <w:pPr>
        <w:pStyle w:val="EndnoteText"/>
        <w:spacing w:after="80"/>
        <w:rPr>
          <w:rFonts w:cstheme="minorHAnsi"/>
          <w:color w:val="000000" w:themeColor="text1"/>
        </w:rPr>
      </w:pPr>
      <w:r>
        <w:rPr>
          <w:rStyle w:val="EndnoteReference"/>
        </w:rPr>
        <w:endnoteRef/>
      </w:r>
      <w:r>
        <w:t xml:space="preserve"> </w:t>
      </w:r>
      <w:r w:rsidRPr="00E2117E">
        <w:rPr>
          <w:sz w:val="18"/>
          <w:szCs w:val="18"/>
        </w:rPr>
        <w:t>Horton, H</w:t>
      </w:r>
      <w:r>
        <w:rPr>
          <w:sz w:val="18"/>
          <w:szCs w:val="18"/>
        </w:rPr>
        <w:t>.</w:t>
      </w:r>
      <w:r w:rsidRPr="00E2117E">
        <w:rPr>
          <w:sz w:val="18"/>
          <w:szCs w:val="18"/>
        </w:rPr>
        <w:t xml:space="preserve"> (2024) ‘Revealed: watchdogs and water bosses had dinner at private London club to discuss future’, The Guardian (1 February). https://www.theguardian.com/environment/2024/feb/01/watchdogs-and-water-bosses-had-dinner-at-private-london-club-to-discuss-future</w:t>
      </w:r>
    </w:p>
  </w:endnote>
  <w:endnote w:id="7">
    <w:p w14:paraId="40A33136" w14:textId="77777777" w:rsidR="00836DA0" w:rsidRPr="00E57AD4" w:rsidRDefault="00836DA0" w:rsidP="00836DA0">
      <w:pPr>
        <w:pStyle w:val="Heading3"/>
        <w:spacing w:before="0" w:after="80"/>
        <w:rPr>
          <w:rFonts w:asciiTheme="minorHAnsi" w:hAnsiTheme="minorHAnsi" w:cstheme="minorHAnsi"/>
          <w:color w:val="000000" w:themeColor="text1"/>
          <w:sz w:val="18"/>
          <w:szCs w:val="18"/>
        </w:rPr>
      </w:pPr>
      <w:r w:rsidRPr="00F9789F">
        <w:rPr>
          <w:rStyle w:val="EndnoteReference"/>
          <w:rFonts w:asciiTheme="minorHAnsi" w:hAnsiTheme="minorHAnsi" w:cstheme="minorHAnsi"/>
          <w:color w:val="000000" w:themeColor="text1"/>
        </w:rPr>
        <w:endnoteRef/>
      </w:r>
      <w:r w:rsidRPr="00F9789F">
        <w:rPr>
          <w:rFonts w:asciiTheme="minorHAnsi" w:hAnsiTheme="minorHAnsi" w:cstheme="minorHAnsi"/>
          <w:color w:val="000000" w:themeColor="text1"/>
        </w:rPr>
        <w:t xml:space="preserve"> </w:t>
      </w:r>
      <w:r w:rsidRPr="00F9789F">
        <w:rPr>
          <w:rFonts w:asciiTheme="minorHAnsi" w:hAnsiTheme="minorHAnsi" w:cstheme="minorHAnsi"/>
          <w:color w:val="000000" w:themeColor="text1"/>
          <w:sz w:val="18"/>
          <w:szCs w:val="18"/>
        </w:rPr>
        <w:t xml:space="preserve">Branded Content Governance Project (2023) </w:t>
      </w:r>
      <w:r w:rsidRPr="00F9789F">
        <w:rPr>
          <w:rFonts w:asciiTheme="minorHAnsi" w:hAnsiTheme="minorHAnsi" w:cstheme="minorHAnsi"/>
          <w:i/>
          <w:iCs/>
          <w:color w:val="000000" w:themeColor="text1"/>
          <w:sz w:val="18"/>
          <w:szCs w:val="18"/>
        </w:rPr>
        <w:t>Online Advertising Regulation: Policy Briefing</w:t>
      </w:r>
      <w:r w:rsidRPr="00F9789F">
        <w:rPr>
          <w:rFonts w:asciiTheme="minorHAnsi" w:hAnsiTheme="minorHAnsi" w:cstheme="minorHAnsi"/>
          <w:color w:val="000000" w:themeColor="text1"/>
          <w:sz w:val="18"/>
          <w:szCs w:val="18"/>
        </w:rPr>
        <w:t>, London: BCG Project. https://www.arts.ac.uk/colleges/london-college-of-communication/research-at-lcc/branded-content-research-hub/branded-content-governance-project</w:t>
      </w:r>
    </w:p>
  </w:endnote>
  <w:endnote w:id="8">
    <w:p w14:paraId="4FA3A92D" w14:textId="77777777" w:rsidR="00836DA0" w:rsidRPr="001F57C0" w:rsidRDefault="00836DA0" w:rsidP="00836DA0">
      <w:pPr>
        <w:pStyle w:val="Heading1"/>
        <w:spacing w:before="0" w:beforeAutospacing="0" w:after="80" w:afterAutospacing="0"/>
        <w:rPr>
          <w:rFonts w:asciiTheme="minorHAnsi" w:hAnsiTheme="minorHAnsi" w:cstheme="minorHAnsi"/>
          <w:b w:val="0"/>
          <w:bCs w:val="0"/>
          <w:sz w:val="18"/>
          <w:szCs w:val="18"/>
        </w:rPr>
      </w:pPr>
      <w:r w:rsidRPr="001F57C0">
        <w:rPr>
          <w:rStyle w:val="EndnoteReference"/>
          <w:rFonts w:asciiTheme="minorHAnsi" w:hAnsiTheme="minorHAnsi" w:cstheme="minorHAnsi"/>
          <w:sz w:val="18"/>
          <w:szCs w:val="18"/>
        </w:rPr>
        <w:endnoteRef/>
      </w:r>
      <w:r w:rsidRPr="001F57C0">
        <w:rPr>
          <w:rFonts w:asciiTheme="minorHAnsi" w:hAnsiTheme="minorHAnsi" w:cstheme="minorHAnsi"/>
          <w:sz w:val="18"/>
          <w:szCs w:val="18"/>
        </w:rPr>
        <w:t xml:space="preserve"> </w:t>
      </w:r>
      <w:r w:rsidRPr="001F57C0">
        <w:rPr>
          <w:rFonts w:asciiTheme="minorHAnsi" w:hAnsiTheme="minorHAnsi" w:cstheme="minorHAnsi"/>
          <w:b w:val="0"/>
          <w:bCs w:val="0"/>
          <w:sz w:val="18"/>
          <w:szCs w:val="18"/>
        </w:rPr>
        <w:t>Jefferson, M. (2021) ‘Why the ASA believes growing its own brand will help restore trust in ads’, Marketing Week (6 October). https://www.marketingweek.com/asa-brand-trust-in-ads/</w:t>
      </w:r>
    </w:p>
    <w:p w14:paraId="549E04E7" w14:textId="77777777" w:rsidR="00836DA0" w:rsidRDefault="00836DA0" w:rsidP="00836DA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4181064"/>
      <w:docPartObj>
        <w:docPartGallery w:val="Page Numbers (Bottom of Page)"/>
        <w:docPartUnique/>
      </w:docPartObj>
    </w:sdtPr>
    <w:sdtEndPr>
      <w:rPr>
        <w:rStyle w:val="PageNumber"/>
      </w:rPr>
    </w:sdtEndPr>
    <w:sdtContent>
      <w:p w14:paraId="4D2EFECA" w14:textId="77777777" w:rsidR="00594EF9" w:rsidRDefault="00836DA0" w:rsidP="000C62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F1624D" w14:textId="77777777" w:rsidR="00594EF9" w:rsidRDefault="00836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6921425"/>
      <w:docPartObj>
        <w:docPartGallery w:val="Page Numbers (Bottom of Page)"/>
        <w:docPartUnique/>
      </w:docPartObj>
    </w:sdtPr>
    <w:sdtEndPr>
      <w:rPr>
        <w:rStyle w:val="PageNumber"/>
      </w:rPr>
    </w:sdtEndPr>
    <w:sdtContent>
      <w:p w14:paraId="2EE4F9E5" w14:textId="77777777" w:rsidR="00594EF9" w:rsidRDefault="00836DA0" w:rsidP="000C62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5385CF" w14:textId="77777777" w:rsidR="00594EF9" w:rsidRDefault="00836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5B568" w14:textId="77777777" w:rsidR="00836DA0" w:rsidRDefault="00836DA0" w:rsidP="00836DA0">
      <w:r>
        <w:separator/>
      </w:r>
    </w:p>
  </w:footnote>
  <w:footnote w:type="continuationSeparator" w:id="0">
    <w:p w14:paraId="56C6739C" w14:textId="77777777" w:rsidR="00836DA0" w:rsidRDefault="00836DA0" w:rsidP="00836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A0"/>
    <w:rsid w:val="000973B0"/>
    <w:rsid w:val="00097C19"/>
    <w:rsid w:val="000E22B5"/>
    <w:rsid w:val="000E2CBF"/>
    <w:rsid w:val="000E539D"/>
    <w:rsid w:val="000F12B4"/>
    <w:rsid w:val="00113979"/>
    <w:rsid w:val="001229A1"/>
    <w:rsid w:val="001A6AB2"/>
    <w:rsid w:val="001D73CE"/>
    <w:rsid w:val="001F4E90"/>
    <w:rsid w:val="00202F18"/>
    <w:rsid w:val="00231E5F"/>
    <w:rsid w:val="00291A9C"/>
    <w:rsid w:val="0039734F"/>
    <w:rsid w:val="003B496C"/>
    <w:rsid w:val="003D13D5"/>
    <w:rsid w:val="004A377B"/>
    <w:rsid w:val="004C7F3E"/>
    <w:rsid w:val="004E5B17"/>
    <w:rsid w:val="005B472A"/>
    <w:rsid w:val="006B367A"/>
    <w:rsid w:val="007F149C"/>
    <w:rsid w:val="008125C1"/>
    <w:rsid w:val="00836DA0"/>
    <w:rsid w:val="008556AE"/>
    <w:rsid w:val="008858D8"/>
    <w:rsid w:val="008F427C"/>
    <w:rsid w:val="00937C4E"/>
    <w:rsid w:val="009D2CCA"/>
    <w:rsid w:val="00A80F55"/>
    <w:rsid w:val="00B42EF8"/>
    <w:rsid w:val="00B43EBC"/>
    <w:rsid w:val="00B72E57"/>
    <w:rsid w:val="00B7559C"/>
    <w:rsid w:val="00BA6A02"/>
    <w:rsid w:val="00BB142F"/>
    <w:rsid w:val="00CC05D3"/>
    <w:rsid w:val="00CF3398"/>
    <w:rsid w:val="00DF12BE"/>
    <w:rsid w:val="00E62722"/>
    <w:rsid w:val="00ED0718"/>
    <w:rsid w:val="00F74857"/>
    <w:rsid w:val="00F96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B6F3D6"/>
  <w15:chartTrackingRefBased/>
  <w15:docId w15:val="{1FB1225D-D03C-0D4B-85FF-5FCD3533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DA0"/>
    <w:rPr>
      <w:kern w:val="2"/>
      <w14:ligatures w14:val="standardContextual"/>
    </w:rPr>
  </w:style>
  <w:style w:type="paragraph" w:styleId="Heading1">
    <w:name w:val="heading 1"/>
    <w:basedOn w:val="Normal"/>
    <w:link w:val="Heading1Char"/>
    <w:uiPriority w:val="9"/>
    <w:qFormat/>
    <w:rsid w:val="00836DA0"/>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3">
    <w:name w:val="heading 3"/>
    <w:basedOn w:val="Normal"/>
    <w:next w:val="Normal"/>
    <w:link w:val="Heading3Char"/>
    <w:uiPriority w:val="9"/>
    <w:unhideWhenUsed/>
    <w:qFormat/>
    <w:rsid w:val="00836DA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A0"/>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836DA0"/>
    <w:rPr>
      <w:rFonts w:asciiTheme="majorHAnsi" w:eastAsiaTheme="majorEastAsia" w:hAnsiTheme="majorHAnsi" w:cstheme="majorBidi"/>
      <w:color w:val="1F3763" w:themeColor="accent1" w:themeShade="7F"/>
      <w:kern w:val="2"/>
      <w14:ligatures w14:val="standardContextual"/>
    </w:rPr>
  </w:style>
  <w:style w:type="paragraph" w:styleId="EndnoteText">
    <w:name w:val="endnote text"/>
    <w:basedOn w:val="Normal"/>
    <w:link w:val="EndnoteTextChar"/>
    <w:uiPriority w:val="99"/>
    <w:semiHidden/>
    <w:unhideWhenUsed/>
    <w:rsid w:val="00836DA0"/>
    <w:rPr>
      <w:sz w:val="20"/>
      <w:szCs w:val="20"/>
    </w:rPr>
  </w:style>
  <w:style w:type="character" w:customStyle="1" w:styleId="EndnoteTextChar">
    <w:name w:val="Endnote Text Char"/>
    <w:basedOn w:val="DefaultParagraphFont"/>
    <w:link w:val="EndnoteText"/>
    <w:uiPriority w:val="99"/>
    <w:semiHidden/>
    <w:rsid w:val="00836DA0"/>
    <w:rPr>
      <w:kern w:val="2"/>
      <w:sz w:val="20"/>
      <w:szCs w:val="20"/>
      <w14:ligatures w14:val="standardContextual"/>
    </w:rPr>
  </w:style>
  <w:style w:type="character" w:styleId="EndnoteReference">
    <w:name w:val="endnote reference"/>
    <w:basedOn w:val="DefaultParagraphFont"/>
    <w:uiPriority w:val="99"/>
    <w:semiHidden/>
    <w:unhideWhenUsed/>
    <w:rsid w:val="00836DA0"/>
    <w:rPr>
      <w:vertAlign w:val="superscript"/>
    </w:rPr>
  </w:style>
  <w:style w:type="character" w:customStyle="1" w:styleId="A16">
    <w:name w:val="A16"/>
    <w:uiPriority w:val="99"/>
    <w:rsid w:val="00836DA0"/>
    <w:rPr>
      <w:rFonts w:cs="Helvetica Neue"/>
      <w:color w:val="000000"/>
      <w:sz w:val="19"/>
      <w:szCs w:val="19"/>
    </w:rPr>
  </w:style>
  <w:style w:type="character" w:styleId="Hyperlink">
    <w:name w:val="Hyperlink"/>
    <w:basedOn w:val="DefaultParagraphFont"/>
    <w:uiPriority w:val="99"/>
    <w:unhideWhenUsed/>
    <w:rsid w:val="00836DA0"/>
    <w:rPr>
      <w:color w:val="0563C1" w:themeColor="hyperlink"/>
      <w:u w:val="single"/>
    </w:rPr>
  </w:style>
  <w:style w:type="character" w:customStyle="1" w:styleId="apple-converted-space">
    <w:name w:val="apple-converted-space"/>
    <w:basedOn w:val="DefaultParagraphFont"/>
    <w:rsid w:val="00836DA0"/>
  </w:style>
  <w:style w:type="paragraph" w:styleId="Footer">
    <w:name w:val="footer"/>
    <w:basedOn w:val="Normal"/>
    <w:link w:val="FooterChar"/>
    <w:uiPriority w:val="99"/>
    <w:unhideWhenUsed/>
    <w:rsid w:val="00836DA0"/>
    <w:pPr>
      <w:tabs>
        <w:tab w:val="center" w:pos="4680"/>
        <w:tab w:val="right" w:pos="9360"/>
      </w:tabs>
    </w:pPr>
  </w:style>
  <w:style w:type="character" w:customStyle="1" w:styleId="FooterChar">
    <w:name w:val="Footer Char"/>
    <w:basedOn w:val="DefaultParagraphFont"/>
    <w:link w:val="Footer"/>
    <w:uiPriority w:val="99"/>
    <w:rsid w:val="00836DA0"/>
    <w:rPr>
      <w:kern w:val="2"/>
      <w14:ligatures w14:val="standardContextual"/>
    </w:rPr>
  </w:style>
  <w:style w:type="paragraph" w:customStyle="1" w:styleId="paragraph">
    <w:name w:val="paragraph"/>
    <w:basedOn w:val="Normal"/>
    <w:rsid w:val="00836DA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83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GProject@arts.ac.uk" TargetMode="External"/><Relationship Id="rId3" Type="http://schemas.openxmlformats.org/officeDocument/2006/relationships/webSettings" Target="webSettings.xml"/><Relationship Id="rId7" Type="http://schemas.openxmlformats.org/officeDocument/2006/relationships/hyperlink" Target="https://figshare.arts.ac.uk/articles/online_resource/Online_Advertising_Regulation_Policy_Briefing_Branded_Content_Governance_Project_June_2023_/25225259/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ts.ac.uk/branded-content-governanc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www.gov.uk/government/publications/online-advertising-taskforce-action-plan" TargetMode="External"/><Relationship Id="rId1" Type="http://schemas.openxmlformats.org/officeDocument/2006/relationships/hyperlink" Target="https://www.gov.uk/government/consultations/online-advertising-programme-consultation/outcome/government-response-to-online-advertising-programme-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Hardy</dc:creator>
  <cp:keywords/>
  <dc:description/>
  <cp:lastModifiedBy>Jonathan Hardy</cp:lastModifiedBy>
  <cp:revision>1</cp:revision>
  <dcterms:created xsi:type="dcterms:W3CDTF">2024-02-21T11:25:00Z</dcterms:created>
  <dcterms:modified xsi:type="dcterms:W3CDTF">2024-02-21T11:26:00Z</dcterms:modified>
</cp:coreProperties>
</file>