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51304"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This chapter reports a three-year action research project involving teachers from 45 Primary Schools in Essex, England. The ‘Creative Writing through the Arts’ programme aimed to enhance children's creative writing skills by engagement with art, dance, drama, film, and music activities. Funded by the Paul Hamlyn Foundation and Royal Opera House Bridge, the project enabled teacher collaboration with professional creative practitioners to implement arts-based learning in their classrooms. They evaluated the project with co-researchers from Anglia Ruskin University. The project inspired children to write with increased enthusiasm, producing work of greater quality. Children worked collaboratively with peers and exchanged feedback on their work. Teachers shared ideas with one another and gained confidence in using the creative arts to broaden the curriculum within their classrooms and the wider schools. Despite challenges including resource constraints and initial self-doubt, the project demonstrates many benefits of arts integration to foster creativity in schools</w:t>
      </w:r>
      <w:r w:rsidRPr="00580AAF">
        <w:rPr>
          <w:rFonts w:ascii="Times New Roman" w:hAnsi="Times New Roman" w:cs="Times New Roman"/>
          <w:b/>
          <w:bCs/>
          <w:color w:val="000000" w:themeColor="text1"/>
          <w:sz w:val="24"/>
          <w:szCs w:val="24"/>
        </w:rPr>
        <w:t xml:space="preserve">. </w:t>
      </w:r>
      <w:r w:rsidRPr="00580AAF">
        <w:rPr>
          <w:rFonts w:ascii="Times New Roman" w:hAnsi="Times New Roman" w:cs="Times New Roman"/>
          <w:color w:val="000000" w:themeColor="text1"/>
          <w:sz w:val="24"/>
          <w:szCs w:val="24"/>
        </w:rPr>
        <w:t xml:space="preserve">The approach taken to teacher action research may be applicable to wider international educational contexts, while the project rationale and key findings should resonate with broader debates on curriculum narrowing and the marginalisation of the </w:t>
      </w:r>
      <w:r w:rsidRPr="00580AAF">
        <w:rPr>
          <w:rFonts w:ascii="Times New Roman" w:eastAsia="Times New Roman" w:hAnsi="Times New Roman" w:cs="Times New Roman"/>
          <w:color w:val="000000" w:themeColor="text1"/>
          <w:sz w:val="24"/>
          <w:szCs w:val="24"/>
        </w:rPr>
        <w:t>arts</w:t>
      </w:r>
      <w:r w:rsidRPr="00580AAF">
        <w:rPr>
          <w:rFonts w:ascii="Times New Roman" w:hAnsi="Times New Roman" w:cs="Times New Roman"/>
          <w:color w:val="000000" w:themeColor="text1"/>
          <w:sz w:val="24"/>
          <w:szCs w:val="24"/>
        </w:rPr>
        <w:t xml:space="preserve">. </w:t>
      </w:r>
    </w:p>
    <w:p w14:paraId="2F9758F2"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b/>
          <w:bCs/>
          <w:color w:val="000000" w:themeColor="text1"/>
          <w:sz w:val="24"/>
          <w:szCs w:val="24"/>
        </w:rPr>
        <w:t xml:space="preserve">Context </w:t>
      </w:r>
      <w:r w:rsidRPr="00580AAF">
        <w:rPr>
          <w:rFonts w:ascii="Times New Roman" w:hAnsi="Times New Roman" w:cs="Times New Roman"/>
          <w:color w:val="000000" w:themeColor="text1"/>
          <w:sz w:val="24"/>
          <w:szCs w:val="24"/>
        </w:rPr>
        <w:t xml:space="preserve"> </w:t>
      </w:r>
    </w:p>
    <w:p w14:paraId="5C3C033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In Primary Schools in England, there is a strong Government mandated emphasis on literacy and mathematics. These are important subjects that provide children with skills for lifelong learning but reading, writing and mathematics can dominate school timetables, leaving limited space for the learning and teaching of arts subjects.  The action research project reported in this chapter was designed to increase opportunities for engagement with creative arts whilst also continuing to support children to make progress with writing. The three-year project was a collaboration between teachers from 45 Primary Schools in England, the Royal Opera House, creative arts practitioners, and academics from Anglia Ruskin University (</w:t>
      </w:r>
      <w:proofErr w:type="spellStart"/>
      <w:r w:rsidRPr="00580AAF">
        <w:rPr>
          <w:rFonts w:ascii="Times New Roman" w:hAnsi="Times New Roman" w:cs="Times New Roman"/>
          <w:color w:val="000000" w:themeColor="text1"/>
          <w:sz w:val="24"/>
          <w:szCs w:val="24"/>
        </w:rPr>
        <w:t>Corderoy</w:t>
      </w:r>
      <w:proofErr w:type="spellEnd"/>
      <w:r w:rsidRPr="00580AAF">
        <w:rPr>
          <w:rFonts w:ascii="Times New Roman" w:hAnsi="Times New Roman" w:cs="Times New Roman"/>
          <w:color w:val="000000" w:themeColor="text1"/>
          <w:sz w:val="24"/>
          <w:szCs w:val="24"/>
        </w:rPr>
        <w:t xml:space="preserve"> and Luff, 2019; Luff et al, 2019). It was partly funded by the Paul Hamlyn </w:t>
      </w:r>
      <w:r w:rsidRPr="00580AAF">
        <w:rPr>
          <w:rFonts w:ascii="Times New Roman" w:hAnsi="Times New Roman" w:cs="Times New Roman"/>
          <w:color w:val="000000" w:themeColor="text1"/>
          <w:sz w:val="24"/>
          <w:szCs w:val="24"/>
        </w:rPr>
        <w:lastRenderedPageBreak/>
        <w:t>Foundation, a large grant-making organisation in the UK with a mission to support social change through funding for arts education projects that can make a difference to children and young people. In this section of the chapter, we explain the background to the project in the context of current educational policy in England, including explanations of Primary Schools (with an introduction to the project schools), the National Curriculum, initial and continuing teacher education, and support for the creative arts.</w:t>
      </w:r>
    </w:p>
    <w:p w14:paraId="05555EBC"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Our Project</w:t>
      </w:r>
    </w:p>
    <w:p w14:paraId="371FF36B"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Creative Writing through the Arts project took place in south Essex, in the east of England, during three academic years, from September 2016 until July 2019. In each year, fifteen schools took part. The project provided teachers with the opportunity to work alongside arts practitioners to develop dance, drama, film, music and visual art activities to use in the classroom to support pupils’ attainment in writing. One art form was chosen each term, and the class teachers all attended an ‘Inspiration Day’ with the creative artist where they participated in practical arts activities and discussed ways of integrating the art form in their lesson planning. The teachers then returned and implemented the ideas with the children in their class, supported by visits from the creative artist and by afterschool group </w:t>
      </w:r>
      <w:proofErr w:type="gramStart"/>
      <w:r w:rsidRPr="00580AAF">
        <w:rPr>
          <w:rFonts w:ascii="Times New Roman" w:hAnsi="Times New Roman" w:cs="Times New Roman"/>
          <w:color w:val="000000" w:themeColor="text1"/>
          <w:sz w:val="24"/>
          <w:szCs w:val="24"/>
        </w:rPr>
        <w:t>sessions  (</w:t>
      </w:r>
      <w:proofErr w:type="gramEnd"/>
      <w:r w:rsidRPr="00580AAF">
        <w:rPr>
          <w:rFonts w:ascii="Times New Roman" w:hAnsi="Times New Roman" w:cs="Times New Roman"/>
          <w:color w:val="000000" w:themeColor="text1"/>
          <w:sz w:val="24"/>
          <w:szCs w:val="24"/>
        </w:rPr>
        <w:t xml:space="preserve">‘twilight workshops’) for peer discussions, sharing and problem solving. The teachers used action research to evaluate the benefits of each art form that they tried for pupils in the class, for themselves as teachers, and for their school. Findings were shared during termly meetings and presented at an end of year celebration. The children involved ranged from four to eleven years old; the teachers included both early-career and more experienced practitioners; and the schools varied in size, with some having a single class of around thirty children per age group and others having three-form entry.   </w:t>
      </w:r>
    </w:p>
    <w:p w14:paraId="5FCA0E49"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Primary Schools and the National Curriculum for England</w:t>
      </w:r>
    </w:p>
    <w:p w14:paraId="6592EC1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Primary Schools in England cater for children aged four to eleven years. Table One summarises the three stages of primary schooling in England, showing the curriculum and assessments that apply for each age group. In each year of the project there was one Reception Class represented. The other classes that took part in the project were spread through Key Stage One and Key Stage Two with all year groups represented in the project.</w:t>
      </w:r>
    </w:p>
    <w:p w14:paraId="507946CA" w14:textId="77777777" w:rsidR="00580AAF" w:rsidRPr="00580AAF" w:rsidRDefault="00580AAF" w:rsidP="00580AAF">
      <w:pPr>
        <w:spacing w:line="480" w:lineRule="auto"/>
        <w:rPr>
          <w:rFonts w:ascii="Times New Roman" w:hAnsi="Times New Roman" w:cs="Times New Roman"/>
          <w:i/>
          <w:iCs/>
          <w:color w:val="000000" w:themeColor="text1"/>
          <w:sz w:val="24"/>
          <w:szCs w:val="24"/>
        </w:rPr>
      </w:pPr>
      <w:bookmarkStart w:id="0" w:name="_Hlk216770146"/>
      <w:r w:rsidRPr="00580AAF">
        <w:rPr>
          <w:rFonts w:ascii="Times New Roman" w:hAnsi="Times New Roman" w:cs="Times New Roman"/>
          <w:b/>
          <w:bCs/>
          <w:color w:val="000000" w:themeColor="text1"/>
          <w:sz w:val="24"/>
          <w:szCs w:val="24"/>
        </w:rPr>
        <w:t>Table 1 Callout – INSERT TABLE 1 HERE</w:t>
      </w:r>
      <w:r w:rsidRPr="00580AAF">
        <w:rPr>
          <w:rFonts w:ascii="Times New Roman" w:hAnsi="Times New Roman" w:cs="Times New Roman"/>
          <w:b/>
          <w:bCs/>
          <w:i/>
          <w:iCs/>
          <w:color w:val="000000" w:themeColor="text1"/>
          <w:sz w:val="24"/>
          <w:szCs w:val="24"/>
        </w:rPr>
        <w:t xml:space="preserve"> </w:t>
      </w:r>
      <w:bookmarkEnd w:id="0"/>
      <w:r w:rsidRPr="00580AAF">
        <w:rPr>
          <w:rFonts w:ascii="Times New Roman" w:hAnsi="Times New Roman" w:cs="Times New Roman"/>
          <w:b/>
          <w:bCs/>
          <w:i/>
          <w:iCs/>
          <w:color w:val="000000" w:themeColor="text1"/>
          <w:sz w:val="24"/>
          <w:szCs w:val="24"/>
        </w:rPr>
        <w:t>- Table One - Primary Schools and the National Curriculum for England</w:t>
      </w:r>
    </w:p>
    <w:p w14:paraId="579D91F1"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The Project Schools</w:t>
      </w:r>
    </w:p>
    <w:p w14:paraId="52F4AD3B"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project involved fifteen Primary Schools each year, engaging a total of 45 schools, 45 teachers, and approximately 1,350 children across three years (around 450 children annually in classes of 30). The project was delivered in collaboration with five Teaching School Alliances, which helped provide support and unity within these schools. In the UK, a Teaching School Alliance (TSA) was a group of schools that worked together with a designated teaching School at the centre. Teaching Schools were originally given responsibility by the Department for Education (DfE) to lead on training, professional development, and school-to-school support. </w:t>
      </w:r>
      <w:proofErr w:type="gramStart"/>
      <w:r w:rsidRPr="00580AAF">
        <w:rPr>
          <w:rFonts w:ascii="Times New Roman" w:hAnsi="Times New Roman" w:cs="Times New Roman"/>
          <w:color w:val="000000" w:themeColor="text1"/>
          <w:sz w:val="24"/>
          <w:szCs w:val="24"/>
        </w:rPr>
        <w:t>All of</w:t>
      </w:r>
      <w:proofErr w:type="gramEnd"/>
      <w:r w:rsidRPr="00580AAF">
        <w:rPr>
          <w:rFonts w:ascii="Times New Roman" w:hAnsi="Times New Roman" w:cs="Times New Roman"/>
          <w:color w:val="000000" w:themeColor="text1"/>
          <w:sz w:val="24"/>
          <w:szCs w:val="24"/>
        </w:rPr>
        <w:t xml:space="preserve"> the participant schools were based in Essex, a county in the east of England, just outside of London. It has a mix of busy commuter towns, historic market towns, and pretty countryside, along with a long stretch of North Sea coastline. Parts of Essex feel suburban, with many people travelling into London for work, while other parts are very rural with farmland and old villages. </w:t>
      </w:r>
    </w:p>
    <w:p w14:paraId="0FA692B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schools represented a broad cross-section of Essex communities, ranging from suburban commuter towns on the edge of London, to coastal settlements along the Thames Estuary and the North Sea, to smaller rural villages and market towns and market towns in the county’s interior. In suburban areas such as Rayleigh, Wickford, Billericay and South Woodham </w:t>
      </w:r>
      <w:r w:rsidRPr="00580AAF">
        <w:rPr>
          <w:rFonts w:ascii="Times New Roman" w:hAnsi="Times New Roman" w:cs="Times New Roman"/>
          <w:color w:val="000000" w:themeColor="text1"/>
          <w:sz w:val="24"/>
          <w:szCs w:val="24"/>
        </w:rPr>
        <w:lastRenderedPageBreak/>
        <w:t xml:space="preserve">Ferrers, schools typically served residential communities, with many family members commuting daily into London. By contrast, schools situated in coastal and estuary towns, such as Southend-on-Sea, Tilbury and </w:t>
      </w:r>
      <w:proofErr w:type="spellStart"/>
      <w:r w:rsidRPr="00580AAF">
        <w:rPr>
          <w:rFonts w:ascii="Times New Roman" w:hAnsi="Times New Roman" w:cs="Times New Roman"/>
          <w:color w:val="000000" w:themeColor="text1"/>
          <w:sz w:val="24"/>
          <w:szCs w:val="24"/>
        </w:rPr>
        <w:t>Grays</w:t>
      </w:r>
      <w:proofErr w:type="spellEnd"/>
      <w:r w:rsidRPr="00580AAF">
        <w:rPr>
          <w:rFonts w:ascii="Times New Roman" w:hAnsi="Times New Roman" w:cs="Times New Roman"/>
          <w:color w:val="000000" w:themeColor="text1"/>
          <w:sz w:val="24"/>
          <w:szCs w:val="24"/>
        </w:rPr>
        <w:t xml:space="preserve">, reflected a more urban character, with higher population density, greater ethnic diversity, and wider contrasts in levels of deprivation and affluence. The coastal schools </w:t>
      </w:r>
      <w:proofErr w:type="gramStart"/>
      <w:r w:rsidRPr="00580AAF">
        <w:rPr>
          <w:rFonts w:ascii="Times New Roman" w:hAnsi="Times New Roman" w:cs="Times New Roman"/>
          <w:color w:val="000000" w:themeColor="text1"/>
          <w:sz w:val="24"/>
          <w:szCs w:val="24"/>
        </w:rPr>
        <w:t>in particular were</w:t>
      </w:r>
      <w:proofErr w:type="gramEnd"/>
      <w:r w:rsidRPr="00580AAF">
        <w:rPr>
          <w:rFonts w:ascii="Times New Roman" w:hAnsi="Times New Roman" w:cs="Times New Roman"/>
          <w:color w:val="000000" w:themeColor="text1"/>
          <w:sz w:val="24"/>
          <w:szCs w:val="24"/>
        </w:rPr>
        <w:t xml:space="preserve"> marked by a sense of transience, with families moving in and out of the area, linked to employment in service industries, tourism and localised industries along the Thames Gateway.</w:t>
      </w:r>
    </w:p>
    <w:p w14:paraId="0458427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inclusion of smaller rural schools, such as those in </w:t>
      </w:r>
      <w:proofErr w:type="spellStart"/>
      <w:r w:rsidRPr="00580AAF">
        <w:rPr>
          <w:rFonts w:ascii="Times New Roman" w:hAnsi="Times New Roman" w:cs="Times New Roman"/>
          <w:color w:val="000000" w:themeColor="text1"/>
          <w:sz w:val="24"/>
          <w:szCs w:val="24"/>
        </w:rPr>
        <w:t>Stambridge</w:t>
      </w:r>
      <w:proofErr w:type="spellEnd"/>
      <w:r w:rsidRPr="00580AAF">
        <w:rPr>
          <w:rFonts w:ascii="Times New Roman" w:hAnsi="Times New Roman" w:cs="Times New Roman"/>
          <w:color w:val="000000" w:themeColor="text1"/>
          <w:sz w:val="24"/>
          <w:szCs w:val="24"/>
        </w:rPr>
        <w:t xml:space="preserve"> and Horndon-on-the-Hill introduced yet another dimension. These settings were characterised by strong village identities, close-knit school communities, and in some cases mixed-age classes. They brought with them a tradition of strong community involvement and the </w:t>
      </w:r>
      <w:proofErr w:type="gramStart"/>
      <w:r w:rsidRPr="00580AAF">
        <w:rPr>
          <w:rFonts w:ascii="Times New Roman" w:hAnsi="Times New Roman" w:cs="Times New Roman"/>
          <w:color w:val="000000" w:themeColor="text1"/>
          <w:sz w:val="24"/>
          <w:szCs w:val="24"/>
        </w:rPr>
        <w:t>particular challenges</w:t>
      </w:r>
      <w:proofErr w:type="gramEnd"/>
      <w:r w:rsidRPr="00580AAF">
        <w:rPr>
          <w:rFonts w:ascii="Times New Roman" w:hAnsi="Times New Roman" w:cs="Times New Roman"/>
          <w:color w:val="000000" w:themeColor="text1"/>
          <w:sz w:val="24"/>
          <w:szCs w:val="24"/>
        </w:rPr>
        <w:t xml:space="preserve"> of serving more isolated areas. Another village school, in Crays Hill, is unique in serving the local Traveller community; meeting the needs of a disadvantaged group of children and families who often face prejudice from the local settled community (Cawley, 2017). Taken together, the schools involved in the projects offered a rich tapestry of educational contexts. The project therefore drew on children’s creative writing across settings shaped by varied histories, demographics and geographies, allowing for an exploration of how arts, culture and creativity are lived out differently within the contrasting communities of Essex.</w:t>
      </w:r>
    </w:p>
    <w:p w14:paraId="48FB897B"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Teacher Education in England</w:t>
      </w:r>
    </w:p>
    <w:p w14:paraId="74D605E1"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teachers in these Primary Schools all have Qualified Teacher Status, achieved through successful initial teacher training via either a three- or four-year undergraduate course or a one-year postgraduate certificate. These courses include a </w:t>
      </w:r>
      <w:proofErr w:type="gramStart"/>
      <w:r w:rsidRPr="00580AAF">
        <w:rPr>
          <w:rFonts w:ascii="Times New Roman" w:hAnsi="Times New Roman" w:cs="Times New Roman"/>
          <w:color w:val="000000" w:themeColor="text1"/>
          <w:sz w:val="24"/>
          <w:szCs w:val="24"/>
        </w:rPr>
        <w:t>Government</w:t>
      </w:r>
      <w:proofErr w:type="gramEnd"/>
      <w:r w:rsidRPr="00580AAF">
        <w:rPr>
          <w:rFonts w:ascii="Times New Roman" w:hAnsi="Times New Roman" w:cs="Times New Roman"/>
          <w:color w:val="000000" w:themeColor="text1"/>
          <w:sz w:val="24"/>
          <w:szCs w:val="24"/>
        </w:rPr>
        <w:t xml:space="preserve"> specified ‘core content framework’ that focuses on five areas: behaviour management; pedagogy; curriculum and subject knowledge; assessment; and professional behaviours (DfE, 2019a). To qualify as </w:t>
      </w:r>
      <w:r w:rsidRPr="00580AAF">
        <w:rPr>
          <w:rFonts w:ascii="Times New Roman" w:hAnsi="Times New Roman" w:cs="Times New Roman"/>
          <w:color w:val="000000" w:themeColor="text1"/>
          <w:sz w:val="24"/>
          <w:szCs w:val="24"/>
        </w:rPr>
        <w:lastRenderedPageBreak/>
        <w:t xml:space="preserve">a teacher, trainees must demonstrate evidence of meeting the ‘Teachers’ Standards’ (DfE, 2021) that outline key expectations for classroom practice and professional conduct. All the teachers who participated in the project had qualified teacher status and had completed at least their first year of teaching. </w:t>
      </w:r>
    </w:p>
    <w:p w14:paraId="51AC6C8B"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Continuing Professional Development (CPD) is a mandatory requirement outlined in the Teachers' Standards, with a focus on topics prioritised by school leaders and designed to develop teaching skills and improve outcomes for pupils (DfE, 2016). Teachers in Primary Schools are expected to teach all curriculum subjects, and their training typically emphasises mastery of the core curriculum, with comparatively less attention given to foundation subjects, including the arts. Some teachers will have limited background in the arts, whereas others may have studied an arts subject as all or part of their bachelor's degree; however, very few possess expertise across all the arts subjects they are expected to teach. For this reason, teacher CPD involving collaboration with professional creative arts practitioners was an important part of this project. </w:t>
      </w:r>
    </w:p>
    <w:p w14:paraId="5ECCE83C"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Support for Creative and Cultural Education</w:t>
      </w:r>
    </w:p>
    <w:p w14:paraId="75F63A8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Creative and cultural education in schools and in the wider community is supported and promoted by Arts Council England, a national development agency. Between April 2012 and March 2023, the Arts Council England and the Department for Education appointed ten regional ‘Bridge’ organisations to link the cultural sector with the education sector. Their main aim was to provide children and young people with access to arts and cultural opportunities, in all localities (Cultural Learning Alliance, 2023). This project was managed by the Royal Opera House Bridge that worked across Essex, Hertfordshire, Bedfordshire and North Kent, all ‘Home Counties’ that border London and are popular places to live for people who commute to work in London. The Royal Opera House Bridge led the project steering </w:t>
      </w:r>
      <w:r w:rsidRPr="00580AAF">
        <w:rPr>
          <w:rFonts w:ascii="Times New Roman" w:hAnsi="Times New Roman" w:cs="Times New Roman"/>
          <w:color w:val="000000" w:themeColor="text1"/>
          <w:sz w:val="24"/>
          <w:szCs w:val="24"/>
        </w:rPr>
        <w:lastRenderedPageBreak/>
        <w:t xml:space="preserve">group, employed the arts professionals who worked with the teachers, and coordinated the project activities. Our role as academics was to lead the teacher action research as a means of evaluating the project.   </w:t>
      </w:r>
    </w:p>
    <w:p w14:paraId="02307376"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project was largely inspired by headteacher, Lyn </w:t>
      </w:r>
      <w:proofErr w:type="spellStart"/>
      <w:r w:rsidRPr="00580AAF">
        <w:rPr>
          <w:rFonts w:ascii="Times New Roman" w:hAnsi="Times New Roman" w:cs="Times New Roman"/>
          <w:color w:val="000000" w:themeColor="text1"/>
          <w:sz w:val="24"/>
          <w:szCs w:val="24"/>
        </w:rPr>
        <w:t>Corderoy</w:t>
      </w:r>
      <w:proofErr w:type="spellEnd"/>
      <w:r w:rsidRPr="00580AAF">
        <w:rPr>
          <w:rFonts w:ascii="Times New Roman" w:hAnsi="Times New Roman" w:cs="Times New Roman"/>
          <w:color w:val="000000" w:themeColor="text1"/>
          <w:sz w:val="24"/>
          <w:szCs w:val="24"/>
        </w:rPr>
        <w:t xml:space="preserve">, a very passionate advocate for the arts and for inspiring children to learn though a thematic, creative curriculum. She created an exciting learning environment in her school with gallery spaces, including an African sculpture garden inspired by the school links with Ghana. She understood very well that the way to encourage other headteachers to join the project was to link the arts content with the imperative to improve pupils’ attainment in writing. </w:t>
      </w:r>
    </w:p>
    <w:p w14:paraId="17CA39A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This pedagogical approach aligns with broader philosophies of arts education. Peter Abbs (1987) advocated for aesthetic education that, like this project, incorporates the six disciplines of arts drama music dance, film and literature. The importance of aesthetic education to introduce new vocabularies from different art forms and to foster imaginative inquiries, and empower learners with new ways of thinking, feeling and understanding is emphasised in the work of Maxine Greene (1995).  Drawing upon these ideas, Eisner (2002) argued the power of the arts to transform human </w:t>
      </w:r>
      <w:proofErr w:type="gramStart"/>
      <w:r w:rsidRPr="00580AAF">
        <w:rPr>
          <w:rFonts w:ascii="Times New Roman" w:hAnsi="Times New Roman" w:cs="Times New Roman"/>
          <w:color w:val="000000" w:themeColor="text1"/>
          <w:sz w:val="24"/>
          <w:szCs w:val="24"/>
        </w:rPr>
        <w:t>consciousness</w:t>
      </w:r>
      <w:proofErr w:type="gramEnd"/>
      <w:r w:rsidRPr="00580AAF">
        <w:rPr>
          <w:rFonts w:ascii="Times New Roman" w:hAnsi="Times New Roman" w:cs="Times New Roman"/>
          <w:color w:val="000000" w:themeColor="text1"/>
          <w:sz w:val="24"/>
          <w:szCs w:val="24"/>
        </w:rPr>
        <w:t xml:space="preserve"> and he listed the ten lessons the arts teach. These reflect the intrinsic benefits of arts education in schools, as a source of pleasure and satisfaction, enriching the lives of children and teachers as they explore and interpret the world and express their ideas and emotions through all sensory modalities. The aims of the project </w:t>
      </w:r>
      <w:proofErr w:type="gramStart"/>
      <w:r w:rsidRPr="00580AAF">
        <w:rPr>
          <w:rFonts w:ascii="Times New Roman" w:hAnsi="Times New Roman" w:cs="Times New Roman"/>
          <w:color w:val="000000" w:themeColor="text1"/>
          <w:sz w:val="24"/>
          <w:szCs w:val="24"/>
        </w:rPr>
        <w:t>was</w:t>
      </w:r>
      <w:proofErr w:type="gramEnd"/>
      <w:r w:rsidRPr="00580AAF">
        <w:rPr>
          <w:rFonts w:ascii="Times New Roman" w:hAnsi="Times New Roman" w:cs="Times New Roman"/>
          <w:color w:val="000000" w:themeColor="text1"/>
          <w:sz w:val="24"/>
          <w:szCs w:val="24"/>
        </w:rPr>
        <w:t xml:space="preserve"> to raise the profile of the arts, to emphasise the importance of these subjects. The title of the project is not intended to imply that other art forms are serving the creative writing process but rather that children are offered opportunities for making and expressing meaning in multiple modalities (</w:t>
      </w:r>
      <w:proofErr w:type="spellStart"/>
      <w:r w:rsidRPr="00580AAF">
        <w:rPr>
          <w:rFonts w:ascii="Times New Roman" w:hAnsi="Times New Roman" w:cs="Times New Roman"/>
          <w:color w:val="000000" w:themeColor="text1"/>
          <w:sz w:val="24"/>
          <w:szCs w:val="24"/>
        </w:rPr>
        <w:t>Bezemer</w:t>
      </w:r>
      <w:proofErr w:type="spellEnd"/>
      <w:r w:rsidRPr="00580AAF">
        <w:rPr>
          <w:rFonts w:ascii="Times New Roman" w:hAnsi="Times New Roman" w:cs="Times New Roman"/>
          <w:color w:val="000000" w:themeColor="text1"/>
          <w:sz w:val="24"/>
          <w:szCs w:val="24"/>
        </w:rPr>
        <w:t xml:space="preserve"> &amp; Kress, 2016).</w:t>
      </w:r>
    </w:p>
    <w:p w14:paraId="44138A7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b/>
          <w:bCs/>
          <w:color w:val="000000" w:themeColor="text1"/>
          <w:sz w:val="24"/>
          <w:szCs w:val="24"/>
        </w:rPr>
        <w:t xml:space="preserve">Action Research Project Design </w:t>
      </w:r>
      <w:r w:rsidRPr="00580AAF">
        <w:rPr>
          <w:rFonts w:ascii="Times New Roman" w:hAnsi="Times New Roman" w:cs="Times New Roman"/>
          <w:color w:val="000000" w:themeColor="text1"/>
          <w:sz w:val="24"/>
          <w:szCs w:val="24"/>
        </w:rPr>
        <w:t xml:space="preserve"> </w:t>
      </w:r>
    </w:p>
    <w:p w14:paraId="3CB33E23"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lastRenderedPageBreak/>
        <w:t>Teachers as Researchers</w:t>
      </w:r>
    </w:p>
    <w:p w14:paraId="43638ED2" w14:textId="77777777" w:rsidR="00580AAF" w:rsidRPr="00580AAF" w:rsidRDefault="00580AAF" w:rsidP="00580AAF">
      <w:pPr>
        <w:spacing w:line="480" w:lineRule="auto"/>
        <w:rPr>
          <w:rFonts w:ascii="Times New Roman" w:hAnsi="Times New Roman" w:cs="Times New Roman"/>
          <w:i/>
          <w:iCs/>
          <w:color w:val="000000" w:themeColor="text1"/>
          <w:sz w:val="24"/>
          <w:szCs w:val="24"/>
          <w:lang w:val="en-US"/>
        </w:rPr>
      </w:pPr>
      <w:r w:rsidRPr="00580AAF">
        <w:rPr>
          <w:rFonts w:ascii="Times New Roman" w:hAnsi="Times New Roman" w:cs="Times New Roman"/>
          <w:color w:val="000000" w:themeColor="text1"/>
          <w:sz w:val="24"/>
          <w:szCs w:val="24"/>
        </w:rPr>
        <w:t>Our approach to Action Research with teachers is inspired by the work of Lawrence Stenhouse (1975, 1981, 1988). He viewed teaching as an art and argued that the aims of professional development should be to support artist teachers to further their art, to gain professional satisfaction and self-development, and to bring about positive educational change. Teachers should therefore be at the heart of research in education, exploring their own classroom practice through systematic enquiry: ‘Teaching strategies can only be developed in the classroom. There are too many variables, including the teacher himself [sic], to allow of the generalisation of easy recipes. And our understanding of classrooms and what goes on in them is still very limited’</w:t>
      </w:r>
      <w:r w:rsidRPr="00580AAF">
        <w:rPr>
          <w:rFonts w:ascii="Times New Roman" w:hAnsi="Times New Roman" w:cs="Times New Roman"/>
          <w:i/>
          <w:iCs/>
          <w:color w:val="000000" w:themeColor="text1"/>
          <w:sz w:val="24"/>
          <w:szCs w:val="24"/>
        </w:rPr>
        <w:t> </w:t>
      </w:r>
      <w:r w:rsidRPr="00580AAF">
        <w:rPr>
          <w:rFonts w:ascii="Times New Roman" w:hAnsi="Times New Roman" w:cs="Times New Roman"/>
          <w:color w:val="000000" w:themeColor="text1"/>
          <w:sz w:val="24"/>
          <w:szCs w:val="24"/>
        </w:rPr>
        <w:t xml:space="preserve">(Stenhouse in Rudduck and Hopkins, 1985, p.25). Stenhouse and those who followed closely in what Elliott (2024, p.707) describes as the ‘neo-Stenhouse tradition’, were working prior to the introduction of a statutory National Curriculum in England, in 1989. A prescribed curriculum can alter the view of the teacher as a researcher and curriculum maker, positioning them instead as technicians and compliant implementers of scripts (Zeichner, 2014). Nevertheless, involvement with Action Research can be empowering. In their comments, teachers involved in this project showed evidence of subtle resistance to dominant expectations, for example: </w:t>
      </w:r>
      <w:r w:rsidRPr="00580AAF">
        <w:rPr>
          <w:rFonts w:ascii="Times New Roman" w:hAnsi="Times New Roman" w:cs="Times New Roman"/>
          <w:i/>
          <w:iCs/>
          <w:color w:val="000000" w:themeColor="text1"/>
          <w:sz w:val="24"/>
          <w:szCs w:val="24"/>
        </w:rPr>
        <w:t>‘The drama aspect of this project came just at the right time for me. I enjoy teaching Year 6, and I enjoy teaching literacy. But I do feel like the current literacy assessment arrangements are designed specifically to suck the joy out of teaching Year 6 literacy! A fresh look at some simple drama techniques did help me to get a little of the joy back this year…</w:t>
      </w:r>
      <w:r w:rsidRPr="00580AAF">
        <w:rPr>
          <w:rFonts w:ascii="Times New Roman" w:hAnsi="Times New Roman" w:cs="Times New Roman"/>
          <w:b/>
          <w:bCs/>
          <w:color w:val="000000" w:themeColor="text1"/>
          <w:sz w:val="24"/>
          <w:szCs w:val="24"/>
        </w:rPr>
        <w:t xml:space="preserve"> </w:t>
      </w:r>
      <w:r w:rsidRPr="00580AAF">
        <w:rPr>
          <w:rFonts w:ascii="Times New Roman" w:hAnsi="Times New Roman" w:cs="Times New Roman"/>
          <w:i/>
          <w:iCs/>
          <w:color w:val="000000" w:themeColor="text1"/>
          <w:sz w:val="24"/>
          <w:szCs w:val="24"/>
        </w:rPr>
        <w:t>The drama techniques that we learnt were quick and easy to manage, they slotted easily into the time, the space, the teaching programme that was already in place</w:t>
      </w:r>
      <w:r w:rsidRPr="00580AAF">
        <w:rPr>
          <w:rFonts w:ascii="Times New Roman" w:hAnsi="Times New Roman" w:cs="Times New Roman"/>
          <w:i/>
          <w:color w:val="000000" w:themeColor="text1"/>
          <w:sz w:val="24"/>
          <w:szCs w:val="24"/>
        </w:rPr>
        <w:t>.</w:t>
      </w:r>
      <w:r w:rsidRPr="00580AAF">
        <w:rPr>
          <w:rFonts w:ascii="Times New Roman" w:hAnsi="Times New Roman" w:cs="Times New Roman"/>
          <w:i/>
          <w:iCs/>
          <w:color w:val="000000" w:themeColor="text1"/>
          <w:sz w:val="24"/>
          <w:szCs w:val="24"/>
        </w:rPr>
        <w:t>’</w:t>
      </w:r>
      <w:r w:rsidRPr="00580AAF">
        <w:rPr>
          <w:rFonts w:ascii="Times New Roman" w:hAnsi="Times New Roman" w:cs="Times New Roman"/>
          <w:i/>
          <w:color w:val="000000" w:themeColor="text1"/>
          <w:sz w:val="24"/>
          <w:szCs w:val="24"/>
        </w:rPr>
        <w:t> </w:t>
      </w:r>
      <w:r w:rsidRPr="00580AAF">
        <w:rPr>
          <w:rFonts w:ascii="Times New Roman" w:hAnsi="Times New Roman" w:cs="Times New Roman"/>
          <w:i/>
          <w:color w:val="000000" w:themeColor="text1"/>
          <w:sz w:val="24"/>
          <w:szCs w:val="24"/>
          <w:lang w:val="en-US"/>
        </w:rPr>
        <w:t>​</w:t>
      </w:r>
      <w:r w:rsidRPr="00580AAF">
        <w:rPr>
          <w:rFonts w:ascii="Times New Roman" w:hAnsi="Times New Roman" w:cs="Times New Roman"/>
          <w:color w:val="000000" w:themeColor="text1"/>
          <w:sz w:val="24"/>
          <w:szCs w:val="24"/>
          <w:lang w:val="en-US"/>
        </w:rPr>
        <w:t xml:space="preserve">Similarly, from a teacher of younger children: </w:t>
      </w:r>
      <w:r w:rsidRPr="00580AAF">
        <w:rPr>
          <w:rFonts w:ascii="Times New Roman" w:hAnsi="Times New Roman" w:cs="Times New Roman"/>
          <w:i/>
          <w:iCs/>
          <w:color w:val="000000" w:themeColor="text1"/>
          <w:sz w:val="24"/>
          <w:szCs w:val="24"/>
        </w:rPr>
        <w:t xml:space="preserve">‘I have found that the drama ‘toolkit’ that was shared with us in our training has helped me to deliver a dull and developmentally inappropriate curriculum in a creative and child friendly way… I don't know </w:t>
      </w:r>
      <w:r w:rsidRPr="00580AAF">
        <w:rPr>
          <w:rFonts w:ascii="Times New Roman" w:hAnsi="Times New Roman" w:cs="Times New Roman"/>
          <w:i/>
          <w:iCs/>
          <w:color w:val="000000" w:themeColor="text1"/>
          <w:sz w:val="24"/>
          <w:szCs w:val="24"/>
        </w:rPr>
        <w:lastRenderedPageBreak/>
        <w:t xml:space="preserve">if that is a good thing! But I have certainly had a more enjoyable teaching year because of it.’ </w:t>
      </w:r>
      <w:r w:rsidRPr="00580AAF">
        <w:rPr>
          <w:rFonts w:ascii="Times New Roman" w:hAnsi="Times New Roman" w:cs="Times New Roman"/>
          <w:i/>
          <w:iCs/>
          <w:color w:val="000000" w:themeColor="text1"/>
          <w:sz w:val="24"/>
          <w:szCs w:val="24"/>
          <w:lang w:val="en-US"/>
        </w:rPr>
        <w:t>​</w:t>
      </w:r>
    </w:p>
    <w:p w14:paraId="5D6ADA6A"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The University Researchers</w:t>
      </w:r>
    </w:p>
    <w:p w14:paraId="674A035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Stenhouse (1975) valued cooperation between education researchers from universities and teacher researchers in schools. In this project, we aimed for a collaborative relationship with the teacher action researchers. We offered some expertise that they could draw upon for advice when researching their classroom practice and analysing their </w:t>
      </w:r>
      <w:proofErr w:type="gramStart"/>
      <w:r w:rsidRPr="00580AAF">
        <w:rPr>
          <w:rFonts w:ascii="Times New Roman" w:hAnsi="Times New Roman" w:cs="Times New Roman"/>
          <w:color w:val="000000" w:themeColor="text1"/>
          <w:sz w:val="24"/>
          <w:szCs w:val="24"/>
        </w:rPr>
        <w:t>findings, but</w:t>
      </w:r>
      <w:proofErr w:type="gramEnd"/>
      <w:r w:rsidRPr="00580AAF">
        <w:rPr>
          <w:rFonts w:ascii="Times New Roman" w:hAnsi="Times New Roman" w:cs="Times New Roman"/>
          <w:color w:val="000000" w:themeColor="text1"/>
          <w:sz w:val="24"/>
          <w:szCs w:val="24"/>
        </w:rPr>
        <w:t xml:space="preserve"> respected their greater knowledge of the children they taught and their school and classroom context. Two of the project team, Paulette and Drew, are qualified and experienced primary school teachers and so understood something of the context, whilst recognising that our knowledge of curriculum and practice was no longer current. Mallika meanwhile brought insights from participatory work with children (Kanyal and Cooper, 2010; Kanyal, 2014) and sought to combine teachers’ existing ways of listening to pupils in schools with ideas about children’s voice from research. One strategy that we all used for communication between </w:t>
      </w:r>
      <w:proofErr w:type="gramStart"/>
      <w:r w:rsidRPr="00580AAF">
        <w:rPr>
          <w:rFonts w:ascii="Times New Roman" w:hAnsi="Times New Roman" w:cs="Times New Roman"/>
          <w:color w:val="000000" w:themeColor="text1"/>
          <w:sz w:val="24"/>
          <w:szCs w:val="24"/>
        </w:rPr>
        <w:t>ourselves</w:t>
      </w:r>
      <w:proofErr w:type="gramEnd"/>
      <w:r w:rsidRPr="00580AAF">
        <w:rPr>
          <w:rFonts w:ascii="Times New Roman" w:hAnsi="Times New Roman" w:cs="Times New Roman"/>
          <w:color w:val="000000" w:themeColor="text1"/>
          <w:sz w:val="24"/>
          <w:szCs w:val="24"/>
        </w:rPr>
        <w:t xml:space="preserve"> and the teachers was a WhatsApp group for each cohort, where they could ask questions and make comments about the project.</w:t>
      </w:r>
    </w:p>
    <w:p w14:paraId="1D6E79CC"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The Teacher Researchers</w:t>
      </w:r>
    </w:p>
    <w:p w14:paraId="32433724"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Forty-five teachers were directly involved with the project over the three years. Their teaching experience ranged from one year in teaching to thirty years in teaching, with a mean average across all three cohorts of seven years. There were three male teachers, reflecting the gendered nature of primary school teaching (nationally around 14% of nursery and primary school teachers are men) (DfE, 2024) and the others were female. Amongst the cohorts there were teachers who had specialised in a creative arts subject, such as drama, for all or part of their undergraduate degree. Some of the teachers volunteered for the project after hearing that </w:t>
      </w:r>
      <w:r w:rsidRPr="00580AAF">
        <w:rPr>
          <w:rFonts w:ascii="Times New Roman" w:hAnsi="Times New Roman" w:cs="Times New Roman"/>
          <w:color w:val="000000" w:themeColor="text1"/>
          <w:sz w:val="24"/>
          <w:szCs w:val="24"/>
        </w:rPr>
        <w:lastRenderedPageBreak/>
        <w:t xml:space="preserve">their school would be involved, whilst others were identified for participation by their headteacher. </w:t>
      </w:r>
    </w:p>
    <w:p w14:paraId="57A7241D"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In every school, the headteacher or another member of the school senior management team acted as an ‘enabler’, a role designed to ensure that the participating teacher was able to engage with all aspects of the Creative Writing through the Arts project and to share their findings, tools, and techniques for practice across the school.</w:t>
      </w:r>
    </w:p>
    <w:p w14:paraId="422143AD"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The Creative Arts Practitioners</w:t>
      </w:r>
    </w:p>
    <w:p w14:paraId="112E2735"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Whilst the teachers’ expertise was recognised, particularly their knowledge of the children in their classes and the curriculum on offer, new insights were brought to the project from creative arts practitioners who provided specialist ideas from dance, drama, film, music and visual art. The Royal Opera House Bridge advertised the opportunity for these practitioners to work with the project and appointed them. The dance, drama, music and visual arts specialists were all skilled practitioners within their fields, who also had some experience of community work and consultancy. Only the film specialist was a former teacher who had become a British Film Institute (BFI) lead practitioner and coordinator of an international film programme for children.   </w:t>
      </w:r>
    </w:p>
    <w:p w14:paraId="32A2CA30"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The Children</w:t>
      </w:r>
    </w:p>
    <w:p w14:paraId="2A33542D"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From the 45 schools, approximately 1,350 children across the three years, ranging from Reception to Year 6, took part in the project. The pupils were all in mixed-gender classes, with children from diverse backgrounds and with varying levels of academic attainment, including some in each class identified as having special educational needs and/or disabilities. At the time of the project, around 15% of pupils in mainstream primary school classes might be identified as having a special educational need, with most supported from within the school and around 3% of children obtaining an Education and Health Care Plan to </w:t>
      </w:r>
      <w:r w:rsidRPr="00580AAF">
        <w:rPr>
          <w:rFonts w:ascii="Times New Roman" w:hAnsi="Times New Roman" w:cs="Times New Roman"/>
          <w:color w:val="000000" w:themeColor="text1"/>
          <w:sz w:val="24"/>
          <w:szCs w:val="24"/>
        </w:rPr>
        <w:lastRenderedPageBreak/>
        <w:t>fund additional provision (DfE, 2018). All the children worked collaboratively with the teachers by engaging in participatory activities,</w:t>
      </w:r>
      <w:r w:rsidRPr="00580AAF">
        <w:rPr>
          <w:rFonts w:ascii="Times New Roman" w:eastAsia="Times New Roman" w:hAnsi="Times New Roman" w:cs="Times New Roman"/>
          <w:color w:val="000000" w:themeColor="text1"/>
          <w:sz w:val="24"/>
          <w:szCs w:val="24"/>
        </w:rPr>
        <w:t xml:space="preserve"> providing data from the learners' perspective. Through their active participation in classroom activities, children became collaborators in the learning process, which in turn supported teachers’ pedagogical reflection. </w:t>
      </w:r>
    </w:p>
    <w:p w14:paraId="0E3119CB"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The teachers used insights from the pupil-led activities to reflect on their practice, fostering a culture of shared inquiry. Children’s voice, therefore, became an inseparable pedagogical tool for co-construction of classroom activities and learner agency. This approach was underpinned by the United Nations Convention on the Rights of the Child, particularly Article 12, which affirms children’s right to express their views in matters that affect them, Article 13, which supports their right to express themselves freely through various forms, and Article 31, which emphasises children’s right to relax, play and take part in a wide range of cultural and artistic activities (UNICEF, no date). </w:t>
      </w:r>
    </w:p>
    <w:p w14:paraId="0CB73340" w14:textId="77777777" w:rsidR="00580AAF" w:rsidRPr="00580AAF" w:rsidRDefault="00580AAF" w:rsidP="00580AAF">
      <w:pPr>
        <w:spacing w:after="0" w:line="480" w:lineRule="auto"/>
        <w:rPr>
          <w:rFonts w:ascii="Times New Roman" w:eastAsia="Times New Roman" w:hAnsi="Times New Roman" w:cs="Times New Roman"/>
          <w:b/>
          <w:bCs/>
          <w:i/>
          <w:iCs/>
          <w:color w:val="000000" w:themeColor="text1"/>
          <w:sz w:val="24"/>
          <w:szCs w:val="24"/>
        </w:rPr>
      </w:pPr>
      <w:r w:rsidRPr="00580AAF">
        <w:rPr>
          <w:rFonts w:ascii="Times New Roman" w:eastAsia="Times New Roman" w:hAnsi="Times New Roman" w:cs="Times New Roman"/>
          <w:b/>
          <w:bCs/>
          <w:i/>
          <w:iCs/>
          <w:color w:val="000000" w:themeColor="text1"/>
          <w:sz w:val="24"/>
          <w:szCs w:val="24"/>
        </w:rPr>
        <w:t>Collaboration between teachers, pupils, creative practitioners and university researchers</w:t>
      </w:r>
    </w:p>
    <w:p w14:paraId="6B35E20F"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As evident from the above, the project adopted a collaborative approach among the research participants: the teachers, pupils, creative practitioners</w:t>
      </w:r>
      <w:r w:rsidRPr="00580AAF">
        <w:rPr>
          <w:rFonts w:ascii="Times New Roman" w:eastAsia="Times New Roman" w:hAnsi="Times New Roman" w:cs="Times New Roman"/>
          <w:b/>
          <w:bCs/>
          <w:i/>
          <w:iCs/>
          <w:color w:val="000000" w:themeColor="text1"/>
          <w:sz w:val="24"/>
          <w:szCs w:val="24"/>
        </w:rPr>
        <w:t xml:space="preserve"> </w:t>
      </w:r>
      <w:r w:rsidRPr="00580AAF">
        <w:rPr>
          <w:rFonts w:ascii="Times New Roman" w:eastAsia="Times New Roman" w:hAnsi="Times New Roman" w:cs="Times New Roman"/>
          <w:color w:val="000000" w:themeColor="text1"/>
          <w:sz w:val="24"/>
          <w:szCs w:val="24"/>
        </w:rPr>
        <w:t>and the university researchers - working together to design, embed and evaluate the integration of arts-based pedagogical interventions in the classrooms. Action Research as a methodology, underpinned by principles of collaboration, empowers educators, researchers, and pupils as co-participants and enables everyone involved to explore, experiment and address pedagogical challenges (</w:t>
      </w:r>
      <w:proofErr w:type="spellStart"/>
      <w:r w:rsidRPr="00580AAF">
        <w:rPr>
          <w:rFonts w:ascii="Times New Roman" w:eastAsia="Times New Roman" w:hAnsi="Times New Roman" w:cs="Times New Roman"/>
          <w:color w:val="000000" w:themeColor="text1"/>
          <w:sz w:val="24"/>
          <w:szCs w:val="24"/>
        </w:rPr>
        <w:t>Dancis</w:t>
      </w:r>
      <w:proofErr w:type="spellEnd"/>
      <w:r w:rsidRPr="00580AAF">
        <w:rPr>
          <w:rFonts w:ascii="Times New Roman" w:eastAsia="Times New Roman" w:hAnsi="Times New Roman" w:cs="Times New Roman"/>
          <w:color w:val="000000" w:themeColor="text1"/>
          <w:sz w:val="24"/>
          <w:szCs w:val="24"/>
        </w:rPr>
        <w:t>, Coleman and Ellison, 2023; Lapidot-Lefler, 2025).</w:t>
      </w:r>
    </w:p>
    <w:p w14:paraId="0D2E420D"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The collaborative approach helped shift traditional power dynamics by fostering partnerships between teachers and creative practitioners, teachers and university researchers, as well as between teachers and pupils. This approach encouraged critical reflection and supported tangible changes in pedagogy through a cyclic process of:</w:t>
      </w:r>
    </w:p>
    <w:p w14:paraId="42A8B614" w14:textId="77777777" w:rsidR="00580AAF" w:rsidRPr="00580AAF" w:rsidRDefault="00580AAF" w:rsidP="00580AAF">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lastRenderedPageBreak/>
        <w:t xml:space="preserve">Co-planning and co-designing of the sessions between the teachers and the creative </w:t>
      </w:r>
      <w:proofErr w:type="gramStart"/>
      <w:r w:rsidRPr="00580AAF">
        <w:rPr>
          <w:rFonts w:ascii="Times New Roman" w:eastAsia="Times New Roman" w:hAnsi="Times New Roman" w:cs="Times New Roman"/>
          <w:color w:val="000000" w:themeColor="text1"/>
          <w:sz w:val="24"/>
          <w:szCs w:val="24"/>
        </w:rPr>
        <w:t>practitioners;</w:t>
      </w:r>
      <w:proofErr w:type="gramEnd"/>
    </w:p>
    <w:p w14:paraId="5D5DF06F" w14:textId="77777777" w:rsidR="00580AAF" w:rsidRPr="00580AAF" w:rsidRDefault="00580AAF" w:rsidP="00580AAF">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Action in the classroom by </w:t>
      </w:r>
      <w:proofErr w:type="gramStart"/>
      <w:r w:rsidRPr="00580AAF">
        <w:rPr>
          <w:rFonts w:ascii="Times New Roman" w:eastAsia="Times New Roman" w:hAnsi="Times New Roman" w:cs="Times New Roman"/>
          <w:color w:val="000000" w:themeColor="text1"/>
          <w:sz w:val="24"/>
          <w:szCs w:val="24"/>
        </w:rPr>
        <w:t>teachers;</w:t>
      </w:r>
      <w:proofErr w:type="gramEnd"/>
    </w:p>
    <w:p w14:paraId="77DDC3FD" w14:textId="77777777" w:rsidR="00580AAF" w:rsidRPr="00580AAF" w:rsidRDefault="00580AAF" w:rsidP="00580AAF">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Pupil participation in the arts-based activities and their </w:t>
      </w:r>
      <w:proofErr w:type="gramStart"/>
      <w:r w:rsidRPr="00580AAF">
        <w:rPr>
          <w:rFonts w:ascii="Times New Roman" w:eastAsia="Times New Roman" w:hAnsi="Times New Roman" w:cs="Times New Roman"/>
          <w:color w:val="000000" w:themeColor="text1"/>
          <w:sz w:val="24"/>
          <w:szCs w:val="24"/>
        </w:rPr>
        <w:t>evaluation;</w:t>
      </w:r>
      <w:proofErr w:type="gramEnd"/>
    </w:p>
    <w:p w14:paraId="11B4AFCF" w14:textId="77777777" w:rsidR="00580AAF" w:rsidRPr="00580AAF" w:rsidRDefault="00580AAF" w:rsidP="00580AAF">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Teachers peer reflection with the university researchers.</w:t>
      </w:r>
    </w:p>
    <w:p w14:paraId="5BC94514" w14:textId="77777777" w:rsidR="00580AAF" w:rsidRPr="00580AAF" w:rsidRDefault="00580AAF" w:rsidP="00580AAF">
      <w:pPr>
        <w:spacing w:before="240" w:after="24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Classroom data comprised of pupil artefacts and creative writing samples collected by the teachers, and teachers’ reflective journals, supplemented by exchanges in a WhatsApp group used primarily for communication but also analysed for reflective insights. Data were coded thematically and corroborated across various sources (see Table Two).</w:t>
      </w:r>
    </w:p>
    <w:p w14:paraId="536C08E6"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The collaborations in the action research enabled the teachers to become experts in their own contexts. They worked alongside creative practitioners, pupils and university researchers to co-construct knowledge that was directly relevant to their practice. Integrating the arts enriched pupils’ learning by bringing joy and creativity into the classrooms, establishing the arts as a powerful medium for enhancing everyday pedagogy (</w:t>
      </w:r>
      <w:proofErr w:type="spellStart"/>
      <w:r w:rsidRPr="00580AAF">
        <w:rPr>
          <w:rFonts w:ascii="Times New Roman" w:eastAsia="Times New Roman" w:hAnsi="Times New Roman" w:cs="Times New Roman"/>
          <w:color w:val="000000" w:themeColor="text1"/>
          <w:sz w:val="24"/>
          <w:szCs w:val="24"/>
        </w:rPr>
        <w:t>LaJevic</w:t>
      </w:r>
      <w:proofErr w:type="spellEnd"/>
      <w:r w:rsidRPr="00580AAF">
        <w:rPr>
          <w:rFonts w:ascii="Times New Roman" w:eastAsia="Times New Roman" w:hAnsi="Times New Roman" w:cs="Times New Roman"/>
          <w:color w:val="000000" w:themeColor="text1"/>
          <w:sz w:val="24"/>
          <w:szCs w:val="24"/>
        </w:rPr>
        <w:t>, 2013; Corbisiero-Drakos, et al., 2021).</w:t>
      </w:r>
    </w:p>
    <w:p w14:paraId="729E4A53"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Research Ethics</w:t>
      </w:r>
    </w:p>
    <w:p w14:paraId="3D964C2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project gained ethical approval from Anglia Ruskin University Faculty of Health, Social Care and Education Research Ethics Panel </w:t>
      </w:r>
      <w:proofErr w:type="gramStart"/>
      <w:r w:rsidRPr="00580AAF">
        <w:rPr>
          <w:rFonts w:ascii="Times New Roman" w:hAnsi="Times New Roman" w:cs="Times New Roman"/>
          <w:color w:val="000000" w:themeColor="text1"/>
          <w:sz w:val="24"/>
          <w:szCs w:val="24"/>
        </w:rPr>
        <w:t>arts(</w:t>
      </w:r>
      <w:proofErr w:type="gramEnd"/>
      <w:r w:rsidRPr="00580AAF">
        <w:rPr>
          <w:rFonts w:ascii="Times New Roman" w:hAnsi="Times New Roman" w:cs="Times New Roman"/>
          <w:color w:val="000000" w:themeColor="text1"/>
          <w:sz w:val="24"/>
          <w:szCs w:val="24"/>
        </w:rPr>
        <w:t xml:space="preserve">Project Reference 15_16 019). Careful attention was paid to ethical practice in research throughout the programme. We followed the British Educational Research Association (2011, 2024) guidance for educational researchers </w:t>
      </w:r>
      <w:proofErr w:type="gramStart"/>
      <w:r w:rsidRPr="00580AAF">
        <w:rPr>
          <w:rFonts w:ascii="Times New Roman" w:hAnsi="Times New Roman" w:cs="Times New Roman"/>
          <w:color w:val="000000" w:themeColor="text1"/>
          <w:sz w:val="24"/>
          <w:szCs w:val="24"/>
        </w:rPr>
        <w:t>and also</w:t>
      </w:r>
      <w:proofErr w:type="gramEnd"/>
      <w:r w:rsidRPr="00580AAF">
        <w:rPr>
          <w:rFonts w:ascii="Times New Roman" w:hAnsi="Times New Roman" w:cs="Times New Roman"/>
          <w:color w:val="000000" w:themeColor="text1"/>
          <w:sz w:val="24"/>
          <w:szCs w:val="24"/>
        </w:rPr>
        <w:t xml:space="preserve"> introduced this to the teacher researchers. Research ethics were discussed with the participating teachers at the initial Action </w:t>
      </w:r>
      <w:proofErr w:type="gramStart"/>
      <w:r w:rsidRPr="00580AAF">
        <w:rPr>
          <w:rFonts w:ascii="Times New Roman" w:hAnsi="Times New Roman" w:cs="Times New Roman"/>
          <w:color w:val="000000" w:themeColor="text1"/>
          <w:sz w:val="24"/>
          <w:szCs w:val="24"/>
        </w:rPr>
        <w:t>Research day</w:t>
      </w:r>
      <w:proofErr w:type="gramEnd"/>
      <w:r w:rsidRPr="00580AAF">
        <w:rPr>
          <w:rFonts w:ascii="Times New Roman" w:hAnsi="Times New Roman" w:cs="Times New Roman"/>
          <w:color w:val="000000" w:themeColor="text1"/>
          <w:sz w:val="24"/>
          <w:szCs w:val="24"/>
        </w:rPr>
        <w:t xml:space="preserve"> and it was agreed that schools and teachers should be named in project </w:t>
      </w:r>
      <w:proofErr w:type="gramStart"/>
      <w:r w:rsidRPr="00580AAF">
        <w:rPr>
          <w:rFonts w:ascii="Times New Roman" w:hAnsi="Times New Roman" w:cs="Times New Roman"/>
          <w:color w:val="000000" w:themeColor="text1"/>
          <w:sz w:val="24"/>
          <w:szCs w:val="24"/>
        </w:rPr>
        <w:t>reports</w:t>
      </w:r>
      <w:proofErr w:type="gramEnd"/>
      <w:r w:rsidRPr="00580AAF">
        <w:rPr>
          <w:rFonts w:ascii="Times New Roman" w:hAnsi="Times New Roman" w:cs="Times New Roman"/>
          <w:color w:val="000000" w:themeColor="text1"/>
          <w:sz w:val="24"/>
          <w:szCs w:val="24"/>
        </w:rPr>
        <w:t xml:space="preserve"> but individual pupils would not. The headteachers of schools acted as gatekeepers, giving permission for participation in the </w:t>
      </w:r>
      <w:r w:rsidRPr="00580AAF">
        <w:rPr>
          <w:rFonts w:ascii="Times New Roman" w:hAnsi="Times New Roman" w:cs="Times New Roman"/>
          <w:color w:val="000000" w:themeColor="text1"/>
          <w:sz w:val="24"/>
          <w:szCs w:val="24"/>
        </w:rPr>
        <w:lastRenderedPageBreak/>
        <w:t xml:space="preserve">project, and information and consent forms were prepared and signed by the parents of the children in the participating classes. The children could not opt out of the arts activities that were part of their school curriculum for that year, but they or their parents could ask for data about them, even in anonymised form, to be excluded from the evaluation. The children were not expected to participate in any research activities that were additional to their usual learning and assessment within the classroom. </w:t>
      </w:r>
    </w:p>
    <w:p w14:paraId="49F3A977" w14:textId="77777777" w:rsidR="00580AAF" w:rsidRPr="00580AAF" w:rsidRDefault="00580AAF" w:rsidP="00580AAF">
      <w:pPr>
        <w:spacing w:line="480" w:lineRule="auto"/>
        <w:rPr>
          <w:rFonts w:ascii="Times New Roman" w:hAnsi="Times New Roman" w:cs="Times New Roman"/>
          <w:b/>
          <w:bCs/>
          <w:i/>
          <w:iCs/>
          <w:color w:val="000000" w:themeColor="text1"/>
          <w:sz w:val="24"/>
          <w:szCs w:val="24"/>
        </w:rPr>
      </w:pPr>
      <w:r w:rsidRPr="00580AAF">
        <w:rPr>
          <w:rFonts w:ascii="Times New Roman" w:hAnsi="Times New Roman" w:cs="Times New Roman"/>
          <w:b/>
          <w:bCs/>
          <w:i/>
          <w:iCs/>
          <w:color w:val="000000" w:themeColor="text1"/>
          <w:sz w:val="24"/>
          <w:szCs w:val="24"/>
        </w:rPr>
        <w:t xml:space="preserve">The Design of the Project </w:t>
      </w:r>
    </w:p>
    <w:p w14:paraId="23B91066"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Planning the teacher action research.</w:t>
      </w:r>
    </w:p>
    <w:p w14:paraId="0DB6EE8D"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main aim of the Creative Writing through the Arts project was to promote children's creative writing skills through integration of writing with art, dance, drama, film and music activities in Primary School classrooms. Additional aims included: developing teachers’ confidence and skills in teaching through the arts; establishing supportive peer networks through which teachers could reflect upon and evaluate their work; and allowing for children’s use of imagination and self-expression, thereby increasing their motivation to write and fostering their ability to critique and improve their own work. In each year of the project, the teachers met at the beginning of September for a one-day action research workshop.  This included discussing what different authors had written about teachers as researchers and exploring what kinds of valid evidence could be gathered in classrooms. As part of this day, the teachers agreed upon a research question to guide their enquiries and identified methods of collecting evidence in their classrooms. </w:t>
      </w:r>
    </w:p>
    <w:p w14:paraId="3DEA545D"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In 2016-17 the teachers’ research question was: ‘</w:t>
      </w:r>
      <w:r w:rsidRPr="00580AAF">
        <w:rPr>
          <w:rFonts w:ascii="Times New Roman" w:hAnsi="Times New Roman" w:cs="Times New Roman"/>
          <w:i/>
          <w:iCs/>
          <w:color w:val="000000" w:themeColor="text1"/>
          <w:sz w:val="24"/>
          <w:szCs w:val="24"/>
        </w:rPr>
        <w:t>In what ways do creative arts impact upon children’s engagement and development as writers?</w:t>
      </w:r>
      <w:r w:rsidRPr="00580AAF">
        <w:rPr>
          <w:rFonts w:ascii="Times New Roman" w:hAnsi="Times New Roman" w:cs="Times New Roman"/>
          <w:color w:val="000000" w:themeColor="text1"/>
          <w:sz w:val="24"/>
          <w:szCs w:val="24"/>
        </w:rPr>
        <w:t xml:space="preserve">’ In 2017-18 this question was shown as an example to the new cohort, who unanimously decided to adopt it. For 2018-19 we did not show the teachers the question devised by the previous cohorts and their common research </w:t>
      </w:r>
      <w:r w:rsidRPr="00580AAF">
        <w:rPr>
          <w:rFonts w:ascii="Times New Roman" w:hAnsi="Times New Roman" w:cs="Times New Roman"/>
          <w:color w:val="000000" w:themeColor="text1"/>
          <w:sz w:val="24"/>
          <w:szCs w:val="24"/>
        </w:rPr>
        <w:lastRenderedPageBreak/>
        <w:t>question was: ‘</w:t>
      </w:r>
      <w:r w:rsidRPr="00580AAF">
        <w:rPr>
          <w:rFonts w:ascii="Times New Roman" w:hAnsi="Times New Roman" w:cs="Times New Roman"/>
          <w:i/>
          <w:iCs/>
          <w:color w:val="000000" w:themeColor="text1"/>
          <w:sz w:val="24"/>
          <w:szCs w:val="24"/>
        </w:rPr>
        <w:t>How and in what ways does high quality arts provision influence and inspire pupils and improve the quality of their writing</w:t>
      </w:r>
      <w:r w:rsidRPr="00580AAF">
        <w:rPr>
          <w:rFonts w:ascii="Times New Roman" w:hAnsi="Times New Roman" w:cs="Times New Roman"/>
          <w:color w:val="000000" w:themeColor="text1"/>
          <w:sz w:val="24"/>
          <w:szCs w:val="24"/>
        </w:rPr>
        <w:t xml:space="preserve">?’ </w:t>
      </w:r>
    </w:p>
    <w:p w14:paraId="61B35604"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Working With Creative Practitioners.</w:t>
      </w:r>
    </w:p>
    <w:p w14:paraId="37F7B650"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Each term the participating teachers took part in a full ‘Inspiration Day’ arts workshop, led by a creative practitioner. On each of these days, the teachers engaged in activities to develop their own creative skills and acquired tools and techniques to try out with their classes. For the first cohort, in the Autumn term this was film education, led by a media specialist; in the Spring term drama, led by actors; and, in the </w:t>
      </w:r>
      <w:proofErr w:type="gramStart"/>
      <w:r w:rsidRPr="00580AAF">
        <w:rPr>
          <w:rFonts w:ascii="Times New Roman" w:hAnsi="Times New Roman" w:cs="Times New Roman"/>
          <w:color w:val="000000" w:themeColor="text1"/>
          <w:sz w:val="24"/>
          <w:szCs w:val="24"/>
        </w:rPr>
        <w:t>Summer</w:t>
      </w:r>
      <w:proofErr w:type="gramEnd"/>
      <w:r w:rsidRPr="00580AAF">
        <w:rPr>
          <w:rFonts w:ascii="Times New Roman" w:hAnsi="Times New Roman" w:cs="Times New Roman"/>
          <w:color w:val="000000" w:themeColor="text1"/>
          <w:sz w:val="24"/>
          <w:szCs w:val="24"/>
        </w:rPr>
        <w:t xml:space="preserve"> term, dance, led by a professional dancer.  The second cohort began in the Autumn term with music, led by a professional percussionist; in the Spring term they explored art, led by a visual artist; and, in the </w:t>
      </w:r>
      <w:proofErr w:type="gramStart"/>
      <w:r w:rsidRPr="00580AAF">
        <w:rPr>
          <w:rFonts w:ascii="Times New Roman" w:hAnsi="Times New Roman" w:cs="Times New Roman"/>
          <w:color w:val="000000" w:themeColor="text1"/>
          <w:sz w:val="24"/>
          <w:szCs w:val="24"/>
        </w:rPr>
        <w:t>Summer</w:t>
      </w:r>
      <w:proofErr w:type="gramEnd"/>
      <w:r w:rsidRPr="00580AAF">
        <w:rPr>
          <w:rFonts w:ascii="Times New Roman" w:hAnsi="Times New Roman" w:cs="Times New Roman"/>
          <w:color w:val="000000" w:themeColor="text1"/>
          <w:sz w:val="24"/>
          <w:szCs w:val="24"/>
        </w:rPr>
        <w:t xml:space="preserve"> term, they also discovered dance. There was an overlap between the cohorts of teachers, so every group gained experience of each of the five art forms, and schools and teachers remained involved with the project to embed creativity into the curriculum. The third cohort joined in with the </w:t>
      </w:r>
      <w:proofErr w:type="gramStart"/>
      <w:r w:rsidRPr="00580AAF">
        <w:rPr>
          <w:rFonts w:ascii="Times New Roman" w:hAnsi="Times New Roman" w:cs="Times New Roman"/>
          <w:color w:val="000000" w:themeColor="text1"/>
          <w:sz w:val="24"/>
          <w:szCs w:val="24"/>
        </w:rPr>
        <w:t>Summer</w:t>
      </w:r>
      <w:proofErr w:type="gramEnd"/>
      <w:r w:rsidRPr="00580AAF">
        <w:rPr>
          <w:rFonts w:ascii="Times New Roman" w:hAnsi="Times New Roman" w:cs="Times New Roman"/>
          <w:color w:val="000000" w:themeColor="text1"/>
          <w:sz w:val="24"/>
          <w:szCs w:val="24"/>
        </w:rPr>
        <w:t xml:space="preserve"> dance workshop and then engaged with drama (Autumn term), music (Spring term) and visual art (Summer term). There was also an additional film day provided in Autumn term 2019, for teachers from the second and third cohorts. </w:t>
      </w:r>
    </w:p>
    <w:p w14:paraId="3519F341"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As an example, on an Inspiration Day for music, teachers listened to ‘Ritual Fire Dance’ by Manuel de Falla, identifying and describing elements of the music in lay-person’s terms (e.g. loud, quiet, fast, slow, smooth, quivery, stabbing). On second listening, they jotted down a story that the music could be portraying and then created compositions, using percussion instruments, based on the sounds and story of the piece, and performed these to one another. Taking this inspiration back into school, one Year 4 class were reading the book </w:t>
      </w:r>
      <w:proofErr w:type="spellStart"/>
      <w:r w:rsidRPr="00580AAF">
        <w:rPr>
          <w:rFonts w:ascii="Times New Roman" w:hAnsi="Times New Roman" w:cs="Times New Roman"/>
          <w:color w:val="000000" w:themeColor="text1"/>
          <w:sz w:val="24"/>
          <w:szCs w:val="24"/>
        </w:rPr>
        <w:t>FArTHER</w:t>
      </w:r>
      <w:proofErr w:type="spellEnd"/>
      <w:r w:rsidRPr="00580AAF">
        <w:rPr>
          <w:rFonts w:ascii="Times New Roman" w:hAnsi="Times New Roman" w:cs="Times New Roman"/>
          <w:color w:val="000000" w:themeColor="text1"/>
          <w:sz w:val="24"/>
          <w:szCs w:val="24"/>
        </w:rPr>
        <w:t xml:space="preserve"> by Grahame Baker-Smith, about a father who goes off to war. To evoke the emotions in the </w:t>
      </w:r>
      <w:r w:rsidRPr="00580AAF">
        <w:rPr>
          <w:rFonts w:ascii="Times New Roman" w:hAnsi="Times New Roman" w:cs="Times New Roman"/>
          <w:color w:val="000000" w:themeColor="text1"/>
          <w:sz w:val="24"/>
          <w:szCs w:val="24"/>
        </w:rPr>
        <w:lastRenderedPageBreak/>
        <w:t xml:space="preserve">story, students listened to Puccini’s ‘Sono </w:t>
      </w:r>
      <w:proofErr w:type="spellStart"/>
      <w:r w:rsidRPr="00580AAF">
        <w:rPr>
          <w:rFonts w:ascii="Times New Roman" w:hAnsi="Times New Roman" w:cs="Times New Roman"/>
          <w:color w:val="000000" w:themeColor="text1"/>
          <w:sz w:val="24"/>
          <w:szCs w:val="24"/>
        </w:rPr>
        <w:t>Andati</w:t>
      </w:r>
      <w:proofErr w:type="spellEnd"/>
      <w:r w:rsidRPr="00580AAF">
        <w:rPr>
          <w:rFonts w:ascii="Times New Roman" w:hAnsi="Times New Roman" w:cs="Times New Roman"/>
          <w:color w:val="000000" w:themeColor="text1"/>
          <w:sz w:val="24"/>
          <w:szCs w:val="24"/>
        </w:rPr>
        <w:t xml:space="preserve">?’ (from La Boheme) and created a large ‘emotions cloud’, before writing heartfelt diary entries from the perspective of the son. </w:t>
      </w:r>
    </w:p>
    <w:p w14:paraId="3F95D66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Every term, the Inspiration Day was followed by a half-day visit to the school by the expert arts practitioner who led the workshop. This gave opportunities for team teaching and for joint curriculum planning, with a focus on integrating the art forms with writing. There were also after-school ‘twilight’ meetings held where the teachers and the creative practitioner for the term met to share experiences, ask questions, explore ideas together and trouble-shoot any problems. </w:t>
      </w:r>
    </w:p>
    <w:p w14:paraId="725047A6"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Support for the Action Research.</w:t>
      </w:r>
    </w:p>
    <w:p w14:paraId="0CD997A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There were also termly twilight meetings to focus upon the Action Research. Each of the three school terms was a cycle of Action Research for the teachers, during which they: </w:t>
      </w:r>
      <w:proofErr w:type="spellStart"/>
      <w:r w:rsidRPr="00580AAF">
        <w:rPr>
          <w:rFonts w:ascii="Times New Roman" w:hAnsi="Times New Roman" w:cs="Times New Roman"/>
          <w:color w:val="000000" w:themeColor="text1"/>
          <w:sz w:val="24"/>
          <w:szCs w:val="24"/>
        </w:rPr>
        <w:t>i</w:t>
      </w:r>
      <w:proofErr w:type="spellEnd"/>
      <w:r w:rsidRPr="00580AAF">
        <w:rPr>
          <w:rFonts w:ascii="Times New Roman" w:hAnsi="Times New Roman" w:cs="Times New Roman"/>
          <w:color w:val="000000" w:themeColor="text1"/>
          <w:sz w:val="24"/>
          <w:szCs w:val="24"/>
        </w:rPr>
        <w:t>) put the plans developed at the Research Day and Inspiration Day into action; ii) implemented a creative approach to writing in their lessons; iii) gathered evidence of children’s</w:t>
      </w:r>
      <w:r w:rsidRPr="00580AAF">
        <w:rPr>
          <w:color w:val="000000" w:themeColor="text1"/>
        </w:rPr>
        <w:t xml:space="preserve"> </w:t>
      </w:r>
      <w:r w:rsidRPr="00580AAF">
        <w:rPr>
          <w:rFonts w:ascii="Times New Roman" w:hAnsi="Times New Roman" w:cs="Times New Roman"/>
          <w:color w:val="000000" w:themeColor="text1"/>
          <w:sz w:val="24"/>
          <w:szCs w:val="24"/>
        </w:rPr>
        <w:t xml:space="preserve">engagement in writing activities and their development as writers; and iv) reflected on the outcomes of the project for the children, for themselves and their school. The twilight sessions offered opportunities for the teachers to share evidence from their classrooms, such as examples of children’s writing, audio recordings of music making, or videos of dance and drama, and then reflect together. </w:t>
      </w:r>
    </w:p>
    <w:p w14:paraId="129BAE2C"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Each term, every teacher recorded a narrative of their own classroom activity. The narratives were compiled into a booklet, with accounts arranged in order from Reception class to Year </w:t>
      </w:r>
      <w:proofErr w:type="gramStart"/>
      <w:r w:rsidRPr="00580AAF">
        <w:rPr>
          <w:rFonts w:ascii="Times New Roman" w:hAnsi="Times New Roman" w:cs="Times New Roman"/>
          <w:color w:val="000000" w:themeColor="text1"/>
          <w:sz w:val="24"/>
          <w:szCs w:val="24"/>
        </w:rPr>
        <w:t>Six, and</w:t>
      </w:r>
      <w:proofErr w:type="gramEnd"/>
      <w:r w:rsidRPr="00580AAF">
        <w:rPr>
          <w:rFonts w:ascii="Times New Roman" w:hAnsi="Times New Roman" w:cs="Times New Roman"/>
          <w:color w:val="000000" w:themeColor="text1"/>
          <w:sz w:val="24"/>
          <w:szCs w:val="24"/>
        </w:rPr>
        <w:t xml:space="preserve"> shared among teachers at the twilight meetings. The teachers worked in pairs to analyse these documents – using highlighter pens and coding the documents with words and comments such as ‘worries’, ‘keeping focussed’, ‘vocabulary’, ‘freedom and creativity’. They then summarised key shared ideas onto stick-it notes, such as ‘increase the vocabulary </w:t>
      </w:r>
      <w:r w:rsidRPr="00580AAF">
        <w:rPr>
          <w:rFonts w:ascii="Times New Roman" w:hAnsi="Times New Roman" w:cs="Times New Roman"/>
          <w:color w:val="000000" w:themeColor="text1"/>
          <w:sz w:val="24"/>
          <w:szCs w:val="24"/>
        </w:rPr>
        <w:lastRenderedPageBreak/>
        <w:t xml:space="preserve">children are using in their writing’ and ‘confidence with leading music activities has grown’. This activity provided an opportunity for teachers to think about their own experiences in relation to others, as well as to notice common themes. The emerging benefits and challenges of teaching through the arts were discussed too. A summary of the benefits identified from the narratives and mentioned in teacher discussions was compiled by the university researchers. This list was presented to teachers at the final twilight session and teachers identified which benefits were true for their experience across the year. </w:t>
      </w:r>
    </w:p>
    <w:p w14:paraId="797592EA"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Pupil Voice.</w:t>
      </w:r>
    </w:p>
    <w:p w14:paraId="2E921F68" w14:textId="77777777" w:rsidR="00580AAF" w:rsidRPr="00580AAF" w:rsidRDefault="00580AAF" w:rsidP="00580AAF">
      <w:pPr>
        <w:spacing w:before="240" w:after="24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Children have a right to express their views and to be involved in decisions that affect their lives (UNICEF UK, no date.), and education is no exception (Kanyal, 2014). This principle provided a strong rationale for encouraging children’s participation in school activities, where their voices, views and feedback could serve as a valuable resource to enrich adult-led educational research. In this project, arts-based pedagogical interventions positioned pupils as active partners in the action research process. Pupils were invited to engage in a range of classroom-based participatory activities. The aim was to provide pupils with the opportunity to share their feelings and experiences and to provide feedback on how they found the integration of the arts in creative writing. Pupil voice in this project was guided by the concept of ‘in-betweenness’ (Littlefair and Jopling, 2025), that frames children’s participation in adult-initiated projects in a realistic way. It acknowledges adult control while giving pupils as much power and influence as possible, </w:t>
      </w:r>
      <w:proofErr w:type="gramStart"/>
      <w:r w:rsidRPr="00580AAF">
        <w:rPr>
          <w:rFonts w:ascii="Times New Roman" w:eastAsia="Times New Roman" w:hAnsi="Times New Roman" w:cs="Times New Roman"/>
          <w:color w:val="000000" w:themeColor="text1"/>
          <w:sz w:val="24"/>
          <w:szCs w:val="24"/>
        </w:rPr>
        <w:t>through the use of</w:t>
      </w:r>
      <w:proofErr w:type="gramEnd"/>
      <w:r w:rsidRPr="00580AAF">
        <w:rPr>
          <w:rFonts w:ascii="Times New Roman" w:eastAsia="Times New Roman" w:hAnsi="Times New Roman" w:cs="Times New Roman"/>
          <w:color w:val="000000" w:themeColor="text1"/>
          <w:sz w:val="24"/>
          <w:szCs w:val="24"/>
        </w:rPr>
        <w:t xml:space="preserve"> child-friendly participatory activities. </w:t>
      </w:r>
    </w:p>
    <w:p w14:paraId="36CBB11F"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Some examples of these interactive activities included the use of a classroom confidence flower, classroom barometer, graffiti posters, working and reflection walls, and traditional written and oral evaluation methods. </w:t>
      </w:r>
    </w:p>
    <w:p w14:paraId="3F56D205" w14:textId="77777777" w:rsidR="00580AAF" w:rsidRPr="00580AAF" w:rsidRDefault="00580AAF" w:rsidP="00580AAF">
      <w:pPr>
        <w:spacing w:line="480" w:lineRule="auto"/>
        <w:rPr>
          <w:color w:val="000000" w:themeColor="text1"/>
        </w:rPr>
      </w:pPr>
      <w:r w:rsidRPr="00580AAF">
        <w:rPr>
          <w:rFonts w:ascii="Times New Roman" w:eastAsia="Times New Roman" w:hAnsi="Times New Roman" w:cs="Times New Roman"/>
          <w:color w:val="000000" w:themeColor="text1"/>
          <w:sz w:val="24"/>
          <w:szCs w:val="24"/>
        </w:rPr>
        <w:lastRenderedPageBreak/>
        <w:t>The purpose of the confidence flower, for example, was to encourage children to place their photo sticker on a large classroom poster shaped like a flower, with each petal and leaf representing a different level of confidence. This visual tool allowed children to reflect on their personal growth in a non-threatening and expressive way. A large classroom barometer poster, similarly, was yet another effective tool for the children to indicate their comfort or excitement level about the creative activity. This metaphorical tool encouraged honest reflection amongst the children. Graffiti wall posters invited children to write down or sketch their evolving thoughts, questions and ideas. These became living documents of pupils’ thinking. Working and reflection walls became interactive spaces to showcase children’s ongoing work and reflection. In addition to the above visual methods, children also participated in more structured and written evaluations and group discussion. The use of different methods allowed for multimodality in children’s participation and co-construction.</w:t>
      </w:r>
    </w:p>
    <w:p w14:paraId="00C3E8E8" w14:textId="77777777" w:rsidR="00580AAF" w:rsidRPr="00580AAF" w:rsidRDefault="00580AAF" w:rsidP="00580AAF">
      <w:pPr>
        <w:spacing w:after="0" w:line="480" w:lineRule="auto"/>
        <w:rPr>
          <w:color w:val="000000" w:themeColor="text1"/>
        </w:rPr>
      </w:pPr>
      <w:r w:rsidRPr="00580AAF">
        <w:rPr>
          <w:rFonts w:ascii="Times New Roman" w:eastAsia="Times New Roman" w:hAnsi="Times New Roman" w:cs="Times New Roman"/>
          <w:color w:val="000000" w:themeColor="text1"/>
          <w:sz w:val="24"/>
          <w:szCs w:val="24"/>
        </w:rPr>
        <w:t>To support the teachers with this pupil voice element of the project, two university researchers (Mallika and Faye) followed up their input on the Action Research Day with school visits (two per teacher per year). The aim of the school visits was to understand how teachers gauged pupils’ experiences of the use of art forms and gathered pupils’ feedback related to their engagement and progress in creative writing.</w:t>
      </w:r>
      <w:r w:rsidRPr="00580AAF">
        <w:rPr>
          <w:color w:val="000000" w:themeColor="text1"/>
        </w:rPr>
        <w:t xml:space="preserve"> </w:t>
      </w:r>
      <w:r w:rsidRPr="00580AAF">
        <w:rPr>
          <w:rFonts w:ascii="Times New Roman" w:eastAsia="Times New Roman" w:hAnsi="Times New Roman" w:cs="Times New Roman"/>
          <w:color w:val="000000" w:themeColor="text1"/>
          <w:sz w:val="24"/>
          <w:szCs w:val="24"/>
        </w:rPr>
        <w:t xml:space="preserve">Each visit lasted for around an hour and included a </w:t>
      </w:r>
      <w:proofErr w:type="gramStart"/>
      <w:r w:rsidRPr="00580AAF">
        <w:rPr>
          <w:rFonts w:ascii="Times New Roman" w:eastAsia="Times New Roman" w:hAnsi="Times New Roman" w:cs="Times New Roman"/>
          <w:color w:val="000000" w:themeColor="text1"/>
          <w:sz w:val="24"/>
          <w:szCs w:val="24"/>
        </w:rPr>
        <w:t>15-20 minute</w:t>
      </w:r>
      <w:proofErr w:type="gramEnd"/>
      <w:r w:rsidRPr="00580AAF">
        <w:rPr>
          <w:rFonts w:ascii="Times New Roman" w:eastAsia="Times New Roman" w:hAnsi="Times New Roman" w:cs="Times New Roman"/>
          <w:color w:val="000000" w:themeColor="text1"/>
          <w:sz w:val="24"/>
          <w:szCs w:val="24"/>
        </w:rPr>
        <w:t xml:space="preserve"> conversation with both the teachers and pupils. Researchers also carried out informal observations of the classroom environment, paying particular attention to arts-based activities, wall displays showcasing pupil involvement, and examples of pupils’ writing. The visits helped capture pupils’ perspectives on their classroom experiences and showed how teachers engaged with pupil voice to shape and enrich classroom practices.</w:t>
      </w:r>
    </w:p>
    <w:p w14:paraId="76CAACA6" w14:textId="77777777" w:rsidR="00580AAF" w:rsidRPr="00580AAF" w:rsidRDefault="00580AAF" w:rsidP="00580AAF">
      <w:pPr>
        <w:spacing w:after="0" w:line="480" w:lineRule="auto"/>
        <w:ind w:firstLine="720"/>
        <w:rPr>
          <w:rFonts w:ascii="Times New Roman" w:eastAsia="Times New Roman" w:hAnsi="Times New Roman" w:cs="Times New Roman"/>
          <w:b/>
          <w:bCs/>
          <w:color w:val="000000" w:themeColor="text1"/>
          <w:sz w:val="24"/>
          <w:szCs w:val="24"/>
        </w:rPr>
      </w:pPr>
      <w:r w:rsidRPr="00580AAF">
        <w:rPr>
          <w:rFonts w:ascii="Times New Roman" w:eastAsia="Times New Roman" w:hAnsi="Times New Roman" w:cs="Times New Roman"/>
          <w:b/>
          <w:bCs/>
          <w:color w:val="000000" w:themeColor="text1"/>
          <w:sz w:val="24"/>
          <w:szCs w:val="24"/>
        </w:rPr>
        <w:t xml:space="preserve">Sharing and </w:t>
      </w:r>
      <w:proofErr w:type="gramStart"/>
      <w:r w:rsidRPr="00580AAF">
        <w:rPr>
          <w:rFonts w:ascii="Times New Roman" w:eastAsia="Times New Roman" w:hAnsi="Times New Roman" w:cs="Times New Roman"/>
          <w:b/>
          <w:bCs/>
          <w:color w:val="000000" w:themeColor="text1"/>
          <w:sz w:val="24"/>
          <w:szCs w:val="24"/>
        </w:rPr>
        <w:t>Celebrating</w:t>
      </w:r>
      <w:proofErr w:type="gramEnd"/>
      <w:r w:rsidRPr="00580AAF">
        <w:rPr>
          <w:rFonts w:ascii="Times New Roman" w:eastAsia="Times New Roman" w:hAnsi="Times New Roman" w:cs="Times New Roman"/>
          <w:b/>
          <w:bCs/>
          <w:color w:val="000000" w:themeColor="text1"/>
          <w:sz w:val="24"/>
          <w:szCs w:val="24"/>
        </w:rPr>
        <w:t>.</w:t>
      </w:r>
    </w:p>
    <w:p w14:paraId="584E4820"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 xml:space="preserve">At the end of each year, every teacher created a one-page poster as a summary of their individual action research project. The styles of the posters varied but they were all designed to capture key findings from each term of the project. Two examples are shown here (see Figure 1 and Figure 2).  </w:t>
      </w:r>
    </w:p>
    <w:p w14:paraId="4E31E78A" w14:textId="77777777" w:rsidR="00580AAF" w:rsidRPr="00580AAF" w:rsidRDefault="00580AAF" w:rsidP="00580AAF">
      <w:pPr>
        <w:spacing w:line="480" w:lineRule="auto"/>
        <w:rPr>
          <w:color w:val="000000" w:themeColor="text1"/>
        </w:rPr>
      </w:pPr>
      <w:bookmarkStart w:id="1" w:name="_Hlk216742857"/>
      <w:r w:rsidRPr="00580AAF">
        <w:rPr>
          <w:rFonts w:ascii="Times New Roman" w:eastAsia="Times New Roman" w:hAnsi="Times New Roman" w:cs="Times New Roman"/>
          <w:color w:val="000000" w:themeColor="text1"/>
          <w:sz w:val="24"/>
          <w:szCs w:val="24"/>
        </w:rPr>
        <w:t xml:space="preserve">Figure 1 Callout </w:t>
      </w:r>
      <w:bookmarkEnd w:id="1"/>
      <w:r w:rsidRPr="00580AAF">
        <w:rPr>
          <w:rFonts w:ascii="Times New Roman" w:eastAsia="Times New Roman" w:hAnsi="Times New Roman" w:cs="Times New Roman"/>
          <w:color w:val="000000" w:themeColor="text1"/>
          <w:sz w:val="24"/>
          <w:szCs w:val="24"/>
        </w:rPr>
        <w:t>INSERT FIGURE 1 HERE …</w:t>
      </w:r>
      <w:r w:rsidRPr="00580AAF">
        <w:rPr>
          <w:rFonts w:ascii="Times New Roman" w:eastAsia="Times New Roman" w:hAnsi="Times New Roman" w:cs="Times New Roman"/>
          <w:i/>
          <w:iCs/>
          <w:color w:val="000000" w:themeColor="text1"/>
          <w:sz w:val="24"/>
          <w:szCs w:val="24"/>
        </w:rPr>
        <w:t xml:space="preserve">Example of a Teacher’s Poster </w:t>
      </w:r>
    </w:p>
    <w:p w14:paraId="6B8C72E5" w14:textId="77777777" w:rsidR="00580AAF" w:rsidRPr="00580AAF" w:rsidRDefault="00580AAF" w:rsidP="00580AAF">
      <w:pPr>
        <w:spacing w:line="480" w:lineRule="auto"/>
        <w:rPr>
          <w:color w:val="000000" w:themeColor="text1"/>
        </w:rPr>
      </w:pPr>
      <w:r w:rsidRPr="00580AAF">
        <w:rPr>
          <w:rFonts w:ascii="Times New Roman" w:eastAsia="Times New Roman" w:hAnsi="Times New Roman" w:cs="Times New Roman"/>
          <w:color w:val="000000" w:themeColor="text1"/>
          <w:sz w:val="24"/>
          <w:szCs w:val="24"/>
        </w:rPr>
        <w:t>Figure 2 Callout INSERT FIGURE 2 HERE …</w:t>
      </w:r>
      <w:r w:rsidRPr="00580AAF">
        <w:rPr>
          <w:rFonts w:ascii="Times New Roman" w:eastAsia="Times New Roman" w:hAnsi="Times New Roman" w:cs="Times New Roman"/>
          <w:i/>
          <w:iCs/>
          <w:color w:val="000000" w:themeColor="text1"/>
          <w:sz w:val="24"/>
          <w:szCs w:val="24"/>
        </w:rPr>
        <w:t>Example of a Teacher’s Poster</w:t>
      </w:r>
    </w:p>
    <w:p w14:paraId="0620AC4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posters were presented together with an exhibition of children’s work at a ‘Celebration Day’ sharing event, held at a local Collaborative Learning Centre. In the morning of this event, the teachers set up displays that showcased the work that they had carried out with their class (see Figures 3, 4 and 5 for images from these displays). The teachers then viewed each other’s displays before having lunch together. After lunch the visitors were invited to view the displays and talk to the teachers about the work they had done.  These visitors included: representatives from the funders; colleagues from the Royal Opera House Bridge; the creative arts practitioners; local and national politicians; leaders of the Teaching School Alliances; governors, headteachers and project enablers from the participating schools; and our Dean and Head of School from the university. In the first and second year of the project, the Celebration Day also provided headteachers and designated teachers from the next schools to join the project with an opportunity to learn more about what participation in the project would involve.  </w:t>
      </w:r>
    </w:p>
    <w:p w14:paraId="2E7D3D90" w14:textId="77777777" w:rsidR="00580AAF" w:rsidRPr="00580AAF" w:rsidRDefault="00580AAF" w:rsidP="00580AAF">
      <w:pPr>
        <w:spacing w:line="480" w:lineRule="auto"/>
        <w:rPr>
          <w:color w:val="000000" w:themeColor="text1"/>
        </w:rPr>
      </w:pPr>
      <w:r w:rsidRPr="00580AAF">
        <w:rPr>
          <w:rFonts w:ascii="Times New Roman" w:eastAsia="Times New Roman" w:hAnsi="Times New Roman" w:cs="Times New Roman"/>
          <w:color w:val="000000" w:themeColor="text1"/>
          <w:sz w:val="24"/>
          <w:szCs w:val="24"/>
        </w:rPr>
        <w:t>Figure 3 Callout INSERT FIGURE 3 HERE …</w:t>
      </w:r>
      <w:r w:rsidRPr="00580AAF">
        <w:rPr>
          <w:rFonts w:ascii="Times New Roman" w:eastAsia="Times New Roman" w:hAnsi="Times New Roman" w:cs="Times New Roman"/>
          <w:i/>
          <w:iCs/>
          <w:color w:val="000000" w:themeColor="text1"/>
          <w:sz w:val="24"/>
          <w:szCs w:val="24"/>
        </w:rPr>
        <w:t>Pictures from the Celebration Day Displays</w:t>
      </w:r>
    </w:p>
    <w:p w14:paraId="15AF9222" w14:textId="77777777" w:rsidR="00580AAF" w:rsidRPr="00580AAF" w:rsidRDefault="00580AAF" w:rsidP="00580AAF">
      <w:pPr>
        <w:spacing w:line="480" w:lineRule="auto"/>
        <w:rPr>
          <w:color w:val="000000" w:themeColor="text1"/>
        </w:rPr>
      </w:pPr>
      <w:r w:rsidRPr="00580AAF">
        <w:rPr>
          <w:rFonts w:ascii="Times New Roman" w:eastAsia="Times New Roman" w:hAnsi="Times New Roman" w:cs="Times New Roman"/>
          <w:color w:val="000000" w:themeColor="text1"/>
          <w:sz w:val="24"/>
          <w:szCs w:val="24"/>
        </w:rPr>
        <w:t>Figure 4 Callout INSERT FIGURE 4 HERE …</w:t>
      </w:r>
      <w:r w:rsidRPr="00580AAF">
        <w:rPr>
          <w:rFonts w:ascii="Times New Roman" w:eastAsia="Times New Roman" w:hAnsi="Times New Roman" w:cs="Times New Roman"/>
          <w:i/>
          <w:iCs/>
          <w:color w:val="000000" w:themeColor="text1"/>
          <w:sz w:val="24"/>
          <w:szCs w:val="24"/>
        </w:rPr>
        <w:t>Pictures from the Celebration Day Displays</w:t>
      </w:r>
    </w:p>
    <w:p w14:paraId="0B85ED82" w14:textId="77777777" w:rsidR="00580AAF" w:rsidRPr="00580AAF" w:rsidRDefault="00580AAF" w:rsidP="00580AAF">
      <w:pPr>
        <w:spacing w:line="480" w:lineRule="auto"/>
        <w:rPr>
          <w:color w:val="000000" w:themeColor="text1"/>
        </w:rPr>
      </w:pPr>
      <w:r w:rsidRPr="00580AAF">
        <w:rPr>
          <w:rFonts w:ascii="Times New Roman" w:eastAsia="Times New Roman" w:hAnsi="Times New Roman" w:cs="Times New Roman"/>
          <w:color w:val="000000" w:themeColor="text1"/>
          <w:sz w:val="24"/>
          <w:szCs w:val="24"/>
        </w:rPr>
        <w:t>Figure 5 Callout INSERT FIGURE 5 HERE …</w:t>
      </w:r>
      <w:r w:rsidRPr="00580AAF">
        <w:rPr>
          <w:rFonts w:ascii="Times New Roman" w:eastAsia="Times New Roman" w:hAnsi="Times New Roman" w:cs="Times New Roman"/>
          <w:i/>
          <w:iCs/>
          <w:color w:val="000000" w:themeColor="text1"/>
          <w:sz w:val="24"/>
          <w:szCs w:val="24"/>
        </w:rPr>
        <w:t>Pictures from the Celebration Day Displays</w:t>
      </w:r>
    </w:p>
    <w:p w14:paraId="2BF54ED2"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b/>
          <w:bCs/>
          <w:color w:val="000000" w:themeColor="text1"/>
          <w:sz w:val="24"/>
          <w:szCs w:val="24"/>
        </w:rPr>
        <w:t>Benefits of the project</w:t>
      </w:r>
      <w:r w:rsidRPr="00580AAF">
        <w:rPr>
          <w:rFonts w:ascii="Times New Roman" w:hAnsi="Times New Roman" w:cs="Times New Roman"/>
          <w:color w:val="000000" w:themeColor="text1"/>
          <w:sz w:val="24"/>
          <w:szCs w:val="24"/>
        </w:rPr>
        <w:t xml:space="preserve"> </w:t>
      </w:r>
    </w:p>
    <w:p w14:paraId="7CDDA9C6"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Whilst teachers summarised their individual Action Research findings on their posters and through Celebration Day displays, there were also common themes that were identified across the teachers’ accounts. These were organised under Children’s Writing, Children’s Learning, Arts Learning, Outcomes for Teachers, and Influence in Schools and can be found in each of the three annual reports on the project website (Creative Writing though the Arts, 2019). Some key outcomes are described here. 6</w:t>
      </w:r>
    </w:p>
    <w:p w14:paraId="5EC708D0" w14:textId="77777777" w:rsidR="00580AAF" w:rsidRPr="00580AAF" w:rsidRDefault="00580AAF" w:rsidP="00580AAF">
      <w:pPr>
        <w:spacing w:line="480" w:lineRule="auto"/>
        <w:rPr>
          <w:rFonts w:ascii="Times New Roman" w:eastAsia="Times New Roman" w:hAnsi="Times New Roman" w:cs="Times New Roman"/>
          <w:i/>
          <w:iCs/>
          <w:color w:val="000000" w:themeColor="text1"/>
          <w:sz w:val="24"/>
          <w:szCs w:val="24"/>
        </w:rPr>
      </w:pPr>
      <w:r w:rsidRPr="00580AAF">
        <w:rPr>
          <w:rFonts w:ascii="Times New Roman" w:eastAsia="Times New Roman" w:hAnsi="Times New Roman" w:cs="Times New Roman"/>
          <w:i/>
          <w:iCs/>
          <w:color w:val="000000" w:themeColor="text1"/>
          <w:sz w:val="24"/>
          <w:szCs w:val="24"/>
        </w:rPr>
        <w:t>Benefits for children’s learning</w:t>
      </w:r>
    </w:p>
    <w:p w14:paraId="14AA0562" w14:textId="77777777" w:rsidR="00580AAF" w:rsidRPr="00580AAF" w:rsidRDefault="00580AAF" w:rsidP="00580AAF">
      <w:pPr>
        <w:spacing w:line="480" w:lineRule="auto"/>
        <w:ind w:firstLine="720"/>
        <w:rPr>
          <w:rFonts w:ascii="Times New Roman" w:eastAsia="Times New Roman" w:hAnsi="Times New Roman" w:cs="Times New Roman"/>
          <w:b/>
          <w:bCs/>
          <w:color w:val="000000" w:themeColor="text1"/>
          <w:sz w:val="24"/>
          <w:szCs w:val="24"/>
        </w:rPr>
      </w:pPr>
      <w:r w:rsidRPr="00580AAF">
        <w:rPr>
          <w:rFonts w:ascii="Times New Roman" w:eastAsia="Times New Roman" w:hAnsi="Times New Roman" w:cs="Times New Roman"/>
          <w:b/>
          <w:bCs/>
          <w:color w:val="000000" w:themeColor="text1"/>
          <w:sz w:val="24"/>
          <w:szCs w:val="24"/>
        </w:rPr>
        <w:t>Positive Dispositions for Learning.</w:t>
      </w:r>
    </w:p>
    <w:p w14:paraId="599D30B4"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The teacher researchers found that integrating other art forms with creative writing introduced a sense of fun and excitement into the classroom, motivating children to write and igniting their imaginations. It raised children’s confidence in terms </w:t>
      </w:r>
      <w:proofErr w:type="gramStart"/>
      <w:r w:rsidRPr="00580AAF">
        <w:rPr>
          <w:rFonts w:ascii="Times New Roman" w:eastAsia="Times New Roman" w:hAnsi="Times New Roman" w:cs="Times New Roman"/>
          <w:color w:val="000000" w:themeColor="text1"/>
          <w:sz w:val="24"/>
          <w:szCs w:val="24"/>
        </w:rPr>
        <w:t>of:</w:t>
      </w:r>
      <w:proofErr w:type="gramEnd"/>
      <w:r w:rsidRPr="00580AAF">
        <w:rPr>
          <w:rFonts w:ascii="Times New Roman" w:eastAsia="Times New Roman" w:hAnsi="Times New Roman" w:cs="Times New Roman"/>
          <w:color w:val="000000" w:themeColor="text1"/>
          <w:sz w:val="24"/>
          <w:szCs w:val="24"/>
        </w:rPr>
        <w:t xml:space="preserve"> ability to revise and redraft their work; preparedness to have a go at new things</w:t>
      </w:r>
      <w:r w:rsidRPr="00580AAF">
        <w:rPr>
          <w:color w:val="000000" w:themeColor="text1"/>
        </w:rPr>
        <w:t xml:space="preserve"> </w:t>
      </w:r>
      <w:r w:rsidRPr="00580AAF">
        <w:rPr>
          <w:rFonts w:ascii="Times New Roman" w:eastAsia="Times New Roman" w:hAnsi="Times New Roman" w:cs="Times New Roman"/>
          <w:color w:val="000000" w:themeColor="text1"/>
          <w:sz w:val="24"/>
          <w:szCs w:val="24"/>
        </w:rPr>
        <w:t xml:space="preserve">and to challenge themselves; and to taking a pride in their work. </w:t>
      </w:r>
    </w:p>
    <w:p w14:paraId="7E625AC1" w14:textId="77777777" w:rsidR="00580AAF" w:rsidRPr="00580AAF" w:rsidRDefault="00580AAF" w:rsidP="00580AAF">
      <w:pPr>
        <w:spacing w:line="480" w:lineRule="auto"/>
        <w:ind w:firstLine="720"/>
        <w:rPr>
          <w:rFonts w:ascii="Times New Roman" w:eastAsia="Times New Roman" w:hAnsi="Times New Roman" w:cs="Times New Roman"/>
          <w:b/>
          <w:bCs/>
          <w:color w:val="000000" w:themeColor="text1"/>
          <w:sz w:val="24"/>
          <w:szCs w:val="24"/>
        </w:rPr>
      </w:pPr>
      <w:r w:rsidRPr="00580AAF">
        <w:rPr>
          <w:rFonts w:ascii="Times New Roman" w:eastAsia="Times New Roman" w:hAnsi="Times New Roman" w:cs="Times New Roman"/>
          <w:b/>
          <w:bCs/>
          <w:color w:val="000000" w:themeColor="text1"/>
          <w:sz w:val="24"/>
          <w:szCs w:val="24"/>
        </w:rPr>
        <w:t>An Inclusive Approach.</w:t>
      </w:r>
    </w:p>
    <w:p w14:paraId="1E409780"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Arts activities and writing through the arts were seen to be inclusive because the activities tended to be participatory, open-ended and accessible for all learners. Children who were reluctant writers became more responsive and wrote more. The experiences on offer, and the structure provided by acting, dancing, or drawing prior to writing, supported some children to write more. Quieter children began to share their ideas and children grew in self-esteem.</w:t>
      </w:r>
    </w:p>
    <w:p w14:paraId="2F00C6DE" w14:textId="77777777" w:rsidR="00580AAF" w:rsidRPr="00580AAF" w:rsidRDefault="00580AAF" w:rsidP="00580AAF">
      <w:pPr>
        <w:spacing w:line="480" w:lineRule="auto"/>
        <w:ind w:firstLine="720"/>
        <w:rPr>
          <w:rFonts w:ascii="Times New Roman" w:eastAsia="Times New Roman" w:hAnsi="Times New Roman" w:cs="Times New Roman"/>
          <w:b/>
          <w:bCs/>
          <w:color w:val="000000" w:themeColor="text1"/>
          <w:sz w:val="24"/>
          <w:szCs w:val="24"/>
        </w:rPr>
      </w:pPr>
      <w:r w:rsidRPr="00580AAF">
        <w:rPr>
          <w:rFonts w:ascii="Times New Roman" w:eastAsia="Times New Roman" w:hAnsi="Times New Roman" w:cs="Times New Roman"/>
          <w:b/>
          <w:bCs/>
          <w:color w:val="000000" w:themeColor="text1"/>
          <w:sz w:val="24"/>
          <w:szCs w:val="24"/>
        </w:rPr>
        <w:t>Collaboration.</w:t>
      </w:r>
    </w:p>
    <w:p w14:paraId="4BDA036C"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Children were given opportunities to work together, and to encourage one another on group tasks. Children’s opinions were sought (see for example the feedback on art forms in Figure 6) and they felt valued for their contributions. Reflective activities, peer feedback, and </w:t>
      </w:r>
      <w:r w:rsidRPr="00580AAF">
        <w:rPr>
          <w:rFonts w:ascii="Times New Roman" w:eastAsia="Times New Roman" w:hAnsi="Times New Roman" w:cs="Times New Roman"/>
          <w:color w:val="000000" w:themeColor="text1"/>
          <w:sz w:val="24"/>
          <w:szCs w:val="24"/>
        </w:rPr>
        <w:lastRenderedPageBreak/>
        <w:t xml:space="preserve">individual and group self-assessment strategies were used to support children in critiquing and improving their work, an example is seen in Figure 7. These led to the improvement of dance, drama and music performances and to raised standards of writing. </w:t>
      </w:r>
    </w:p>
    <w:p w14:paraId="05C218BC"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eastAsia="Aptos" w:hAnsi="Times New Roman" w:cs="Times New Roman"/>
          <w:color w:val="000000" w:themeColor="text1"/>
          <w:sz w:val="24"/>
          <w:szCs w:val="24"/>
        </w:rPr>
        <w:t>Figure 6 Callout INSERT FIGURE 6 HERE.</w:t>
      </w:r>
      <w:proofErr w:type="gramStart"/>
      <w:r w:rsidRPr="00580AAF">
        <w:rPr>
          <w:rFonts w:ascii="Times New Roman" w:eastAsia="Aptos" w:hAnsi="Times New Roman" w:cs="Times New Roman"/>
          <w:color w:val="000000" w:themeColor="text1"/>
          <w:sz w:val="24"/>
          <w:szCs w:val="24"/>
        </w:rPr>
        <w:t>..Children’s</w:t>
      </w:r>
      <w:proofErr w:type="gramEnd"/>
      <w:r w:rsidRPr="00580AAF">
        <w:rPr>
          <w:rFonts w:ascii="Times New Roman" w:eastAsia="Aptos" w:hAnsi="Times New Roman" w:cs="Times New Roman"/>
          <w:color w:val="000000" w:themeColor="text1"/>
          <w:sz w:val="24"/>
          <w:szCs w:val="24"/>
        </w:rPr>
        <w:t xml:space="preserve"> feedback on the use of arts forms in writing</w:t>
      </w:r>
    </w:p>
    <w:p w14:paraId="023B9741" w14:textId="77777777" w:rsidR="00580AAF" w:rsidRPr="00580AAF" w:rsidRDefault="00580AAF" w:rsidP="00580AAF">
      <w:pPr>
        <w:spacing w:line="440" w:lineRule="auto"/>
        <w:rPr>
          <w:rFonts w:ascii="Times New Roman" w:hAnsi="Times New Roman" w:cs="Times New Roman"/>
          <w:color w:val="000000" w:themeColor="text1"/>
          <w:sz w:val="24"/>
          <w:szCs w:val="24"/>
        </w:rPr>
      </w:pPr>
      <w:r w:rsidRPr="00580AAF">
        <w:rPr>
          <w:rFonts w:ascii="Times New Roman" w:eastAsia="Aptos" w:hAnsi="Times New Roman" w:cs="Times New Roman"/>
          <w:color w:val="000000" w:themeColor="text1"/>
          <w:sz w:val="24"/>
          <w:szCs w:val="24"/>
        </w:rPr>
        <w:t>Figure 7 Callout INSERT FIGURE 7 HERE … A pupil’s critique of their dance performance</w:t>
      </w:r>
    </w:p>
    <w:p w14:paraId="43263982" w14:textId="77777777" w:rsidR="00580AAF" w:rsidRPr="00580AAF" w:rsidRDefault="00580AAF" w:rsidP="00580AAF">
      <w:pPr>
        <w:spacing w:line="480" w:lineRule="auto"/>
        <w:rPr>
          <w:rFonts w:ascii="Times New Roman" w:eastAsia="Times New Roman" w:hAnsi="Times New Roman" w:cs="Times New Roman"/>
          <w:i/>
          <w:color w:val="000000" w:themeColor="text1"/>
          <w:sz w:val="24"/>
          <w:szCs w:val="24"/>
        </w:rPr>
      </w:pPr>
      <w:r w:rsidRPr="00580AAF">
        <w:rPr>
          <w:rFonts w:ascii="Times New Roman" w:eastAsia="Times New Roman" w:hAnsi="Times New Roman" w:cs="Times New Roman"/>
          <w:i/>
          <w:iCs/>
          <w:color w:val="000000" w:themeColor="text1"/>
          <w:sz w:val="24"/>
          <w:szCs w:val="24"/>
        </w:rPr>
        <w:t>Benefits for children’s writing:</w:t>
      </w:r>
    </w:p>
    <w:p w14:paraId="2C79001B"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The strong engagement with learning supported the development of skills in language and literacy.  This is captured in this extract from the narrative of a Year Two teacher, who was using listening to classical music as a stimulus linked to their class project about ‘Toys of the Past’:  </w:t>
      </w:r>
    </w:p>
    <w:p w14:paraId="3905C80D" w14:textId="77777777" w:rsidR="00580AAF" w:rsidRPr="00580AAF" w:rsidRDefault="00580AAF" w:rsidP="00580AAF">
      <w:pPr>
        <w:spacing w:line="480" w:lineRule="auto"/>
        <w:rPr>
          <w:rFonts w:ascii="Times New Roman" w:eastAsia="Times New Roman" w:hAnsi="Times New Roman" w:cs="Times New Roman"/>
          <w:i/>
          <w:iCs/>
          <w:color w:val="000000" w:themeColor="text1"/>
          <w:sz w:val="24"/>
          <w:szCs w:val="24"/>
        </w:rPr>
      </w:pPr>
      <w:r w:rsidRPr="00580AAF">
        <w:rPr>
          <w:rFonts w:ascii="Times New Roman" w:eastAsia="Times New Roman" w:hAnsi="Times New Roman" w:cs="Times New Roman"/>
          <w:i/>
          <w:iCs/>
          <w:color w:val="000000" w:themeColor="text1"/>
          <w:sz w:val="24"/>
          <w:szCs w:val="24"/>
        </w:rPr>
        <w:t xml:space="preserve">I was amazed by the ideas the children came up with. </w:t>
      </w:r>
      <w:proofErr w:type="gramStart"/>
      <w:r w:rsidRPr="00580AAF">
        <w:rPr>
          <w:rFonts w:ascii="Times New Roman" w:eastAsia="Times New Roman" w:hAnsi="Times New Roman" w:cs="Times New Roman"/>
          <w:i/>
          <w:iCs/>
          <w:color w:val="000000" w:themeColor="text1"/>
          <w:sz w:val="24"/>
          <w:szCs w:val="24"/>
        </w:rPr>
        <w:t>Previous to</w:t>
      </w:r>
      <w:proofErr w:type="gramEnd"/>
      <w:r w:rsidRPr="00580AAF">
        <w:rPr>
          <w:rFonts w:ascii="Times New Roman" w:eastAsia="Times New Roman" w:hAnsi="Times New Roman" w:cs="Times New Roman"/>
          <w:i/>
          <w:iCs/>
          <w:color w:val="000000" w:themeColor="text1"/>
          <w:sz w:val="24"/>
          <w:szCs w:val="24"/>
        </w:rPr>
        <w:t xml:space="preserve"> this session when we have completed descriptive pieces of writing many children had got themselves stuck only using language such as big/ small/ pretty and lovely. </w:t>
      </w:r>
      <w:proofErr w:type="gramStart"/>
      <w:r w:rsidRPr="00580AAF">
        <w:rPr>
          <w:rFonts w:ascii="Times New Roman" w:eastAsia="Times New Roman" w:hAnsi="Times New Roman" w:cs="Times New Roman"/>
          <w:i/>
          <w:iCs/>
          <w:color w:val="000000" w:themeColor="text1"/>
          <w:sz w:val="24"/>
          <w:szCs w:val="24"/>
        </w:rPr>
        <w:t>All of</w:t>
      </w:r>
      <w:proofErr w:type="gramEnd"/>
      <w:r w:rsidRPr="00580AAF">
        <w:rPr>
          <w:rFonts w:ascii="Times New Roman" w:eastAsia="Times New Roman" w:hAnsi="Times New Roman" w:cs="Times New Roman"/>
          <w:i/>
          <w:iCs/>
          <w:color w:val="000000" w:themeColor="text1"/>
          <w:sz w:val="24"/>
          <w:szCs w:val="24"/>
        </w:rPr>
        <w:t xml:space="preserve"> a </w:t>
      </w:r>
      <w:proofErr w:type="gramStart"/>
      <w:r w:rsidRPr="00580AAF">
        <w:rPr>
          <w:rFonts w:ascii="Times New Roman" w:eastAsia="Times New Roman" w:hAnsi="Times New Roman" w:cs="Times New Roman"/>
          <w:i/>
          <w:iCs/>
          <w:color w:val="000000" w:themeColor="text1"/>
          <w:sz w:val="24"/>
          <w:szCs w:val="24"/>
        </w:rPr>
        <w:t>sudden</w:t>
      </w:r>
      <w:proofErr w:type="gramEnd"/>
      <w:r w:rsidRPr="00580AAF">
        <w:rPr>
          <w:rFonts w:ascii="Times New Roman" w:eastAsia="Times New Roman" w:hAnsi="Times New Roman" w:cs="Times New Roman"/>
          <w:i/>
          <w:iCs/>
          <w:color w:val="000000" w:themeColor="text1"/>
          <w:sz w:val="24"/>
          <w:szCs w:val="24"/>
        </w:rPr>
        <w:t xml:space="preserve"> those children came out with much more detailed language. Some examples included, ' propellers whirring, tyres screeching, buzzing delicately'. I was so impressed by the children's ideas that I extended them to think of similes to describe their chosen toy. All children were able to independently </w:t>
      </w:r>
      <w:r w:rsidRPr="00580AAF">
        <w:rPr>
          <w:rFonts w:ascii="Times New Roman" w:eastAsia="Times New Roman" w:hAnsi="Times New Roman" w:cs="Times New Roman"/>
          <w:i/>
          <w:color w:val="000000" w:themeColor="text1"/>
          <w:sz w:val="24"/>
          <w:szCs w:val="24"/>
        </w:rPr>
        <w:t xml:space="preserve">think of a simile, which was a huge achievement for some children who struggle to work independently in </w:t>
      </w:r>
      <w:r w:rsidRPr="00580AAF">
        <w:rPr>
          <w:rFonts w:ascii="Times New Roman" w:eastAsia="Times New Roman" w:hAnsi="Times New Roman" w:cs="Times New Roman"/>
          <w:i/>
          <w:iCs/>
          <w:color w:val="000000" w:themeColor="text1"/>
          <w:sz w:val="24"/>
          <w:szCs w:val="24"/>
        </w:rPr>
        <w:t>any lesson</w:t>
      </w:r>
      <w:r w:rsidRPr="00580AAF">
        <w:rPr>
          <w:rFonts w:ascii="Times New Roman" w:eastAsia="Times New Roman" w:hAnsi="Times New Roman" w:cs="Times New Roman"/>
          <w:i/>
          <w:color w:val="000000" w:themeColor="text1"/>
          <w:sz w:val="24"/>
          <w:szCs w:val="24"/>
        </w:rPr>
        <w:t>.</w:t>
      </w:r>
      <w:r w:rsidRPr="00580AAF">
        <w:rPr>
          <w:rFonts w:ascii="Times New Roman" w:eastAsia="Times New Roman" w:hAnsi="Times New Roman" w:cs="Times New Roman"/>
          <w:i/>
          <w:iCs/>
          <w:color w:val="000000" w:themeColor="text1"/>
          <w:sz w:val="24"/>
          <w:szCs w:val="24"/>
        </w:rPr>
        <w:t xml:space="preserve"> </w:t>
      </w:r>
      <w:r w:rsidRPr="00580AAF">
        <w:rPr>
          <w:rFonts w:ascii="Times New Roman" w:eastAsia="Times New Roman" w:hAnsi="Times New Roman" w:cs="Times New Roman"/>
          <w:i/>
          <w:color w:val="000000" w:themeColor="text1"/>
          <w:sz w:val="24"/>
          <w:szCs w:val="24"/>
        </w:rPr>
        <w:t>I feel this lesson gave some of my children the confidence they needed to write down their ideas and gave others the creative juices to extend their ideas</w:t>
      </w:r>
      <w:r w:rsidRPr="00580AAF">
        <w:rPr>
          <w:rFonts w:ascii="Times New Roman" w:eastAsia="Times New Roman" w:hAnsi="Times New Roman" w:cs="Times New Roman"/>
          <w:i/>
          <w:iCs/>
          <w:color w:val="000000" w:themeColor="text1"/>
          <w:sz w:val="24"/>
          <w:szCs w:val="24"/>
        </w:rPr>
        <w:t>.</w:t>
      </w:r>
    </w:p>
    <w:p w14:paraId="2DD87610"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Children surprising their teachers with their responses was a common theme. Children who were consistently high attainers in English writing activities were sometimes less assured when there were many possibilities to explore and no single correct answer. Conversely, </w:t>
      </w:r>
      <w:r w:rsidRPr="00580AAF">
        <w:rPr>
          <w:rFonts w:ascii="Times New Roman" w:eastAsia="Times New Roman" w:hAnsi="Times New Roman" w:cs="Times New Roman"/>
          <w:color w:val="000000" w:themeColor="text1"/>
          <w:sz w:val="24"/>
          <w:szCs w:val="24"/>
        </w:rPr>
        <w:lastRenderedPageBreak/>
        <w:t xml:space="preserve">some children who had found writing difficult thrived when learning through an arts-based approach. </w:t>
      </w:r>
    </w:p>
    <w:p w14:paraId="64360765"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Examples of children’s writing revealed skills in vocabulary, descriptive language and sustained writing across different genres. Creative interventions, as suggested by the arts practitioners, enabled teachers to design activities and develop teaching strategies that helped children plan and structure their writing more effectively. Creative arts helped children to work more independently and produce longer, more expressive pieces. Teachers noted </w:t>
      </w:r>
      <w:proofErr w:type="gramStart"/>
      <w:r w:rsidRPr="00580AAF">
        <w:rPr>
          <w:rFonts w:ascii="Times New Roman" w:eastAsia="Times New Roman" w:hAnsi="Times New Roman" w:cs="Times New Roman"/>
          <w:color w:val="000000" w:themeColor="text1"/>
          <w:sz w:val="24"/>
          <w:szCs w:val="24"/>
        </w:rPr>
        <w:t>particular benefits</w:t>
      </w:r>
      <w:proofErr w:type="gramEnd"/>
      <w:r w:rsidRPr="00580AAF">
        <w:rPr>
          <w:rFonts w:ascii="Times New Roman" w:eastAsia="Times New Roman" w:hAnsi="Times New Roman" w:cs="Times New Roman"/>
          <w:color w:val="000000" w:themeColor="text1"/>
          <w:sz w:val="24"/>
          <w:szCs w:val="24"/>
        </w:rPr>
        <w:t xml:space="preserve"> for boys and children with additional needs.</w:t>
      </w:r>
    </w:p>
    <w:p w14:paraId="07C6A7C1"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Two examples of children’s writing from the project are shown and discussed here, both inspired by dance. </w:t>
      </w:r>
    </w:p>
    <w:p w14:paraId="6B1E4677"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eastAsia="Aptos" w:hAnsi="Times New Roman" w:cs="Times New Roman"/>
          <w:color w:val="000000" w:themeColor="text1"/>
          <w:sz w:val="24"/>
          <w:szCs w:val="24"/>
        </w:rPr>
        <w:t>Figure 8 Callout INSERT FIGURE 8 HERE... A Reception child’s piece of writing and teacher’s assessment</w:t>
      </w:r>
    </w:p>
    <w:p w14:paraId="03823BA5"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first piece of writing (see Figure 8) was written in the </w:t>
      </w:r>
      <w:proofErr w:type="gramStart"/>
      <w:r w:rsidRPr="00580AAF">
        <w:rPr>
          <w:rFonts w:ascii="Times New Roman" w:hAnsi="Times New Roman" w:cs="Times New Roman"/>
          <w:color w:val="000000" w:themeColor="text1"/>
          <w:sz w:val="24"/>
          <w:szCs w:val="24"/>
        </w:rPr>
        <w:t>Summer</w:t>
      </w:r>
      <w:proofErr w:type="gramEnd"/>
      <w:r w:rsidRPr="00580AAF">
        <w:rPr>
          <w:rFonts w:ascii="Times New Roman" w:hAnsi="Times New Roman" w:cs="Times New Roman"/>
          <w:color w:val="000000" w:themeColor="text1"/>
          <w:sz w:val="24"/>
          <w:szCs w:val="24"/>
        </w:rPr>
        <w:t xml:space="preserve"> term by a five-year-old pupil in a </w:t>
      </w:r>
      <w:proofErr w:type="gramStart"/>
      <w:r w:rsidRPr="00580AAF">
        <w:rPr>
          <w:rFonts w:ascii="Times New Roman" w:hAnsi="Times New Roman" w:cs="Times New Roman"/>
          <w:color w:val="000000" w:themeColor="text1"/>
          <w:sz w:val="24"/>
          <w:szCs w:val="24"/>
        </w:rPr>
        <w:t>Reception</w:t>
      </w:r>
      <w:proofErr w:type="gramEnd"/>
      <w:r w:rsidRPr="00580AAF">
        <w:rPr>
          <w:rFonts w:ascii="Times New Roman" w:hAnsi="Times New Roman" w:cs="Times New Roman"/>
          <w:color w:val="000000" w:themeColor="text1"/>
          <w:sz w:val="24"/>
          <w:szCs w:val="24"/>
        </w:rPr>
        <w:t xml:space="preserve"> class. The writing describes the character Maleficent from Cinderella, and her plans for revenge. The pupil shows early awareness of narrative structure by beginning with ‘The evil Maleficent is back’, immediately introducing character and motive. The use of adjectives, such as ‘evil’, ‘poisonous frog’, and ‘red emerald’, demonstrates the child’s attempt to create vivid description, linking to the learning intention of using exciting adjectives. The pupil experiments with sequencing actions, for example, ‘She is going to put a poisonous frog in his drink and then she is going to mush the frog up and mix it with water’. This shows an emerging ability to extend sentences using connectives such as ‘and then’. The idea of disguise is introduced ‘She is going to </w:t>
      </w:r>
      <w:proofErr w:type="spellStart"/>
      <w:r w:rsidRPr="00580AAF">
        <w:rPr>
          <w:rFonts w:ascii="Times New Roman" w:hAnsi="Times New Roman" w:cs="Times New Roman"/>
          <w:color w:val="000000" w:themeColor="text1"/>
          <w:sz w:val="24"/>
          <w:szCs w:val="24"/>
        </w:rPr>
        <w:t>dikise</w:t>
      </w:r>
      <w:proofErr w:type="spellEnd"/>
      <w:r w:rsidRPr="00580AAF">
        <w:rPr>
          <w:rFonts w:ascii="Times New Roman" w:hAnsi="Times New Roman" w:cs="Times New Roman"/>
          <w:color w:val="000000" w:themeColor="text1"/>
          <w:sz w:val="24"/>
          <w:szCs w:val="24"/>
        </w:rPr>
        <w:t xml:space="preserve"> herself’, showing imaginative thinking and awareness of how villains often operate in stories.</w:t>
      </w:r>
    </w:p>
    <w:p w14:paraId="3636D886"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Spelling is largely phonetic (‘</w:t>
      </w:r>
      <w:proofErr w:type="spellStart"/>
      <w:r w:rsidRPr="00580AAF">
        <w:rPr>
          <w:rFonts w:ascii="Times New Roman" w:hAnsi="Times New Roman" w:cs="Times New Roman"/>
          <w:color w:val="000000" w:themeColor="text1"/>
          <w:sz w:val="24"/>
          <w:szCs w:val="24"/>
        </w:rPr>
        <w:t>hes</w:t>
      </w:r>
      <w:proofErr w:type="spellEnd"/>
      <w:r w:rsidRPr="00580AAF">
        <w:rPr>
          <w:rFonts w:ascii="Times New Roman" w:hAnsi="Times New Roman" w:cs="Times New Roman"/>
          <w:color w:val="000000" w:themeColor="text1"/>
          <w:sz w:val="24"/>
          <w:szCs w:val="24"/>
        </w:rPr>
        <w:t xml:space="preserve"> </w:t>
      </w:r>
      <w:proofErr w:type="spellStart"/>
      <w:r w:rsidRPr="00580AAF">
        <w:rPr>
          <w:rFonts w:ascii="Times New Roman" w:hAnsi="Times New Roman" w:cs="Times New Roman"/>
          <w:color w:val="000000" w:themeColor="text1"/>
          <w:sz w:val="24"/>
          <w:szCs w:val="24"/>
        </w:rPr>
        <w:t>drinik</w:t>
      </w:r>
      <w:proofErr w:type="spellEnd"/>
      <w:r w:rsidRPr="00580AAF">
        <w:rPr>
          <w:rFonts w:ascii="Times New Roman" w:hAnsi="Times New Roman" w:cs="Times New Roman"/>
          <w:color w:val="000000" w:themeColor="text1"/>
          <w:sz w:val="24"/>
          <w:szCs w:val="24"/>
        </w:rPr>
        <w:t>’, ‘</w:t>
      </w:r>
      <w:proofErr w:type="spellStart"/>
      <w:r w:rsidRPr="00580AAF">
        <w:rPr>
          <w:rFonts w:ascii="Times New Roman" w:hAnsi="Times New Roman" w:cs="Times New Roman"/>
          <w:color w:val="000000" w:themeColor="text1"/>
          <w:sz w:val="24"/>
          <w:szCs w:val="24"/>
        </w:rPr>
        <w:t>dikise</w:t>
      </w:r>
      <w:proofErr w:type="spellEnd"/>
      <w:r w:rsidRPr="00580AAF">
        <w:rPr>
          <w:rFonts w:ascii="Times New Roman" w:hAnsi="Times New Roman" w:cs="Times New Roman"/>
          <w:color w:val="000000" w:themeColor="text1"/>
          <w:sz w:val="24"/>
          <w:szCs w:val="24"/>
        </w:rPr>
        <w:t>’, ‘</w:t>
      </w:r>
      <w:proofErr w:type="spellStart"/>
      <w:r w:rsidRPr="00580AAF">
        <w:rPr>
          <w:rFonts w:ascii="Times New Roman" w:hAnsi="Times New Roman" w:cs="Times New Roman"/>
          <w:color w:val="000000" w:themeColor="text1"/>
          <w:sz w:val="24"/>
          <w:szCs w:val="24"/>
        </w:rPr>
        <w:t>cindrella</w:t>
      </w:r>
      <w:proofErr w:type="spellEnd"/>
      <w:r w:rsidRPr="00580AAF">
        <w:rPr>
          <w:rFonts w:ascii="Times New Roman" w:hAnsi="Times New Roman" w:cs="Times New Roman"/>
          <w:color w:val="000000" w:themeColor="text1"/>
          <w:sz w:val="24"/>
          <w:szCs w:val="24"/>
        </w:rPr>
        <w:t>’), and is plausible and decodable, demonstrating a developing phonics knowledge. Capital letters are sometimes used appropriately for names though consistency is still emerging. The final sentence, ‘</w:t>
      </w:r>
      <w:proofErr w:type="spellStart"/>
      <w:r w:rsidRPr="00580AAF">
        <w:rPr>
          <w:rFonts w:ascii="Times New Roman" w:hAnsi="Times New Roman" w:cs="Times New Roman"/>
          <w:color w:val="000000" w:themeColor="text1"/>
          <w:sz w:val="24"/>
          <w:szCs w:val="24"/>
        </w:rPr>
        <w:t>Malificent</w:t>
      </w:r>
      <w:proofErr w:type="spellEnd"/>
      <w:r w:rsidRPr="00580AAF">
        <w:rPr>
          <w:rFonts w:ascii="Times New Roman" w:hAnsi="Times New Roman" w:cs="Times New Roman"/>
          <w:color w:val="000000" w:themeColor="text1"/>
          <w:sz w:val="24"/>
          <w:szCs w:val="24"/>
        </w:rPr>
        <w:t xml:space="preserve"> is back’, rounds the piece off effectively, reinforcing the story’s theme. Overall, this is an imaginative and independently written piece of Reception writing. </w:t>
      </w:r>
    </w:p>
    <w:p w14:paraId="711D4D44"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Aptos" w:hAnsi="Times New Roman" w:cs="Times New Roman"/>
          <w:color w:val="000000" w:themeColor="text1"/>
          <w:sz w:val="24"/>
          <w:szCs w:val="24"/>
        </w:rPr>
        <w:t>Figure 9 Callout INSERT FIGURE 9 HERE</w:t>
      </w:r>
      <w:r w:rsidRPr="00580AAF">
        <w:rPr>
          <w:rFonts w:ascii="Times New Roman" w:eastAsia="Times New Roman" w:hAnsi="Times New Roman" w:cs="Times New Roman"/>
          <w:color w:val="000000" w:themeColor="text1"/>
          <w:sz w:val="24"/>
          <w:szCs w:val="24"/>
        </w:rPr>
        <w:t>... A Year 2 pupil’s writing</w:t>
      </w:r>
    </w:p>
    <w:p w14:paraId="0C2A1993"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The second piece was also written in the Summer Term but by a Year 2 pupil (a </w:t>
      </w:r>
      <w:proofErr w:type="gramStart"/>
      <w:r w:rsidRPr="00580AAF">
        <w:rPr>
          <w:rFonts w:ascii="Times New Roman" w:eastAsia="Times New Roman" w:hAnsi="Times New Roman" w:cs="Times New Roman"/>
          <w:color w:val="000000" w:themeColor="text1"/>
          <w:sz w:val="24"/>
          <w:szCs w:val="24"/>
        </w:rPr>
        <w:t>seven-year old</w:t>
      </w:r>
      <w:proofErr w:type="gramEnd"/>
      <w:r w:rsidRPr="00580AAF">
        <w:rPr>
          <w:rFonts w:ascii="Times New Roman" w:eastAsia="Times New Roman" w:hAnsi="Times New Roman" w:cs="Times New Roman"/>
          <w:color w:val="000000" w:themeColor="text1"/>
          <w:sz w:val="24"/>
          <w:szCs w:val="24"/>
        </w:rPr>
        <w:t>). The work is a narrative recounting of an ant’s determined journey home with a leaf. The pupil has structured the story in a clear sequence, using time connectives such as ‘First’ and ‘Next’ to guide the reader through the stages of the journey. The description of the obstacles, including the ‘broken rickety bridge’ and the ‘long, green, slimy wet grass’, shows effective use of expanded noun phrases to build imagery and tension. The inclusion of direct speech ‘How am I going to get through these long, green, slimy wet grass?’ adds character and voice to the ant’s challenge. The pace is varied, with the build-up to the dramatic moment of the ‘fast, scary and gigantic foot’ providing suspense by the ant’s ‘frantic’ escape. The story is resolved with a contrasting calm tone, as the ant reaches ‘Sweet, sweet, home’ and settles peacefully. Some spelling errors, such as ‘</w:t>
      </w:r>
      <w:proofErr w:type="spellStart"/>
      <w:r w:rsidRPr="00580AAF">
        <w:rPr>
          <w:rFonts w:ascii="Times New Roman" w:eastAsia="Times New Roman" w:hAnsi="Times New Roman" w:cs="Times New Roman"/>
          <w:color w:val="000000" w:themeColor="text1"/>
          <w:sz w:val="24"/>
          <w:szCs w:val="24"/>
        </w:rPr>
        <w:t>tirerdly</w:t>
      </w:r>
      <w:proofErr w:type="spellEnd"/>
      <w:r w:rsidRPr="00580AAF">
        <w:rPr>
          <w:rFonts w:ascii="Times New Roman" w:eastAsia="Times New Roman" w:hAnsi="Times New Roman" w:cs="Times New Roman"/>
          <w:color w:val="000000" w:themeColor="text1"/>
          <w:sz w:val="24"/>
          <w:szCs w:val="24"/>
        </w:rPr>
        <w:t>’ and ‘</w:t>
      </w:r>
      <w:proofErr w:type="spellStart"/>
      <w:r w:rsidRPr="00580AAF">
        <w:rPr>
          <w:rFonts w:ascii="Times New Roman" w:eastAsia="Times New Roman" w:hAnsi="Times New Roman" w:cs="Times New Roman"/>
          <w:color w:val="000000" w:themeColor="text1"/>
          <w:sz w:val="24"/>
          <w:szCs w:val="24"/>
        </w:rPr>
        <w:t>diden’t</w:t>
      </w:r>
      <w:proofErr w:type="spellEnd"/>
      <w:r w:rsidRPr="00580AAF">
        <w:rPr>
          <w:rFonts w:ascii="Times New Roman" w:eastAsia="Times New Roman" w:hAnsi="Times New Roman" w:cs="Times New Roman"/>
          <w:color w:val="000000" w:themeColor="text1"/>
          <w:sz w:val="24"/>
          <w:szCs w:val="24"/>
        </w:rPr>
        <w:t xml:space="preserve">’ are present, but they do not detract significantly from the overall readability. Overall, the pupil has demonstrated imaginative detail, appropriate story structure, and an engaging style. The work is judged to be at above the expected level for Year 2 (aged 6 to 7). </w:t>
      </w:r>
    </w:p>
    <w:p w14:paraId="4623D739"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i/>
          <w:iCs/>
          <w:color w:val="000000" w:themeColor="text1"/>
          <w:sz w:val="24"/>
          <w:szCs w:val="24"/>
        </w:rPr>
        <w:t>Benefits for teachers</w:t>
      </w:r>
    </w:p>
    <w:p w14:paraId="68046FBC"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Increased Confidence in Teaching through the Arts.</w:t>
      </w:r>
    </w:p>
    <w:p w14:paraId="0D3F6AD3"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Teachers involved in the project reported a renewed sense of creativity and confidence in their professional roles. Many felt a greater sense of freedom and enjoyment in their teaching, </w:t>
      </w:r>
      <w:r w:rsidRPr="00580AAF">
        <w:rPr>
          <w:rFonts w:ascii="Times New Roman" w:eastAsia="Times New Roman" w:hAnsi="Times New Roman" w:cs="Times New Roman"/>
          <w:color w:val="000000" w:themeColor="text1"/>
          <w:sz w:val="24"/>
          <w:szCs w:val="24"/>
        </w:rPr>
        <w:lastRenderedPageBreak/>
        <w:t xml:space="preserve">as they explored alternative ways of teaching and learning to support children’s writing through the arts. Teachers reported that their initial self-doubt was overcome as they gained practical experience of applying creative activities in the classroom, with the help of the professional artist. Professional creative practitioners introduced teachers to strategies for learning and teaching art, dance, drama, film, and music that they could adapt for use in everyday classroom activities. </w:t>
      </w:r>
    </w:p>
    <w:p w14:paraId="54F1C6DD"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Regular twilight sessions provided opportunities for teachers to share examples of children’s writing, pupil feedback, and reflections on their own practice. These sessions helped deepen teachers’ understanding of action research and encouraged them to think critically about their arts-based practice. Teachers also developed more effective ways of listening to children’s voices and began to include pupils’ ideas more actively in teaching, learning, and lesson planning. Over time, </w:t>
      </w:r>
      <w:proofErr w:type="gramStart"/>
      <w:r w:rsidRPr="00580AAF">
        <w:rPr>
          <w:rFonts w:ascii="Times New Roman" w:eastAsia="Times New Roman" w:hAnsi="Times New Roman" w:cs="Times New Roman"/>
          <w:color w:val="000000" w:themeColor="text1"/>
          <w:sz w:val="24"/>
          <w:szCs w:val="24"/>
        </w:rPr>
        <w:t>during the course of</w:t>
      </w:r>
      <w:proofErr w:type="gramEnd"/>
      <w:r w:rsidRPr="00580AAF">
        <w:rPr>
          <w:rFonts w:ascii="Times New Roman" w:eastAsia="Times New Roman" w:hAnsi="Times New Roman" w:cs="Times New Roman"/>
          <w:color w:val="000000" w:themeColor="text1"/>
          <w:sz w:val="24"/>
          <w:szCs w:val="24"/>
        </w:rPr>
        <w:t xml:space="preserve"> the project, informal and formal networks emerged amongst the teachers and the project team, supported by connections at inspiration days, twilight workshops, celebration events, and via WhatsApp groups. These opportunities allowed teachers to exchange ideas, offer support, reflect together, and learn from one another.</w:t>
      </w:r>
    </w:p>
    <w:p w14:paraId="5A66FE8D"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As one of the Year One teachers on the project said:</w:t>
      </w:r>
    </w:p>
    <w:p w14:paraId="3C40412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w:t>
      </w:r>
      <w:r w:rsidRPr="00580AAF">
        <w:rPr>
          <w:rFonts w:ascii="Times New Roman" w:hAnsi="Times New Roman" w:cs="Times New Roman"/>
          <w:i/>
          <w:color w:val="000000" w:themeColor="text1"/>
          <w:sz w:val="24"/>
          <w:szCs w:val="24"/>
        </w:rPr>
        <w:t xml:space="preserve">This research project has given me so many new and creative ideas to take forward... It has enabled me to grow in confidence and take more risks when teaching to ensure that I am giving my children the most engaging education to stimulate their creative minds. I have thoroughly enjoyed planning new lessons and teaching </w:t>
      </w:r>
      <w:proofErr w:type="gramStart"/>
      <w:r w:rsidRPr="00580AAF">
        <w:rPr>
          <w:rFonts w:ascii="Times New Roman" w:hAnsi="Times New Roman" w:cs="Times New Roman"/>
          <w:i/>
          <w:color w:val="000000" w:themeColor="text1"/>
          <w:sz w:val="24"/>
          <w:szCs w:val="24"/>
        </w:rPr>
        <w:t>creatively, and</w:t>
      </w:r>
      <w:proofErr w:type="gramEnd"/>
      <w:r w:rsidRPr="00580AAF">
        <w:rPr>
          <w:rFonts w:ascii="Times New Roman" w:hAnsi="Times New Roman" w:cs="Times New Roman"/>
          <w:i/>
          <w:color w:val="000000" w:themeColor="text1"/>
          <w:sz w:val="24"/>
          <w:szCs w:val="24"/>
        </w:rPr>
        <w:t xml:space="preserve"> have enjoyed sharing my new knowledge with my peers to ensure all children around the school are immersed into a creative curriculum</w:t>
      </w:r>
      <w:r w:rsidRPr="00580AAF">
        <w:rPr>
          <w:rFonts w:ascii="Times New Roman" w:hAnsi="Times New Roman" w:cs="Times New Roman"/>
          <w:color w:val="000000" w:themeColor="text1"/>
          <w:sz w:val="24"/>
          <w:szCs w:val="24"/>
        </w:rPr>
        <w:t>’.</w:t>
      </w:r>
    </w:p>
    <w:p w14:paraId="080FB45C"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 xml:space="preserve">Risk taking and Creativity. </w:t>
      </w:r>
    </w:p>
    <w:p w14:paraId="5D86DC53"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 xml:space="preserve">In addition to teachers acquiring fresh ideas and learning new creative strategies, there was a strong theme of teachers being allowed and emboldened to ‘take more </w:t>
      </w:r>
      <w:proofErr w:type="gramStart"/>
      <w:r w:rsidRPr="00580AAF">
        <w:rPr>
          <w:rFonts w:ascii="Times New Roman" w:hAnsi="Times New Roman" w:cs="Times New Roman"/>
          <w:color w:val="000000" w:themeColor="text1"/>
          <w:sz w:val="24"/>
          <w:szCs w:val="24"/>
        </w:rPr>
        <w:t>risks’</w:t>
      </w:r>
      <w:proofErr w:type="gramEnd"/>
      <w:r w:rsidRPr="00580AAF">
        <w:rPr>
          <w:rFonts w:ascii="Times New Roman" w:hAnsi="Times New Roman" w:cs="Times New Roman"/>
          <w:color w:val="000000" w:themeColor="text1"/>
          <w:sz w:val="24"/>
          <w:szCs w:val="24"/>
        </w:rPr>
        <w:t>. They reported trying out and experimenting with new ways of teaching, to provide children with more powerful learning experiences. Teachers were also creative in weaving different art forms together and some incorporated drama, visual arts, film and music into linked lessons. The arts were used to make cross-curricular links throughout topics and incorporated into a variety of lessons, not only English. For example, one teacher linked PE lessons to drama and writing lessons.</w:t>
      </w:r>
    </w:p>
    <w:p w14:paraId="19BF511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Creative approaches were found to be very powerful and dynamic. As one Year Five teacher explained: ‘</w:t>
      </w:r>
      <w:r w:rsidRPr="00580AAF">
        <w:rPr>
          <w:rFonts w:ascii="Times New Roman" w:hAnsi="Times New Roman" w:cs="Times New Roman"/>
          <w:i/>
          <w:iCs/>
          <w:color w:val="000000" w:themeColor="text1"/>
          <w:sz w:val="24"/>
          <w:szCs w:val="24"/>
        </w:rPr>
        <w:t>One of the things that has resonated with me most has been Sonia’s statement [drama practitioner] about taking a small element from a story, lighting the fuse of dynamite and blowing it up. Each of the art forms have taught us how to do this; a way of making the implicit explicit and drawing the children into a story so that they think, feel and breathe the text. I know that my class have been completely absorbed in each of the texts we’ve studied because of all the creative approaches that we have employed’</w:t>
      </w:r>
      <w:r w:rsidRPr="00580AAF">
        <w:rPr>
          <w:rFonts w:ascii="Times New Roman" w:hAnsi="Times New Roman" w:cs="Times New Roman"/>
          <w:color w:val="000000" w:themeColor="text1"/>
          <w:sz w:val="24"/>
          <w:szCs w:val="24"/>
        </w:rPr>
        <w:t xml:space="preserve">. </w:t>
      </w:r>
    </w:p>
    <w:p w14:paraId="5B97B421" w14:textId="77777777" w:rsidR="00580AAF" w:rsidRPr="00580AAF" w:rsidRDefault="00580AAF" w:rsidP="00580AAF">
      <w:pPr>
        <w:spacing w:line="480" w:lineRule="auto"/>
        <w:ind w:firstLine="720"/>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Valuing Pupil Voice.</w:t>
      </w:r>
    </w:p>
    <w:p w14:paraId="65E633B9"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The collaboration in the Action Research placed emphasis upon taking account of different perspectives. The teachers valued pupil voice in the project. For example, one teacher had seen from children’s drawings how happier English lessons were depicted with more activities. Another teacher expressed that she had loved exploring pupil voice and now consciously ensures that it is part of every lesson. There was also more openness to using children’s ideas, for example, agreeing to a pupil suggestion to record work on iPads.</w:t>
      </w:r>
    </w:p>
    <w:p w14:paraId="4B5B22F6"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b/>
          <w:bCs/>
          <w:i/>
          <w:iCs/>
          <w:color w:val="000000" w:themeColor="text1"/>
          <w:sz w:val="24"/>
          <w:szCs w:val="24"/>
        </w:rPr>
        <w:t>Benefits for schools</w:t>
      </w:r>
    </w:p>
    <w:p w14:paraId="025920A5"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There was evidence from the teacher researchers of the impact of the project beyond their own classrooms. The school community became aware of the programme, enjoying watching activities taking place and colleagues were drawn into discussions in the staff room. Parents and families became involved, giving positive feedback at parents’ evening, commenting on the wider range of vocabulary used at home, and enjoying performances and writing that the children shared with families and friends. The potential for wider sharing on social media was also shown with two teachers mentioning writing about their project work on their school blog.</w:t>
      </w:r>
    </w:p>
    <w:p w14:paraId="30461549"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Initially, the most common sharing of practice was with fellow teachers in the same year groups or Key Stage. In some cases, this was expanded to include demonstrations and sharing of ideas with the whole school staff. A few teachers mentioned sharing with senior managers and school headteachers, who were keen to promote creativity in writing and impressed by outcomes from the programme. As one headteacher recognised: ‘</w:t>
      </w:r>
      <w:r w:rsidRPr="00580AAF">
        <w:rPr>
          <w:rFonts w:ascii="Times New Roman" w:hAnsi="Times New Roman" w:cs="Times New Roman"/>
          <w:i/>
          <w:iCs/>
          <w:color w:val="000000" w:themeColor="text1"/>
          <w:sz w:val="24"/>
          <w:szCs w:val="24"/>
        </w:rPr>
        <w:t xml:space="preserve">It’s been positive, in terms of engagement for the children. You do have those times where you’re trying to get children to write and they don’t seem particularly interested in a topic, no matter how hard you tried. Whereas, with the creative approach, I’ve not seen any child disengaged. The children did a dance performance, and all children were </w:t>
      </w:r>
      <w:proofErr w:type="gramStart"/>
      <w:r w:rsidRPr="00580AAF">
        <w:rPr>
          <w:rFonts w:ascii="Times New Roman" w:hAnsi="Times New Roman" w:cs="Times New Roman"/>
          <w:i/>
          <w:iCs/>
          <w:color w:val="000000" w:themeColor="text1"/>
          <w:sz w:val="24"/>
          <w:szCs w:val="24"/>
        </w:rPr>
        <w:t>involved</w:t>
      </w:r>
      <w:proofErr w:type="gramEnd"/>
      <w:r w:rsidRPr="00580AAF">
        <w:rPr>
          <w:rFonts w:ascii="Times New Roman" w:hAnsi="Times New Roman" w:cs="Times New Roman"/>
          <w:i/>
          <w:iCs/>
          <w:color w:val="000000" w:themeColor="text1"/>
          <w:sz w:val="24"/>
          <w:szCs w:val="24"/>
        </w:rPr>
        <w:t xml:space="preserve"> and they really enjoyed the practical aspect of it. It supported them, improved their engagement</w:t>
      </w:r>
      <w:r w:rsidRPr="00580AAF">
        <w:rPr>
          <w:rFonts w:ascii="Times New Roman" w:hAnsi="Times New Roman" w:cs="Times New Roman"/>
          <w:color w:val="000000" w:themeColor="text1"/>
          <w:sz w:val="24"/>
          <w:szCs w:val="24"/>
        </w:rPr>
        <w:t>.’</w:t>
      </w:r>
    </w:p>
    <w:p w14:paraId="0BAB65F8"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Table Two summarises how the project built upon core principles of action research through its cyclical process of inquiry, collaboration, action and reflection. Inputs such as creative practitioners mentoring teachers, co-planning and co-designing of the curricula and creative resources, supported the classroom experimentation and peer reflection. These processes helped to generate outcomes that ranged from increased pupil confidence and improved writing quality to enhanced teacher practice and greater inclusivity. The outcomes were evident through writing samples, teachers’ records in action research and twilight sessions, </w:t>
      </w:r>
      <w:r w:rsidRPr="00580AAF">
        <w:rPr>
          <w:rFonts w:ascii="Times New Roman" w:eastAsia="Times New Roman" w:hAnsi="Times New Roman" w:cs="Times New Roman"/>
          <w:color w:val="000000" w:themeColor="text1"/>
          <w:sz w:val="24"/>
          <w:szCs w:val="24"/>
        </w:rPr>
        <w:lastRenderedPageBreak/>
        <w:t>classroom observations and teachers’ reflective journals. The collaboration between teachers, pupils, creative practitioners, and university researchers co-constructed knowledge relevant to their educational context, while the documentation of the process provided a basis for robust evaluation.</w:t>
      </w:r>
    </w:p>
    <w:p w14:paraId="49739A68" w14:textId="77777777" w:rsidR="00580AAF" w:rsidRPr="00580AAF" w:rsidRDefault="00580AAF" w:rsidP="00580AAF">
      <w:pPr>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Table 2 Callout – INSERT TABLE 2 HERE - Table 2 - Summary of different dimensions of the action research</w:t>
      </w:r>
    </w:p>
    <w:p w14:paraId="72F77446" w14:textId="77777777" w:rsidR="00580AAF" w:rsidRPr="00580AAF" w:rsidRDefault="00580AAF" w:rsidP="00580AAF">
      <w:pPr>
        <w:rPr>
          <w:color w:val="000000" w:themeColor="text1"/>
        </w:rPr>
      </w:pPr>
    </w:p>
    <w:p w14:paraId="1A34A23C" w14:textId="77777777" w:rsidR="00580AAF" w:rsidRPr="00580AAF" w:rsidRDefault="00580AAF" w:rsidP="00580AAF">
      <w:pPr>
        <w:spacing w:line="480" w:lineRule="auto"/>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 xml:space="preserve">Reflections/Lessons Learned </w:t>
      </w:r>
    </w:p>
    <w:p w14:paraId="70409490"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In this final part of the chapter we acknowledge and discuss some of the challenges from the project together with insights and practical suggestions that could be helpful for others running similar Action Research projects in schools.  </w:t>
      </w:r>
    </w:p>
    <w:p w14:paraId="78903E10"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i/>
          <w:iCs/>
          <w:color w:val="000000" w:themeColor="text1"/>
          <w:sz w:val="24"/>
          <w:szCs w:val="24"/>
        </w:rPr>
        <w:t>Teachers Working Outside their Comfort Zone</w:t>
      </w:r>
    </w:p>
    <w:p w14:paraId="50A9DF47"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Teachers have varying levels of confidence in engaging with different art forms and adopting arts-based approaches into classroom teaching and learning. Some teachers volunteered for the project because they were already very enthusiastic about arts-based teaching and keen to develop their skills. Others were much more hesitant and did not know what to expect. Most of the Inspiration Days began with at least some of the teachers feeling self-conscious and out of place. The selection of the creative arts practitioners was important here as they were very skilful in facilitating engaging activities and supporting the teachers to feel comfortable. One teacher wrote in her narrative: ‘</w:t>
      </w:r>
      <w:r w:rsidRPr="00580AAF">
        <w:rPr>
          <w:rFonts w:ascii="Times New Roman" w:hAnsi="Times New Roman" w:cs="Times New Roman"/>
          <w:i/>
          <w:iCs/>
          <w:color w:val="000000" w:themeColor="text1"/>
          <w:sz w:val="24"/>
          <w:szCs w:val="24"/>
        </w:rPr>
        <w:t>I was very nervous … but the day was fantastic. We learnt lots of techniques and brilliant ways to use music to inspire children. My brain was bursting with ideas</w:t>
      </w:r>
      <w:r w:rsidRPr="00580AAF">
        <w:rPr>
          <w:rFonts w:ascii="Times New Roman" w:hAnsi="Times New Roman" w:cs="Times New Roman"/>
          <w:color w:val="000000" w:themeColor="text1"/>
          <w:sz w:val="24"/>
          <w:szCs w:val="24"/>
        </w:rPr>
        <w:t xml:space="preserve">.’ </w:t>
      </w:r>
    </w:p>
    <w:p w14:paraId="1FE77D30"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The next challenge is in returning to the classroom, where teachers may hesitate to apply unfamiliar approaches or lead activities using new skills. For example, some teachers in the project felt uncertain about performing or facilitating drama and movement in front of pupils </w:t>
      </w:r>
      <w:r w:rsidRPr="00580AAF">
        <w:rPr>
          <w:rFonts w:ascii="Times New Roman" w:hAnsi="Times New Roman" w:cs="Times New Roman"/>
          <w:color w:val="000000" w:themeColor="text1"/>
          <w:sz w:val="24"/>
          <w:szCs w:val="24"/>
        </w:rPr>
        <w:lastRenderedPageBreak/>
        <w:t xml:space="preserve">and colleagues. However, as the programme progressed, teachers gradually overcame these challenges. With support from creative practitioners and opportunities to reflect and share experiences, they built confidence in using creative methods to enhance children's writing. The half day school visits from the creative practitioners were useful for this because teachers who were hesitant to work in arts-based ways could team-teach with the musician, actor or dancer, or even observe as the creative practitioner worked with their class. This enabled them to see how the children in their class would respond and to allay any fears that the lessons could become quite chaotic. In the absence of professional creative arts practitioners, there is scope to adopt a buddy system where a more experienced teacher could be paired with a less experienced one to support them and build their confidence. </w:t>
      </w:r>
    </w:p>
    <w:p w14:paraId="0EBA5E7A" w14:textId="77777777" w:rsidR="00580AAF" w:rsidRPr="00580AAF" w:rsidRDefault="00580AAF" w:rsidP="00580AAF">
      <w:pPr>
        <w:spacing w:after="0" w:line="480" w:lineRule="auto"/>
        <w:rPr>
          <w:rFonts w:ascii="Times New Roman" w:eastAsia="Times New Roman" w:hAnsi="Times New Roman" w:cs="Times New Roman"/>
          <w:i/>
          <w:color w:val="000000" w:themeColor="text1"/>
          <w:sz w:val="24"/>
          <w:szCs w:val="24"/>
        </w:rPr>
      </w:pPr>
      <w:r w:rsidRPr="00580AAF">
        <w:rPr>
          <w:rFonts w:ascii="Times New Roman" w:eastAsia="Times New Roman" w:hAnsi="Times New Roman" w:cs="Times New Roman"/>
          <w:i/>
          <w:color w:val="000000" w:themeColor="text1"/>
          <w:sz w:val="24"/>
          <w:szCs w:val="24"/>
        </w:rPr>
        <w:t xml:space="preserve">Integration of Pupil Voice </w:t>
      </w:r>
    </w:p>
    <w:p w14:paraId="1EC71F1A"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As reported above, arts-based pedagogies offer rich opportunities for creative expression and engagement, but a recurring challenge may lie in the absence or limited integration of pupil voice. When pupils are not involved in shaping teaching and learning, activities risk becoming performative or disconnected from learners’ interests. This can often lead to lack of interest, reduced ownership, lower engagement, and missed opportunities for deeper learning.</w:t>
      </w:r>
    </w:p>
    <w:p w14:paraId="5800E570"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In the Creative Writing through the Arts project, the integration of pupil voice supported children’s motivation and other aspects of emotional and social development. Socially and emotionally, pupils developed empathy and collaboration. </w:t>
      </w:r>
    </w:p>
    <w:p w14:paraId="356ECDFC"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Teachers’ reflections also show a gradual shift in the value they placed upon pupil voice. Initially, most teachers acknowledged using pupil voice informally and intuitively: ‘</w:t>
      </w:r>
      <w:r w:rsidRPr="00580AAF">
        <w:rPr>
          <w:rFonts w:ascii="Times New Roman" w:eastAsia="Times New Roman" w:hAnsi="Times New Roman" w:cs="Times New Roman"/>
          <w:i/>
          <w:iCs/>
          <w:color w:val="000000" w:themeColor="text1"/>
          <w:sz w:val="24"/>
          <w:szCs w:val="24"/>
        </w:rPr>
        <w:t>Pupil voice is something we used verbally and naturally at the beginning of this programme’</w:t>
      </w:r>
      <w:r w:rsidRPr="00580AAF">
        <w:rPr>
          <w:rFonts w:ascii="Times New Roman" w:eastAsia="Times New Roman" w:hAnsi="Times New Roman" w:cs="Times New Roman"/>
          <w:color w:val="000000" w:themeColor="text1"/>
          <w:sz w:val="24"/>
          <w:szCs w:val="24"/>
        </w:rPr>
        <w:t>. As the project progressed, the formal emphasis on pupil voice encouraged teachers to think more critically about how they listened to and acted upon pupils’ views: ‘</w:t>
      </w:r>
      <w:r w:rsidRPr="00580AAF">
        <w:rPr>
          <w:rFonts w:ascii="Times New Roman" w:eastAsia="Times New Roman" w:hAnsi="Times New Roman" w:cs="Times New Roman"/>
          <w:i/>
          <w:iCs/>
          <w:color w:val="000000" w:themeColor="text1"/>
          <w:sz w:val="24"/>
          <w:szCs w:val="24"/>
        </w:rPr>
        <w:t xml:space="preserve">We have more ideas and more understanding of the ways in which we can listen to pupil voice, specifically with </w:t>
      </w:r>
      <w:r w:rsidRPr="00580AAF">
        <w:rPr>
          <w:rFonts w:ascii="Times New Roman" w:eastAsia="Times New Roman" w:hAnsi="Times New Roman" w:cs="Times New Roman"/>
          <w:i/>
          <w:iCs/>
          <w:color w:val="000000" w:themeColor="text1"/>
          <w:sz w:val="24"/>
          <w:szCs w:val="24"/>
        </w:rPr>
        <w:lastRenderedPageBreak/>
        <w:t>regards to their writing’</w:t>
      </w:r>
      <w:r w:rsidRPr="00580AAF">
        <w:rPr>
          <w:rFonts w:ascii="Times New Roman" w:eastAsia="Times New Roman" w:hAnsi="Times New Roman" w:cs="Times New Roman"/>
          <w:color w:val="000000" w:themeColor="text1"/>
          <w:sz w:val="24"/>
          <w:szCs w:val="24"/>
        </w:rPr>
        <w:t>. By the end of the project, teachers reported that pupil voice had become central to their teaching strategies. It influenced lesson planning and fostered greater pupil engagement and ownership: ‘</w:t>
      </w:r>
      <w:r w:rsidRPr="00580AAF">
        <w:rPr>
          <w:rFonts w:ascii="Times New Roman" w:eastAsia="Times New Roman" w:hAnsi="Times New Roman" w:cs="Times New Roman"/>
          <w:i/>
          <w:iCs/>
          <w:color w:val="000000" w:themeColor="text1"/>
          <w:sz w:val="24"/>
          <w:szCs w:val="24"/>
        </w:rPr>
        <w:t xml:space="preserve">Pupils’ opinions [were used] to inform planning and </w:t>
      </w:r>
      <w:proofErr w:type="gramStart"/>
      <w:r w:rsidRPr="00580AAF">
        <w:rPr>
          <w:rFonts w:ascii="Times New Roman" w:eastAsia="Times New Roman" w:hAnsi="Times New Roman" w:cs="Times New Roman"/>
          <w:i/>
          <w:iCs/>
          <w:color w:val="000000" w:themeColor="text1"/>
          <w:sz w:val="24"/>
          <w:szCs w:val="24"/>
        </w:rPr>
        <w:t>lessons’</w:t>
      </w:r>
      <w:proofErr w:type="gramEnd"/>
      <w:r w:rsidRPr="00580AAF">
        <w:rPr>
          <w:rFonts w:ascii="Times New Roman" w:eastAsia="Times New Roman" w:hAnsi="Times New Roman" w:cs="Times New Roman"/>
          <w:color w:val="000000" w:themeColor="text1"/>
          <w:sz w:val="24"/>
          <w:szCs w:val="24"/>
        </w:rPr>
        <w:t xml:space="preserve">.  The integration of pupil voice into teaching and learning, therefore, can enhance inclusive learning experiences for all. </w:t>
      </w:r>
      <w:r w:rsidRPr="00580AAF">
        <w:rPr>
          <w:rFonts w:ascii="Times New Roman" w:hAnsi="Times New Roman" w:cs="Times New Roman"/>
          <w:color w:val="000000" w:themeColor="text1"/>
          <w:sz w:val="24"/>
          <w:szCs w:val="24"/>
        </w:rPr>
        <w:t xml:space="preserve"> </w:t>
      </w:r>
    </w:p>
    <w:p w14:paraId="76E0FD4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i/>
          <w:iCs/>
          <w:color w:val="000000" w:themeColor="text1"/>
          <w:sz w:val="24"/>
          <w:szCs w:val="24"/>
        </w:rPr>
        <w:t>The role of enablers</w:t>
      </w:r>
      <w:r w:rsidRPr="00580AAF">
        <w:rPr>
          <w:rFonts w:ascii="Times New Roman" w:hAnsi="Times New Roman" w:cs="Times New Roman"/>
          <w:color w:val="000000" w:themeColor="text1"/>
          <w:sz w:val="24"/>
          <w:szCs w:val="24"/>
        </w:rPr>
        <w:t xml:space="preserve"> </w:t>
      </w:r>
    </w:p>
    <w:p w14:paraId="3061B0F6"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proofErr w:type="gramStart"/>
      <w:r w:rsidRPr="00580AAF">
        <w:rPr>
          <w:rFonts w:ascii="Times New Roman" w:hAnsi="Times New Roman" w:cs="Times New Roman"/>
          <w:color w:val="000000" w:themeColor="text1"/>
          <w:sz w:val="24"/>
          <w:szCs w:val="24"/>
        </w:rPr>
        <w:t>All of</w:t>
      </w:r>
      <w:proofErr w:type="gramEnd"/>
      <w:r w:rsidRPr="00580AAF">
        <w:rPr>
          <w:rFonts w:ascii="Times New Roman" w:hAnsi="Times New Roman" w:cs="Times New Roman"/>
          <w:color w:val="000000" w:themeColor="text1"/>
          <w:sz w:val="24"/>
          <w:szCs w:val="24"/>
        </w:rPr>
        <w:t xml:space="preserve"> t</w:t>
      </w:r>
      <w:r w:rsidRPr="00580AAF">
        <w:rPr>
          <w:rFonts w:ascii="Times New Roman" w:eastAsia="Times New Roman" w:hAnsi="Times New Roman" w:cs="Times New Roman"/>
          <w:color w:val="000000" w:themeColor="text1"/>
          <w:sz w:val="24"/>
          <w:szCs w:val="24"/>
        </w:rPr>
        <w:t xml:space="preserve">he teachers participating in this project were supported by a member of their school senior leadership team, in the role of an ‘enabler’. A major constraint for teachers who wish to join a project and research their classroom practice is time. Teachers are very busy and face multiple demands on their time. With the support of an enabler, the teacher researchers were more likely to be allocated time to work on the project. For example, they were provided with cover to join in with the Research Day, the three Inspiration Days with creative practitioners, and the Celebration Day at the end of the project. Most teachers also had encouragement from their school to meet with the other teacher researchers during twilight sessions for reflection on the arts-based teaching and their research. Enablers were also well placed to encourage the teacher-researchers to share their new classroom practices with other colleagues in the school. </w:t>
      </w:r>
    </w:p>
    <w:p w14:paraId="2ECEA64F" w14:textId="77777777" w:rsidR="00580AAF" w:rsidRPr="00580AAF" w:rsidRDefault="00580AAF" w:rsidP="00580AAF">
      <w:pPr>
        <w:spacing w:line="480" w:lineRule="auto"/>
        <w:rPr>
          <w:rFonts w:ascii="Times New Roman" w:eastAsia="Times New Roman" w:hAnsi="Times New Roman" w:cs="Times New Roman"/>
          <w:i/>
          <w:iCs/>
          <w:color w:val="000000" w:themeColor="text1"/>
          <w:sz w:val="24"/>
          <w:szCs w:val="24"/>
        </w:rPr>
      </w:pPr>
      <w:r w:rsidRPr="00580AAF">
        <w:rPr>
          <w:rFonts w:ascii="Times New Roman" w:eastAsia="Times New Roman" w:hAnsi="Times New Roman" w:cs="Times New Roman"/>
          <w:i/>
          <w:iCs/>
          <w:color w:val="000000" w:themeColor="text1"/>
          <w:sz w:val="24"/>
          <w:szCs w:val="24"/>
        </w:rPr>
        <w:t>Partnership Working</w:t>
      </w:r>
    </w:p>
    <w:p w14:paraId="48CEEF7A"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A great strength of this Action Research was the collaboration between different partners, who all brought different assets and insights, plus a deep commitment to the success of the project. Working together on two smaller projects prior to this three-year venture proved invaluable for understanding each other’s roles, finding optimal ways of working, and establishing trust. We strongly recommend trialling ideas on a small scale prior to launching a large project.  </w:t>
      </w:r>
    </w:p>
    <w:p w14:paraId="45C5FFCD"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lastRenderedPageBreak/>
        <w:t xml:space="preserve">The combined leadership of the Royal Opera House Bridge, the Teaching School Alliances, and Anglia Ruskin University created a much stronger project than any of the organisations could have developed alone. The Royal Opera House Bridge interviewed widely and selected highly skilled creative practitioners with experience in training other adults, all of whom were prepared to share their tools and techniques for creative interventions in the classroom and to work productively with teachers. The Teaching School Alliances ensured that the project was valued by headteachers and that the participating schools were supported. As university researchers, we provided an external perspective and supported the teacher researchers with project design, implementation, analysis and presentation. All three partners respected the teachers and were committed to their professional development and to strengthening children’s creative writing through arts-based approaches.  </w:t>
      </w:r>
    </w:p>
    <w:p w14:paraId="57F32533"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i/>
          <w:iCs/>
          <w:color w:val="000000" w:themeColor="text1"/>
          <w:sz w:val="24"/>
          <w:szCs w:val="24"/>
        </w:rPr>
        <w:t>Sustaining the Arts-based Approach</w:t>
      </w:r>
    </w:p>
    <w:p w14:paraId="25E70B8B"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An Action Research based project has many advantages as a form of professional development. A single training day with a creative practitioner would undoubtedly have offered the teachers ideas and inspiration to take back to their classrooms. The ongoing support of the creative practitioner and the responsibility to implement and evaluate new ideas in the classroom allowed for the arts-based approaches to become more embedded within the teachers’ practice. We know that teachers embraced the different art forms and used them in their teaching </w:t>
      </w:r>
      <w:proofErr w:type="gramStart"/>
      <w:r w:rsidRPr="00580AAF">
        <w:rPr>
          <w:rFonts w:ascii="Times New Roman" w:eastAsia="Times New Roman" w:hAnsi="Times New Roman" w:cs="Times New Roman"/>
          <w:color w:val="000000" w:themeColor="text1"/>
          <w:sz w:val="24"/>
          <w:szCs w:val="24"/>
        </w:rPr>
        <w:t>and also</w:t>
      </w:r>
      <w:proofErr w:type="gramEnd"/>
      <w:r w:rsidRPr="00580AAF">
        <w:rPr>
          <w:rFonts w:ascii="Times New Roman" w:eastAsia="Times New Roman" w:hAnsi="Times New Roman" w:cs="Times New Roman"/>
          <w:color w:val="000000" w:themeColor="text1"/>
          <w:sz w:val="24"/>
          <w:szCs w:val="24"/>
        </w:rPr>
        <w:t xml:space="preserve"> that they shared ideas with colleagues in school and incorporated them into wider curriculum planning. Covid-19, with the associated lockdowns and changes in ways of working, occurred as our project ended and limited the follow-up and follow-on events. We do not know the extent to which the project is still having an impact for individual teachers or for schools. </w:t>
      </w:r>
    </w:p>
    <w:p w14:paraId="2BB28A32" w14:textId="77777777" w:rsidR="00580AAF" w:rsidRPr="00580AAF" w:rsidRDefault="00580AAF" w:rsidP="00580AAF">
      <w:pPr>
        <w:spacing w:line="480" w:lineRule="auto"/>
        <w:rPr>
          <w:rFonts w:ascii="Times New Roman" w:hAnsi="Times New Roman" w:cs="Times New Roman"/>
          <w:color w:val="000000" w:themeColor="text1"/>
        </w:rPr>
      </w:pPr>
      <w:r w:rsidRPr="00580AAF">
        <w:rPr>
          <w:rFonts w:ascii="Times New Roman" w:eastAsia="Times New Roman" w:hAnsi="Times New Roman" w:cs="Times New Roman"/>
          <w:color w:val="000000" w:themeColor="text1"/>
          <w:sz w:val="24"/>
          <w:szCs w:val="24"/>
        </w:rPr>
        <w:lastRenderedPageBreak/>
        <w:t>We recognise that the absence of formal enablers, such as a recognised project and senior leadership support, can mean that arts-based pedagogies risk fading away over time. This fragility is rarely due to a lack of interest amongst teachers, but generally stems from constraints around time, confidence, and institutional priorities. To make arts-based practices more sustainable, schools may consider embedding creative approaches into both routine teaching and extra-curricular activities, thereby normalising them as part of everyday life.</w:t>
      </w:r>
    </w:p>
    <w:p w14:paraId="7B6C6A91" w14:textId="77777777" w:rsidR="00580AAF" w:rsidRPr="00580AAF" w:rsidRDefault="00580AAF" w:rsidP="00580AAF">
      <w:pPr>
        <w:spacing w:line="480" w:lineRule="auto"/>
        <w:rPr>
          <w:rFonts w:ascii="Times New Roman" w:eastAsia="Times New Roman" w:hAnsi="Times New Roman" w:cs="Times New Roman"/>
          <w:i/>
          <w:iCs/>
          <w:color w:val="000000" w:themeColor="text1"/>
          <w:sz w:val="24"/>
          <w:szCs w:val="24"/>
        </w:rPr>
      </w:pPr>
      <w:r w:rsidRPr="00580AAF">
        <w:rPr>
          <w:rFonts w:ascii="Times New Roman" w:eastAsia="Times New Roman" w:hAnsi="Times New Roman" w:cs="Times New Roman"/>
          <w:i/>
          <w:iCs/>
          <w:color w:val="000000" w:themeColor="text1"/>
          <w:sz w:val="24"/>
          <w:szCs w:val="24"/>
        </w:rPr>
        <w:t>Peer Learning</w:t>
      </w:r>
    </w:p>
    <w:p w14:paraId="094124AE" w14:textId="77777777" w:rsidR="00580AAF" w:rsidRPr="00580AAF" w:rsidRDefault="00580AAF" w:rsidP="00580AAF">
      <w:pPr>
        <w:spacing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Crucially, when teachers share their big or small achievements, it can have a ripple effect across the year groups or school community and inspire colleagues to experiment with creative ideas, foster peer-led learning, and gradually shift cultural norms of teaching and learning. Whilst it is easier for this to happen when a large project is running, every staff meeting could include space and opportunities for teachers to share small wins with one another.</w:t>
      </w:r>
    </w:p>
    <w:p w14:paraId="2328DF2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Peer collaboration was a vital element of this action research, building teacher confidence and aiding critical reflection. There is scope for schools to schedule dedicated time for reflection on learning, teaching and assessment during existing meeting time. They could use technology for asynchronous collaboration and integrate action research into existing professional development, for example, during Inset days. Schools can start with short-cycle action research and encourage smaller, focused peer groups to make participation more manageable and effective.</w:t>
      </w:r>
    </w:p>
    <w:p w14:paraId="7206DBD9"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i/>
          <w:iCs/>
          <w:color w:val="000000" w:themeColor="text1"/>
          <w:sz w:val="24"/>
          <w:szCs w:val="24"/>
        </w:rPr>
        <w:t xml:space="preserve">Final Thoughts </w:t>
      </w:r>
    </w:p>
    <w:p w14:paraId="0C2D0281"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This project reflects something of the ongoing tension between creativity and accountability in education systems that prioritise measurable literacy outcomes over creative development (</w:t>
      </w:r>
      <w:proofErr w:type="spellStart"/>
      <w:r w:rsidRPr="00580AAF">
        <w:rPr>
          <w:rFonts w:ascii="Times New Roman" w:hAnsi="Times New Roman" w:cs="Times New Roman"/>
          <w:color w:val="000000" w:themeColor="text1"/>
          <w:sz w:val="24"/>
          <w:szCs w:val="24"/>
        </w:rPr>
        <w:t>LaJevic</w:t>
      </w:r>
      <w:proofErr w:type="spellEnd"/>
      <w:r w:rsidRPr="00580AAF">
        <w:rPr>
          <w:rFonts w:ascii="Times New Roman" w:hAnsi="Times New Roman" w:cs="Times New Roman"/>
          <w:color w:val="000000" w:themeColor="text1"/>
          <w:sz w:val="24"/>
          <w:szCs w:val="24"/>
        </w:rPr>
        <w:t xml:space="preserve">, 2013). The integration of arts-based pedagogy enhanced pupils’ writing quality, </w:t>
      </w:r>
      <w:r w:rsidRPr="00580AAF">
        <w:rPr>
          <w:rFonts w:ascii="Times New Roman" w:hAnsi="Times New Roman" w:cs="Times New Roman"/>
          <w:color w:val="000000" w:themeColor="text1"/>
          <w:sz w:val="24"/>
          <w:szCs w:val="24"/>
        </w:rPr>
        <w:lastRenderedPageBreak/>
        <w:t>confidence, and engagement, yet these benefits emerged within the prescriptive framework of (ibid.). Collaboration among teachers, creative practitioners, university researchers, and pupils exemplified how action research can support creativity, with each group contributing distinct expertise to the co-construction of knowledge.</w:t>
      </w:r>
    </w:p>
    <w:p w14:paraId="35C5CD4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Taking a global perspective, similar pressures to raise standards in core subjects often result in curriculum narrowing and the marginalization of the arts (Corbisiero-Drakos et al., 2021).  The uncertainty of some teachers and their initial resistance to arts-based methods highlights the challenge of shifting from traditional pedagogies to more creative approaches (</w:t>
      </w:r>
      <w:proofErr w:type="spellStart"/>
      <w:r w:rsidRPr="00580AAF">
        <w:rPr>
          <w:rFonts w:ascii="Times New Roman" w:hAnsi="Times New Roman" w:cs="Times New Roman"/>
          <w:color w:val="000000" w:themeColor="text1"/>
          <w:sz w:val="24"/>
          <w:szCs w:val="24"/>
        </w:rPr>
        <w:t>LaJevic</w:t>
      </w:r>
      <w:proofErr w:type="spellEnd"/>
      <w:r w:rsidRPr="00580AAF">
        <w:rPr>
          <w:rFonts w:ascii="Times New Roman" w:hAnsi="Times New Roman" w:cs="Times New Roman"/>
          <w:color w:val="000000" w:themeColor="text1"/>
          <w:sz w:val="24"/>
          <w:szCs w:val="24"/>
        </w:rPr>
        <w:t>, 2013). Nevertheless, even small shifts, such as increased length of writing length and pupils’ increased enjoyment of literacy lessons, demonstrate the positive impact of creative interventions.</w:t>
      </w:r>
    </w:p>
    <w:p w14:paraId="00610266"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We recognise that the project outcomes are context-dependent, shaped by regional policy, institutional cultures, and available resources. Leadership support was instrumental in enabling teacher participation. Rather than presenting a universal solution, this chapter contributes to international conversations about creativity and educational change through action research.</w:t>
      </w:r>
    </w:p>
    <w:p w14:paraId="24A5C239"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Overall, we are very proud to have participated in this project. The project features as one of the 24 Arts in Schools case studies (A New Direction, 2023) that form a companion piece to a national report ‘The Arts in Schools: Foundations for the Future’ (Tambling and Bacon, 2023). Together with the funders and authors of that report, we call for greater recognition of the value of the role of the creative arts in education. The Creative Writing through the Arts project has shown how teachers can embrace creative arts subjects, and integrate them with the curriculum, to support children to express themselves in multiple ways.     </w:t>
      </w:r>
    </w:p>
    <w:p w14:paraId="0618BCE9" w14:textId="77777777" w:rsidR="00580AAF" w:rsidRPr="00580AAF" w:rsidRDefault="00580AAF" w:rsidP="00580AAF">
      <w:pPr>
        <w:spacing w:line="480" w:lineRule="auto"/>
        <w:rPr>
          <w:rFonts w:ascii="Times New Roman" w:hAnsi="Times New Roman" w:cs="Times New Roman"/>
          <w:b/>
          <w:bCs/>
          <w:color w:val="000000" w:themeColor="text1"/>
          <w:sz w:val="24"/>
          <w:szCs w:val="24"/>
        </w:rPr>
      </w:pPr>
      <w:r w:rsidRPr="00580AAF">
        <w:rPr>
          <w:rFonts w:ascii="Times New Roman" w:hAnsi="Times New Roman" w:cs="Times New Roman"/>
          <w:b/>
          <w:bCs/>
          <w:color w:val="000000" w:themeColor="text1"/>
          <w:sz w:val="24"/>
          <w:szCs w:val="24"/>
        </w:rPr>
        <w:t xml:space="preserve">References </w:t>
      </w:r>
    </w:p>
    <w:p w14:paraId="7E13DAFB"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 xml:space="preserve">Abbs, P. (1987) A Brief Concluding Manifesto. In P. Abbs (Ed.) </w:t>
      </w:r>
      <w:r w:rsidRPr="00580AAF">
        <w:rPr>
          <w:rFonts w:ascii="Times New Roman" w:hAnsi="Times New Roman" w:cs="Times New Roman"/>
          <w:i/>
          <w:iCs/>
          <w:color w:val="000000" w:themeColor="text1"/>
          <w:sz w:val="24"/>
          <w:szCs w:val="24"/>
        </w:rPr>
        <w:t xml:space="preserve">Living Powers: The Arts in Education. </w:t>
      </w:r>
      <w:r w:rsidRPr="00580AAF">
        <w:rPr>
          <w:rFonts w:ascii="Times New Roman" w:hAnsi="Times New Roman" w:cs="Times New Roman"/>
          <w:color w:val="000000" w:themeColor="text1"/>
          <w:sz w:val="24"/>
          <w:szCs w:val="24"/>
        </w:rPr>
        <w:t xml:space="preserve">Falmer Press. </w:t>
      </w:r>
    </w:p>
    <w:p w14:paraId="5AC4D30E" w14:textId="77777777" w:rsidR="00580AAF" w:rsidRPr="00580AAF" w:rsidRDefault="00580AAF" w:rsidP="00580AAF">
      <w:pPr>
        <w:spacing w:line="480" w:lineRule="auto"/>
        <w:rPr>
          <w:rFonts w:ascii="Times New Roman" w:hAnsi="Times New Roman" w:cs="Times New Roman"/>
          <w:i/>
          <w:iCs/>
          <w:color w:val="000000" w:themeColor="text1"/>
          <w:sz w:val="24"/>
          <w:szCs w:val="24"/>
        </w:rPr>
      </w:pPr>
      <w:r w:rsidRPr="00580AAF">
        <w:rPr>
          <w:rFonts w:ascii="Times New Roman" w:hAnsi="Times New Roman" w:cs="Times New Roman"/>
          <w:color w:val="000000" w:themeColor="text1"/>
          <w:sz w:val="24"/>
          <w:szCs w:val="24"/>
        </w:rPr>
        <w:t xml:space="preserve">A New Direction. (2023). </w:t>
      </w:r>
      <w:r w:rsidRPr="00580AAF">
        <w:rPr>
          <w:rFonts w:ascii="Times New Roman" w:hAnsi="Times New Roman" w:cs="Times New Roman"/>
          <w:i/>
          <w:iCs/>
          <w:color w:val="000000" w:themeColor="text1"/>
          <w:sz w:val="24"/>
          <w:szCs w:val="24"/>
        </w:rPr>
        <w:t>Strengthening Creative Writing Through the Arts</w:t>
      </w:r>
      <w:r w:rsidRPr="00580AAF">
        <w:rPr>
          <w:rFonts w:ascii="Times New Roman" w:hAnsi="Times New Roman" w:cs="Times New Roman"/>
          <w:b/>
          <w:bCs/>
          <w:color w:val="000000" w:themeColor="text1"/>
          <w:sz w:val="24"/>
          <w:szCs w:val="24"/>
        </w:rPr>
        <w:t xml:space="preserve">. </w:t>
      </w:r>
      <w:r w:rsidRPr="00580AAF">
        <w:rPr>
          <w:rFonts w:ascii="Times New Roman" w:hAnsi="Times New Roman" w:cs="Times New Roman"/>
          <w:color w:val="000000" w:themeColor="text1"/>
          <w:sz w:val="24"/>
          <w:szCs w:val="24"/>
        </w:rPr>
        <w:t xml:space="preserve">Arts in Schools Case Studies. Case Study theme: Curriculum Need. Available at: </w:t>
      </w:r>
      <w:hyperlink r:id="rId5" w:history="1">
        <w:r w:rsidRPr="00580AAF">
          <w:rPr>
            <w:rStyle w:val="Hyperlink"/>
            <w:rFonts w:ascii="Times New Roman" w:hAnsi="Times New Roman" w:cs="Times New Roman"/>
            <w:color w:val="000000" w:themeColor="text1"/>
            <w:sz w:val="24"/>
            <w:szCs w:val="24"/>
          </w:rPr>
          <w:t>https://www.anewdirection.org.uk/research/arts-in-schools/case-studies/strengthening-creative-writing-through-the-arts-</w:t>
        </w:r>
      </w:hyperlink>
      <w:r w:rsidRPr="00580AAF">
        <w:rPr>
          <w:rFonts w:ascii="Times New Roman" w:hAnsi="Times New Roman" w:cs="Times New Roman"/>
          <w:color w:val="000000" w:themeColor="text1"/>
          <w:sz w:val="24"/>
          <w:szCs w:val="24"/>
        </w:rPr>
        <w:t xml:space="preserve">  </w:t>
      </w:r>
    </w:p>
    <w:p w14:paraId="4BE1B44D" w14:textId="77777777" w:rsidR="00580AAF" w:rsidRPr="00580AAF" w:rsidRDefault="00580AAF" w:rsidP="00580AAF">
      <w:pPr>
        <w:spacing w:line="480" w:lineRule="auto"/>
        <w:rPr>
          <w:rFonts w:ascii="Times New Roman" w:hAnsi="Times New Roman" w:cs="Times New Roman"/>
          <w:color w:val="000000" w:themeColor="text1"/>
          <w:sz w:val="24"/>
          <w:szCs w:val="24"/>
        </w:rPr>
      </w:pPr>
      <w:proofErr w:type="spellStart"/>
      <w:r w:rsidRPr="00580AAF">
        <w:rPr>
          <w:rFonts w:ascii="Times New Roman" w:hAnsi="Times New Roman" w:cs="Times New Roman"/>
          <w:color w:val="000000" w:themeColor="text1"/>
          <w:sz w:val="24"/>
          <w:szCs w:val="24"/>
        </w:rPr>
        <w:t>Bezemer</w:t>
      </w:r>
      <w:proofErr w:type="spellEnd"/>
      <w:r w:rsidRPr="00580AAF">
        <w:rPr>
          <w:rFonts w:ascii="Times New Roman" w:hAnsi="Times New Roman" w:cs="Times New Roman"/>
          <w:color w:val="000000" w:themeColor="text1"/>
          <w:sz w:val="24"/>
          <w:szCs w:val="24"/>
        </w:rPr>
        <w:t xml:space="preserve">, J. &amp; Kress, G. (2016) </w:t>
      </w:r>
      <w:r w:rsidRPr="00580AAF">
        <w:rPr>
          <w:rFonts w:ascii="Times New Roman" w:hAnsi="Times New Roman" w:cs="Times New Roman"/>
          <w:i/>
          <w:iCs/>
          <w:color w:val="000000" w:themeColor="text1"/>
          <w:sz w:val="24"/>
          <w:szCs w:val="24"/>
        </w:rPr>
        <w:t xml:space="preserve">Multimodality, Learning and Communication. </w:t>
      </w:r>
      <w:r w:rsidRPr="00580AAF">
        <w:rPr>
          <w:rFonts w:ascii="Times New Roman" w:hAnsi="Times New Roman" w:cs="Times New Roman"/>
          <w:color w:val="000000" w:themeColor="text1"/>
          <w:sz w:val="24"/>
          <w:szCs w:val="24"/>
        </w:rPr>
        <w:t>Routledge.</w:t>
      </w:r>
    </w:p>
    <w:p w14:paraId="2CCEBD40"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British Educational Research Association (BERA). (2011). </w:t>
      </w:r>
      <w:r w:rsidRPr="00580AAF">
        <w:rPr>
          <w:rFonts w:ascii="Times New Roman" w:hAnsi="Times New Roman" w:cs="Times New Roman"/>
          <w:i/>
          <w:iCs/>
          <w:color w:val="000000" w:themeColor="text1"/>
          <w:sz w:val="24"/>
          <w:szCs w:val="24"/>
        </w:rPr>
        <w:t>Ethical Guidelines for Educational Research, third edition.</w:t>
      </w:r>
      <w:r w:rsidRPr="00580AAF">
        <w:rPr>
          <w:rFonts w:ascii="Times New Roman" w:hAnsi="Times New Roman" w:cs="Times New Roman"/>
          <w:color w:val="000000" w:themeColor="text1"/>
          <w:sz w:val="24"/>
          <w:szCs w:val="24"/>
        </w:rPr>
        <w:t xml:space="preserve"> (No longer available, pertained at the time of the project). </w:t>
      </w:r>
    </w:p>
    <w:p w14:paraId="123EFA79"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British Educational Research Association (BERA). (2024). </w:t>
      </w:r>
      <w:r w:rsidRPr="00580AAF">
        <w:rPr>
          <w:rFonts w:ascii="Times New Roman" w:hAnsi="Times New Roman" w:cs="Times New Roman"/>
          <w:i/>
          <w:iCs/>
          <w:color w:val="000000" w:themeColor="text1"/>
          <w:sz w:val="24"/>
          <w:szCs w:val="24"/>
        </w:rPr>
        <w:t>Ethical Guidelines for Educational Research, fifth edition.</w:t>
      </w:r>
      <w:r w:rsidRPr="00580AAF">
        <w:rPr>
          <w:rFonts w:ascii="Times New Roman" w:hAnsi="Times New Roman" w:cs="Times New Roman"/>
          <w:color w:val="000000" w:themeColor="text1"/>
          <w:sz w:val="24"/>
          <w:szCs w:val="24"/>
        </w:rPr>
        <w:t xml:space="preserve"> Available at: </w:t>
      </w:r>
      <w:hyperlink r:id="rId6" w:history="1">
        <w:r w:rsidRPr="00580AAF">
          <w:rPr>
            <w:rStyle w:val="Hyperlink"/>
            <w:rFonts w:ascii="Times New Roman" w:hAnsi="Times New Roman" w:cs="Times New Roman"/>
            <w:color w:val="000000" w:themeColor="text1"/>
            <w:sz w:val="24"/>
            <w:szCs w:val="24"/>
          </w:rPr>
          <w:t>https://www.bera.ac.uk/publication/ethical-guidelines-for-educational-research-fifth-edition-2024</w:t>
        </w:r>
      </w:hyperlink>
      <w:r w:rsidRPr="00580AAF">
        <w:rPr>
          <w:rFonts w:ascii="Times New Roman" w:hAnsi="Times New Roman" w:cs="Times New Roman"/>
          <w:color w:val="000000" w:themeColor="text1"/>
          <w:sz w:val="24"/>
          <w:szCs w:val="24"/>
        </w:rPr>
        <w:t xml:space="preserve"> </w:t>
      </w:r>
    </w:p>
    <w:p w14:paraId="151BAC9B"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Cawley, L. (2017, May 15). Inside the school where 98% of the pupils are travellers. </w:t>
      </w:r>
      <w:r w:rsidRPr="00580AAF">
        <w:rPr>
          <w:rFonts w:ascii="Times New Roman" w:hAnsi="Times New Roman" w:cs="Times New Roman"/>
          <w:i/>
          <w:iCs/>
          <w:color w:val="000000" w:themeColor="text1"/>
          <w:sz w:val="24"/>
          <w:szCs w:val="24"/>
        </w:rPr>
        <w:t xml:space="preserve">BBC News. </w:t>
      </w:r>
      <w:hyperlink r:id="rId7">
        <w:r w:rsidRPr="00580AAF">
          <w:rPr>
            <w:rStyle w:val="Hyperlink"/>
            <w:rFonts w:ascii="Times New Roman" w:hAnsi="Times New Roman" w:cs="Times New Roman"/>
            <w:color w:val="000000" w:themeColor="text1"/>
            <w:sz w:val="24"/>
            <w:szCs w:val="24"/>
          </w:rPr>
          <w:t>https://www.bbc.co.uk/news/uk-england-essex-39139010</w:t>
        </w:r>
      </w:hyperlink>
      <w:r w:rsidRPr="00580AAF">
        <w:rPr>
          <w:rFonts w:ascii="Times New Roman" w:hAnsi="Times New Roman" w:cs="Times New Roman"/>
          <w:color w:val="000000" w:themeColor="text1"/>
          <w:sz w:val="24"/>
          <w:szCs w:val="24"/>
        </w:rPr>
        <w:t xml:space="preserve"> </w:t>
      </w:r>
    </w:p>
    <w:p w14:paraId="61B97612"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lang w:val="it-IT"/>
        </w:rPr>
        <w:t>Corbisiero-</w:t>
      </w:r>
      <w:proofErr w:type="spellStart"/>
      <w:r w:rsidRPr="00580AAF">
        <w:rPr>
          <w:rFonts w:ascii="Times New Roman" w:hAnsi="Times New Roman" w:cs="Times New Roman"/>
          <w:color w:val="000000" w:themeColor="text1"/>
          <w:sz w:val="24"/>
          <w:szCs w:val="24"/>
          <w:lang w:val="it-IT"/>
        </w:rPr>
        <w:t>Drakos</w:t>
      </w:r>
      <w:proofErr w:type="spellEnd"/>
      <w:r w:rsidRPr="00580AAF">
        <w:rPr>
          <w:rFonts w:ascii="Times New Roman" w:hAnsi="Times New Roman" w:cs="Times New Roman"/>
          <w:color w:val="000000" w:themeColor="text1"/>
          <w:sz w:val="24"/>
          <w:szCs w:val="24"/>
          <w:lang w:val="it-IT"/>
        </w:rPr>
        <w:t xml:space="preserve">, L., </w:t>
      </w:r>
      <w:proofErr w:type="spellStart"/>
      <w:r w:rsidRPr="00580AAF">
        <w:rPr>
          <w:rFonts w:ascii="Times New Roman" w:hAnsi="Times New Roman" w:cs="Times New Roman"/>
          <w:color w:val="000000" w:themeColor="text1"/>
          <w:sz w:val="24"/>
          <w:szCs w:val="24"/>
          <w:lang w:val="it-IT"/>
        </w:rPr>
        <w:t>Reeder</w:t>
      </w:r>
      <w:proofErr w:type="spellEnd"/>
      <w:r w:rsidRPr="00580AAF">
        <w:rPr>
          <w:rFonts w:ascii="Times New Roman" w:hAnsi="Times New Roman" w:cs="Times New Roman"/>
          <w:color w:val="000000" w:themeColor="text1"/>
          <w:sz w:val="24"/>
          <w:szCs w:val="24"/>
          <w:lang w:val="it-IT"/>
        </w:rPr>
        <w:t xml:space="preserve">, L., Ricciardi, L., </w:t>
      </w:r>
      <w:proofErr w:type="spellStart"/>
      <w:r w:rsidRPr="00580AAF">
        <w:rPr>
          <w:rFonts w:ascii="Times New Roman" w:hAnsi="Times New Roman" w:cs="Times New Roman"/>
          <w:color w:val="000000" w:themeColor="text1"/>
          <w:sz w:val="24"/>
          <w:szCs w:val="24"/>
          <w:lang w:val="it-IT"/>
        </w:rPr>
        <w:t>Zacharia</w:t>
      </w:r>
      <w:proofErr w:type="spellEnd"/>
      <w:r w:rsidRPr="00580AAF">
        <w:rPr>
          <w:rFonts w:ascii="Times New Roman" w:hAnsi="Times New Roman" w:cs="Times New Roman"/>
          <w:color w:val="000000" w:themeColor="text1"/>
          <w:sz w:val="24"/>
          <w:szCs w:val="24"/>
          <w:lang w:val="it-IT"/>
        </w:rPr>
        <w:t xml:space="preserve">, J., &amp; </w:t>
      </w:r>
      <w:proofErr w:type="spellStart"/>
      <w:r w:rsidRPr="00580AAF">
        <w:rPr>
          <w:rFonts w:ascii="Times New Roman" w:hAnsi="Times New Roman" w:cs="Times New Roman"/>
          <w:color w:val="000000" w:themeColor="text1"/>
          <w:sz w:val="24"/>
          <w:szCs w:val="24"/>
          <w:lang w:val="it-IT"/>
        </w:rPr>
        <w:t>Harnett</w:t>
      </w:r>
      <w:proofErr w:type="spellEnd"/>
      <w:r w:rsidRPr="00580AAF">
        <w:rPr>
          <w:rFonts w:ascii="Times New Roman" w:hAnsi="Times New Roman" w:cs="Times New Roman"/>
          <w:color w:val="000000" w:themeColor="text1"/>
          <w:sz w:val="24"/>
          <w:szCs w:val="24"/>
          <w:lang w:val="it-IT"/>
        </w:rPr>
        <w:t xml:space="preserve">, S. (2021). </w:t>
      </w:r>
      <w:r w:rsidRPr="00580AAF">
        <w:rPr>
          <w:rFonts w:ascii="Times New Roman" w:hAnsi="Times New Roman" w:cs="Times New Roman"/>
          <w:color w:val="000000" w:themeColor="text1"/>
          <w:sz w:val="24"/>
          <w:szCs w:val="24"/>
        </w:rPr>
        <w:t xml:space="preserve">Arts Integration and 21st Century Skills: A Study of Learners and Teachers. International Journal of Education &amp; the Arts. 22(2). </w:t>
      </w:r>
      <w:hyperlink r:id="rId8" w:history="1">
        <w:r w:rsidRPr="00580AAF">
          <w:rPr>
            <w:rStyle w:val="Hyperlink"/>
            <w:rFonts w:ascii="Times New Roman" w:hAnsi="Times New Roman" w:cs="Times New Roman"/>
            <w:color w:val="000000" w:themeColor="text1"/>
            <w:sz w:val="24"/>
            <w:szCs w:val="24"/>
          </w:rPr>
          <w:t>http://www.ijea.org/v22n2/v22n2.pdf</w:t>
        </w:r>
      </w:hyperlink>
      <w:r w:rsidRPr="00580AAF">
        <w:rPr>
          <w:rFonts w:ascii="Times New Roman" w:hAnsi="Times New Roman" w:cs="Times New Roman"/>
          <w:color w:val="000000" w:themeColor="text1"/>
          <w:sz w:val="24"/>
          <w:szCs w:val="24"/>
        </w:rPr>
        <w:t xml:space="preserve"> </w:t>
      </w:r>
    </w:p>
    <w:p w14:paraId="22F3807C" w14:textId="77777777" w:rsidR="00580AAF" w:rsidRPr="00580AAF" w:rsidRDefault="00580AAF" w:rsidP="00580AAF">
      <w:pPr>
        <w:spacing w:line="480" w:lineRule="auto"/>
        <w:rPr>
          <w:rFonts w:ascii="Times New Roman" w:hAnsi="Times New Roman" w:cs="Times New Roman"/>
          <w:color w:val="000000" w:themeColor="text1"/>
          <w:sz w:val="24"/>
          <w:szCs w:val="24"/>
        </w:rPr>
      </w:pPr>
      <w:proofErr w:type="spellStart"/>
      <w:r w:rsidRPr="00580AAF">
        <w:rPr>
          <w:rFonts w:ascii="Times New Roman" w:hAnsi="Times New Roman" w:cs="Times New Roman"/>
          <w:color w:val="000000" w:themeColor="text1"/>
          <w:sz w:val="24"/>
          <w:szCs w:val="24"/>
        </w:rPr>
        <w:t>Corderoy</w:t>
      </w:r>
      <w:proofErr w:type="spellEnd"/>
      <w:r w:rsidRPr="00580AAF">
        <w:rPr>
          <w:rFonts w:ascii="Times New Roman" w:hAnsi="Times New Roman" w:cs="Times New Roman"/>
          <w:color w:val="000000" w:themeColor="text1"/>
          <w:sz w:val="24"/>
          <w:szCs w:val="24"/>
        </w:rPr>
        <w:t>, L. &amp; Luff, P. (2019). Creative writing through the arts in primary schools.</w:t>
      </w:r>
      <w:r w:rsidRPr="00580AAF">
        <w:rPr>
          <w:rFonts w:ascii="Times New Roman" w:hAnsi="Times New Roman" w:cs="Times New Roman"/>
          <w:i/>
          <w:iCs/>
          <w:color w:val="000000" w:themeColor="text1"/>
          <w:sz w:val="24"/>
          <w:szCs w:val="24"/>
        </w:rPr>
        <w:t xml:space="preserve"> </w:t>
      </w:r>
      <w:proofErr w:type="spellStart"/>
      <w:r w:rsidRPr="00580AAF">
        <w:rPr>
          <w:rFonts w:ascii="Times New Roman" w:hAnsi="Times New Roman" w:cs="Times New Roman"/>
          <w:i/>
          <w:iCs/>
          <w:color w:val="000000" w:themeColor="text1"/>
          <w:sz w:val="24"/>
          <w:szCs w:val="24"/>
        </w:rPr>
        <w:t>Ímpact</w:t>
      </w:r>
      <w:proofErr w:type="spellEnd"/>
      <w:r w:rsidRPr="00580AAF">
        <w:rPr>
          <w:rFonts w:ascii="Times New Roman" w:hAnsi="Times New Roman" w:cs="Times New Roman"/>
          <w:i/>
          <w:iCs/>
          <w:color w:val="000000" w:themeColor="text1"/>
          <w:sz w:val="24"/>
          <w:szCs w:val="24"/>
        </w:rPr>
        <w:t xml:space="preserve">. Journal of the Chartered College of Teaching. </w:t>
      </w:r>
      <w:r w:rsidRPr="00580AAF">
        <w:rPr>
          <w:rFonts w:ascii="Times New Roman" w:hAnsi="Times New Roman" w:cs="Times New Roman"/>
          <w:color w:val="000000" w:themeColor="text1"/>
          <w:sz w:val="24"/>
          <w:szCs w:val="24"/>
        </w:rPr>
        <w:t xml:space="preserve">Issue 7: Arts, Creativity and Cultural Education. Available at: </w:t>
      </w:r>
      <w:hyperlink r:id="rId9" w:history="1">
        <w:r w:rsidRPr="00580AAF">
          <w:rPr>
            <w:rStyle w:val="Hyperlink"/>
            <w:rFonts w:ascii="Times New Roman" w:hAnsi="Times New Roman" w:cs="Times New Roman"/>
            <w:color w:val="000000" w:themeColor="text1"/>
            <w:sz w:val="24"/>
            <w:szCs w:val="24"/>
          </w:rPr>
          <w:t>https://my.chartered.college/impact_article/creative-writing-through-the-arts-in-primary-schools/</w:t>
        </w:r>
      </w:hyperlink>
    </w:p>
    <w:p w14:paraId="7294D6C2" w14:textId="77777777" w:rsidR="00580AAF" w:rsidRPr="00580AAF" w:rsidRDefault="00580AAF" w:rsidP="00580AAF">
      <w:pPr>
        <w:spacing w:line="480" w:lineRule="auto"/>
        <w:rPr>
          <w:color w:val="000000" w:themeColor="text1"/>
          <w:lang w:val="fr-FR"/>
        </w:rPr>
      </w:pPr>
      <w:r w:rsidRPr="00580AAF">
        <w:rPr>
          <w:rFonts w:ascii="Times New Roman" w:hAnsi="Times New Roman" w:cs="Times New Roman"/>
          <w:color w:val="000000" w:themeColor="text1"/>
          <w:sz w:val="24"/>
          <w:szCs w:val="24"/>
        </w:rPr>
        <w:lastRenderedPageBreak/>
        <w:t xml:space="preserve">Creative Writing through the Arts. (2019). </w:t>
      </w:r>
      <w:r w:rsidRPr="00580AAF">
        <w:rPr>
          <w:rFonts w:ascii="Times New Roman" w:hAnsi="Times New Roman" w:cs="Times New Roman"/>
          <w:i/>
          <w:iCs/>
          <w:color w:val="000000" w:themeColor="text1"/>
          <w:sz w:val="24"/>
          <w:szCs w:val="24"/>
        </w:rPr>
        <w:t>Creative Writing through the Arts</w:t>
      </w:r>
      <w:r w:rsidRPr="00580AAF">
        <w:rPr>
          <w:rFonts w:ascii="Times New Roman" w:hAnsi="Times New Roman" w:cs="Times New Roman"/>
          <w:color w:val="000000" w:themeColor="text1"/>
          <w:sz w:val="24"/>
          <w:szCs w:val="24"/>
        </w:rPr>
        <w:t xml:space="preserve"> Project website. </w:t>
      </w:r>
      <w:proofErr w:type="spellStart"/>
      <w:r w:rsidRPr="00580AAF">
        <w:rPr>
          <w:rFonts w:ascii="Times New Roman" w:hAnsi="Times New Roman" w:cs="Times New Roman"/>
          <w:color w:val="000000" w:themeColor="text1"/>
          <w:sz w:val="24"/>
          <w:szCs w:val="24"/>
          <w:lang w:val="fr-FR"/>
        </w:rPr>
        <w:t>Available</w:t>
      </w:r>
      <w:proofErr w:type="spellEnd"/>
      <w:r w:rsidRPr="00580AAF">
        <w:rPr>
          <w:rFonts w:ascii="Times New Roman" w:hAnsi="Times New Roman" w:cs="Times New Roman"/>
          <w:color w:val="000000" w:themeColor="text1"/>
          <w:sz w:val="24"/>
          <w:szCs w:val="24"/>
          <w:lang w:val="fr-FR"/>
        </w:rPr>
        <w:t xml:space="preserve"> </w:t>
      </w:r>
      <w:proofErr w:type="gramStart"/>
      <w:r w:rsidRPr="00580AAF">
        <w:rPr>
          <w:rFonts w:ascii="Times New Roman" w:hAnsi="Times New Roman" w:cs="Times New Roman"/>
          <w:color w:val="000000" w:themeColor="text1"/>
          <w:sz w:val="24"/>
          <w:szCs w:val="24"/>
          <w:lang w:val="fr-FR"/>
        </w:rPr>
        <w:t>at:</w:t>
      </w:r>
      <w:proofErr w:type="gramEnd"/>
      <w:r w:rsidRPr="00580AAF">
        <w:rPr>
          <w:rFonts w:ascii="Times New Roman" w:hAnsi="Times New Roman" w:cs="Times New Roman"/>
          <w:color w:val="000000" w:themeColor="text1"/>
          <w:sz w:val="24"/>
          <w:szCs w:val="24"/>
          <w:lang w:val="fr-FR"/>
        </w:rPr>
        <w:t xml:space="preserve"> </w:t>
      </w:r>
      <w:hyperlink r:id="rId10" w:history="1">
        <w:r w:rsidRPr="00580AAF">
          <w:rPr>
            <w:rStyle w:val="Hyperlink"/>
            <w:rFonts w:ascii="Times New Roman" w:hAnsi="Times New Roman" w:cs="Times New Roman"/>
            <w:color w:val="000000" w:themeColor="text1"/>
            <w:sz w:val="24"/>
            <w:szCs w:val="24"/>
            <w:lang w:val="fr-FR"/>
          </w:rPr>
          <w:t>https://creativewritingarts.org.uk/</w:t>
        </w:r>
      </w:hyperlink>
      <w:r w:rsidRPr="00580AAF">
        <w:rPr>
          <w:rFonts w:ascii="Times New Roman" w:hAnsi="Times New Roman" w:cs="Times New Roman"/>
          <w:i/>
          <w:iCs/>
          <w:color w:val="000000" w:themeColor="text1"/>
          <w:sz w:val="24"/>
          <w:szCs w:val="24"/>
          <w:lang w:val="fr-FR"/>
        </w:rPr>
        <w:t xml:space="preserve"> </w:t>
      </w:r>
      <w:r w:rsidRPr="00580AAF">
        <w:rPr>
          <w:rFonts w:ascii="Aptos" w:eastAsia="Aptos" w:hAnsi="Aptos" w:cs="Aptos"/>
          <w:color w:val="000000" w:themeColor="text1"/>
          <w:sz w:val="24"/>
          <w:szCs w:val="24"/>
          <w:lang w:val="fr-FR"/>
        </w:rPr>
        <w:t xml:space="preserve"> </w:t>
      </w:r>
    </w:p>
    <w:p w14:paraId="52FFB5C7" w14:textId="77777777" w:rsidR="00580AAF" w:rsidRPr="00580AAF" w:rsidRDefault="00580AAF" w:rsidP="00580AAF">
      <w:pPr>
        <w:spacing w:after="0" w:line="480" w:lineRule="auto"/>
        <w:rPr>
          <w:rFonts w:ascii="Times New Roman" w:hAnsi="Times New Roman" w:cs="Times New Roman"/>
          <w:color w:val="000000" w:themeColor="text1"/>
          <w:sz w:val="24"/>
          <w:szCs w:val="24"/>
        </w:rPr>
      </w:pPr>
      <w:proofErr w:type="spellStart"/>
      <w:r w:rsidRPr="00580AAF">
        <w:rPr>
          <w:rFonts w:ascii="Times New Roman" w:eastAsiaTheme="minorEastAsia" w:hAnsi="Times New Roman" w:cs="Times New Roman"/>
          <w:color w:val="000000" w:themeColor="text1"/>
          <w:sz w:val="24"/>
          <w:szCs w:val="24"/>
          <w:lang w:val="fr-FR"/>
        </w:rPr>
        <w:t>Dancis</w:t>
      </w:r>
      <w:proofErr w:type="spellEnd"/>
      <w:r w:rsidRPr="00580AAF">
        <w:rPr>
          <w:rFonts w:ascii="Times New Roman" w:eastAsiaTheme="minorEastAsia" w:hAnsi="Times New Roman" w:cs="Times New Roman"/>
          <w:color w:val="000000" w:themeColor="text1"/>
          <w:sz w:val="24"/>
          <w:szCs w:val="24"/>
          <w:lang w:val="fr-FR"/>
        </w:rPr>
        <w:t xml:space="preserve">, J. S., Coleman, B. R., &amp; Ellison, E. R. (2023). </w:t>
      </w:r>
      <w:r w:rsidRPr="00580AAF">
        <w:rPr>
          <w:rFonts w:ascii="Times New Roman" w:eastAsiaTheme="minorEastAsia" w:hAnsi="Times New Roman" w:cs="Times New Roman"/>
          <w:color w:val="000000" w:themeColor="text1"/>
          <w:sz w:val="24"/>
          <w:szCs w:val="24"/>
          <w:lang w:val="en-US"/>
        </w:rPr>
        <w:t xml:space="preserve">Participatory Action Research as Pedagogy: Stay Messy. </w:t>
      </w:r>
      <w:r w:rsidRPr="00580AAF">
        <w:rPr>
          <w:rFonts w:ascii="Times New Roman" w:eastAsiaTheme="minorEastAsia" w:hAnsi="Times New Roman" w:cs="Times New Roman"/>
          <w:i/>
          <w:iCs/>
          <w:color w:val="000000" w:themeColor="text1"/>
          <w:sz w:val="24"/>
          <w:szCs w:val="24"/>
          <w:lang w:val="en-US"/>
        </w:rPr>
        <w:t>Journal of Participatory Research Methods</w:t>
      </w:r>
      <w:r w:rsidRPr="00580AAF">
        <w:rPr>
          <w:rFonts w:ascii="Times New Roman" w:eastAsia="Times New Roman" w:hAnsi="Times New Roman" w:cs="Times New Roman"/>
          <w:color w:val="000000" w:themeColor="text1"/>
          <w:sz w:val="24"/>
          <w:szCs w:val="24"/>
          <w:lang w:val="en-US"/>
        </w:rPr>
        <w:t xml:space="preserve">, 4(2). </w:t>
      </w:r>
      <w:hyperlink r:id="rId11" w:history="1">
        <w:r w:rsidRPr="00580AAF">
          <w:rPr>
            <w:rStyle w:val="Hyperlink"/>
            <w:rFonts w:ascii="Times New Roman" w:eastAsia="Times New Roman" w:hAnsi="Times New Roman" w:cs="Times New Roman"/>
            <w:color w:val="000000" w:themeColor="text1"/>
            <w:sz w:val="24"/>
            <w:szCs w:val="24"/>
            <w:lang w:val="en-US"/>
          </w:rPr>
          <w:t>https://doi.org/ 10.35844/ 001c.75174</w:t>
        </w:r>
      </w:hyperlink>
      <w:r w:rsidRPr="00580AAF">
        <w:rPr>
          <w:color w:val="000000" w:themeColor="text1"/>
        </w:rPr>
        <w:t xml:space="preserve"> </w:t>
      </w:r>
      <w:r w:rsidRPr="00580AAF">
        <w:rPr>
          <w:rFonts w:ascii="Times New Roman" w:hAnsi="Times New Roman" w:cs="Times New Roman"/>
          <w:color w:val="000000" w:themeColor="text1"/>
          <w:sz w:val="24"/>
          <w:szCs w:val="24"/>
        </w:rPr>
        <w:t xml:space="preserve">   </w:t>
      </w:r>
    </w:p>
    <w:p w14:paraId="36ED8350" w14:textId="77777777" w:rsidR="00580AAF" w:rsidRPr="00580AAF" w:rsidRDefault="00580AAF" w:rsidP="00580AAF">
      <w:pPr>
        <w:spacing w:after="0" w:line="240" w:lineRule="auto"/>
        <w:rPr>
          <w:rFonts w:ascii="Times New Roman" w:hAnsi="Times New Roman" w:cs="Times New Roman"/>
          <w:color w:val="000000" w:themeColor="text1"/>
          <w:sz w:val="24"/>
          <w:szCs w:val="24"/>
        </w:rPr>
      </w:pPr>
    </w:p>
    <w:p w14:paraId="50D35CBE" w14:textId="77777777" w:rsidR="00580AAF" w:rsidRPr="00580AAF" w:rsidRDefault="00580AAF" w:rsidP="00580AAF">
      <w:pPr>
        <w:spacing w:after="0"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Department for Education (DfE). (2016). </w:t>
      </w:r>
      <w:r w:rsidRPr="00580AAF">
        <w:rPr>
          <w:rFonts w:ascii="Times New Roman" w:hAnsi="Times New Roman" w:cs="Times New Roman"/>
          <w:i/>
          <w:iCs/>
          <w:color w:val="000000" w:themeColor="text1"/>
          <w:sz w:val="24"/>
          <w:szCs w:val="24"/>
        </w:rPr>
        <w:t>Standard for teachers’ professional development.</w:t>
      </w:r>
      <w:r w:rsidRPr="00580AAF">
        <w:rPr>
          <w:rFonts w:ascii="Times New Roman" w:hAnsi="Times New Roman" w:cs="Times New Roman"/>
          <w:color w:val="000000" w:themeColor="text1"/>
          <w:sz w:val="24"/>
          <w:szCs w:val="24"/>
        </w:rPr>
        <w:t xml:space="preserve"> Available at: </w:t>
      </w:r>
      <w:hyperlink r:id="rId12">
        <w:r w:rsidRPr="00580AAF">
          <w:rPr>
            <w:rStyle w:val="Hyperlink"/>
            <w:rFonts w:ascii="Times New Roman" w:hAnsi="Times New Roman" w:cs="Times New Roman"/>
            <w:color w:val="000000" w:themeColor="text1"/>
            <w:sz w:val="24"/>
            <w:szCs w:val="24"/>
          </w:rPr>
          <w:t>https://www.gov.uk/government/publications/standard-for-teachers-professional-development</w:t>
        </w:r>
      </w:hyperlink>
    </w:p>
    <w:p w14:paraId="5799C634"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Department for Education (DfE). (2019a). </w:t>
      </w:r>
      <w:r w:rsidRPr="00580AAF">
        <w:rPr>
          <w:rFonts w:ascii="Times New Roman" w:hAnsi="Times New Roman" w:cs="Times New Roman"/>
          <w:i/>
          <w:iCs/>
          <w:color w:val="000000" w:themeColor="text1"/>
          <w:sz w:val="24"/>
          <w:szCs w:val="24"/>
        </w:rPr>
        <w:t xml:space="preserve">ITT Core content framework. </w:t>
      </w:r>
      <w:r w:rsidRPr="00580AAF">
        <w:rPr>
          <w:rFonts w:ascii="Times New Roman" w:hAnsi="Times New Roman" w:cs="Times New Roman"/>
          <w:color w:val="000000" w:themeColor="text1"/>
          <w:sz w:val="24"/>
          <w:szCs w:val="24"/>
        </w:rPr>
        <w:t xml:space="preserve">Available at: </w:t>
      </w:r>
      <w:hyperlink r:id="rId13" w:history="1">
        <w:r w:rsidRPr="00580AAF">
          <w:rPr>
            <w:rStyle w:val="Hyperlink"/>
            <w:rFonts w:ascii="Times New Roman" w:hAnsi="Times New Roman" w:cs="Times New Roman"/>
            <w:color w:val="000000" w:themeColor="text1"/>
            <w:sz w:val="24"/>
            <w:szCs w:val="24"/>
          </w:rPr>
          <w:t>https://assets.publishing.service.gov.uk/media/6061eb9cd3bf7f5cde260984/ITT_core_content_framework_.pdf</w:t>
        </w:r>
      </w:hyperlink>
      <w:r w:rsidRPr="00580AAF">
        <w:rPr>
          <w:rFonts w:ascii="Times New Roman" w:hAnsi="Times New Roman" w:cs="Times New Roman"/>
          <w:color w:val="000000" w:themeColor="text1"/>
          <w:sz w:val="24"/>
          <w:szCs w:val="24"/>
        </w:rPr>
        <w:t xml:space="preserve"> </w:t>
      </w:r>
    </w:p>
    <w:p w14:paraId="4155A949"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Department for Education (DfE). (2019b). </w:t>
      </w:r>
      <w:r w:rsidRPr="00580AAF">
        <w:rPr>
          <w:rFonts w:ascii="Times New Roman" w:hAnsi="Times New Roman" w:cs="Times New Roman"/>
          <w:i/>
          <w:iCs/>
          <w:color w:val="000000" w:themeColor="text1"/>
          <w:sz w:val="24"/>
          <w:szCs w:val="24"/>
        </w:rPr>
        <w:t xml:space="preserve">Special educational needs in England: January 2019. </w:t>
      </w:r>
      <w:r w:rsidRPr="00580AAF">
        <w:rPr>
          <w:rFonts w:ascii="Times New Roman" w:hAnsi="Times New Roman" w:cs="Times New Roman"/>
          <w:color w:val="000000" w:themeColor="text1"/>
          <w:sz w:val="24"/>
          <w:szCs w:val="24"/>
        </w:rPr>
        <w:t xml:space="preserve">Available at:  </w:t>
      </w:r>
      <w:hyperlink r:id="rId14" w:history="1">
        <w:r w:rsidRPr="00580AAF">
          <w:rPr>
            <w:rStyle w:val="Hyperlink"/>
            <w:rFonts w:ascii="Times New Roman" w:hAnsi="Times New Roman" w:cs="Times New Roman"/>
            <w:color w:val="000000" w:themeColor="text1"/>
            <w:sz w:val="24"/>
            <w:szCs w:val="24"/>
          </w:rPr>
          <w:t>https://assets.publishing.service.gov.uk/media/5d1c91cce5274a08df3d35bd/SEN_2019_Text.docx.pdf</w:t>
        </w:r>
      </w:hyperlink>
    </w:p>
    <w:p w14:paraId="0E4C1AA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Department for Education (DfE). (2021). Teachers’ Standards: Guidance for school leaders, school staff and governing bodies. Available at: </w:t>
      </w:r>
      <w:hyperlink r:id="rId15" w:history="1">
        <w:r w:rsidRPr="00580AAF">
          <w:rPr>
            <w:rStyle w:val="Hyperlink"/>
            <w:rFonts w:ascii="Times New Roman" w:hAnsi="Times New Roman" w:cs="Times New Roman"/>
            <w:color w:val="000000" w:themeColor="text1"/>
            <w:sz w:val="24"/>
            <w:szCs w:val="24"/>
          </w:rPr>
          <w:t>https://assets.publishing.service.gov.uk/media/61b73d6c8fa8f50384489c9a/Teachers__Standards_Dec_2021.pdf</w:t>
        </w:r>
      </w:hyperlink>
      <w:r w:rsidRPr="00580AAF">
        <w:rPr>
          <w:rFonts w:ascii="Times New Roman" w:hAnsi="Times New Roman" w:cs="Times New Roman"/>
          <w:color w:val="000000" w:themeColor="text1"/>
          <w:sz w:val="24"/>
          <w:szCs w:val="24"/>
        </w:rPr>
        <w:t xml:space="preserve"> </w:t>
      </w:r>
    </w:p>
    <w:p w14:paraId="18A851CA" w14:textId="77777777" w:rsidR="00580AAF" w:rsidRPr="00580AAF" w:rsidRDefault="00580AAF" w:rsidP="00580AAF">
      <w:pPr>
        <w:spacing w:line="480" w:lineRule="auto"/>
        <w:rPr>
          <w:rFonts w:ascii="Times New Roman" w:hAnsi="Times New Roman" w:cs="Times New Roman"/>
          <w:color w:val="000000" w:themeColor="text1"/>
          <w:sz w:val="24"/>
          <w:szCs w:val="24"/>
        </w:rPr>
      </w:pPr>
      <w:bookmarkStart w:id="2" w:name="_Hlk208568313"/>
      <w:r w:rsidRPr="00580AAF">
        <w:rPr>
          <w:rFonts w:ascii="Times New Roman" w:hAnsi="Times New Roman" w:cs="Times New Roman"/>
          <w:color w:val="000000" w:themeColor="text1"/>
          <w:sz w:val="24"/>
          <w:szCs w:val="24"/>
        </w:rPr>
        <w:t xml:space="preserve">Department for Education (DfE). (2025). </w:t>
      </w:r>
      <w:bookmarkEnd w:id="2"/>
      <w:r w:rsidRPr="00580AAF">
        <w:rPr>
          <w:rFonts w:ascii="Times New Roman" w:hAnsi="Times New Roman" w:cs="Times New Roman"/>
          <w:i/>
          <w:iCs/>
          <w:color w:val="000000" w:themeColor="text1"/>
          <w:sz w:val="24"/>
          <w:szCs w:val="24"/>
        </w:rPr>
        <w:t>Early years foundation stage statutory framework: For group and school-based providers</w:t>
      </w:r>
      <w:r w:rsidRPr="00580AAF">
        <w:rPr>
          <w:rFonts w:ascii="Times New Roman" w:hAnsi="Times New Roman" w:cs="Times New Roman"/>
          <w:color w:val="000000" w:themeColor="text1"/>
          <w:sz w:val="24"/>
          <w:szCs w:val="24"/>
        </w:rPr>
        <w:t xml:space="preserve">. Available at:  </w:t>
      </w:r>
      <w:hyperlink r:id="rId16">
        <w:r w:rsidRPr="00580AAF">
          <w:rPr>
            <w:rStyle w:val="Hyperlink"/>
            <w:rFonts w:ascii="Times New Roman" w:hAnsi="Times New Roman" w:cs="Times New Roman"/>
            <w:color w:val="000000" w:themeColor="text1"/>
            <w:sz w:val="24"/>
            <w:szCs w:val="24"/>
          </w:rPr>
          <w:t>https://assets.publishing.service.gov.uk/media/68b582a1cc8356c3c882a94b/Early_years_foundation_stage_statutory_framework_-_for_group_and_school-based_providers.pdf</w:t>
        </w:r>
      </w:hyperlink>
      <w:r w:rsidRPr="00580AAF">
        <w:rPr>
          <w:rFonts w:ascii="Times New Roman" w:hAnsi="Times New Roman" w:cs="Times New Roman"/>
          <w:color w:val="000000" w:themeColor="text1"/>
          <w:sz w:val="24"/>
          <w:szCs w:val="24"/>
        </w:rPr>
        <w:t xml:space="preserve">  </w:t>
      </w:r>
    </w:p>
    <w:p w14:paraId="0C567E4A"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 xml:space="preserve">Eisner, E.W. (2002) </w:t>
      </w:r>
      <w:r w:rsidRPr="00580AAF">
        <w:rPr>
          <w:rFonts w:ascii="Times New Roman" w:hAnsi="Times New Roman" w:cs="Times New Roman"/>
          <w:i/>
          <w:iCs/>
          <w:color w:val="000000" w:themeColor="text1"/>
          <w:sz w:val="24"/>
          <w:szCs w:val="24"/>
        </w:rPr>
        <w:t xml:space="preserve">Arts and the Creation of Mind. </w:t>
      </w:r>
      <w:proofErr w:type="spellStart"/>
      <w:r w:rsidRPr="00580AAF">
        <w:rPr>
          <w:rFonts w:ascii="Times New Roman" w:hAnsi="Times New Roman" w:cs="Times New Roman"/>
          <w:i/>
          <w:iCs/>
          <w:color w:val="000000" w:themeColor="text1"/>
          <w:sz w:val="24"/>
          <w:szCs w:val="24"/>
        </w:rPr>
        <w:t>LaJ</w:t>
      </w:r>
      <w:r w:rsidRPr="00580AAF">
        <w:rPr>
          <w:rFonts w:ascii="Times New Roman" w:hAnsi="Times New Roman" w:cs="Times New Roman"/>
          <w:color w:val="000000" w:themeColor="text1"/>
          <w:sz w:val="24"/>
          <w:szCs w:val="24"/>
        </w:rPr>
        <w:t>Yale</w:t>
      </w:r>
      <w:proofErr w:type="spellEnd"/>
      <w:r w:rsidRPr="00580AAF">
        <w:rPr>
          <w:rFonts w:ascii="Times New Roman" w:hAnsi="Times New Roman" w:cs="Times New Roman"/>
          <w:color w:val="000000" w:themeColor="text1"/>
          <w:sz w:val="24"/>
          <w:szCs w:val="24"/>
        </w:rPr>
        <w:t xml:space="preserve"> University Press. </w:t>
      </w:r>
    </w:p>
    <w:p w14:paraId="6D37906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Greene, M. (1995). </w:t>
      </w:r>
      <w:r w:rsidRPr="00580AAF">
        <w:rPr>
          <w:rFonts w:ascii="Times New Roman" w:hAnsi="Times New Roman" w:cs="Times New Roman"/>
          <w:i/>
          <w:iCs/>
          <w:color w:val="000000" w:themeColor="text1"/>
          <w:sz w:val="24"/>
          <w:szCs w:val="24"/>
        </w:rPr>
        <w:t>Releasing the Imagination: Essays on Education, the Arts, and Social Change.</w:t>
      </w:r>
      <w:r w:rsidRPr="00580AAF">
        <w:rPr>
          <w:rFonts w:ascii="Times New Roman" w:hAnsi="Times New Roman" w:cs="Times New Roman"/>
          <w:color w:val="000000" w:themeColor="text1"/>
          <w:sz w:val="24"/>
          <w:szCs w:val="24"/>
        </w:rPr>
        <w:t xml:space="preserve"> Jossey-Bass.</w:t>
      </w:r>
    </w:p>
    <w:p w14:paraId="07ACCAF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Kanyal, M., &amp; Cooper, L. (2010). Young children's perceptions of their school experience: a comparative study between England and India. </w:t>
      </w:r>
      <w:r w:rsidRPr="00580AAF">
        <w:rPr>
          <w:rFonts w:ascii="Times New Roman" w:hAnsi="Times New Roman" w:cs="Times New Roman"/>
          <w:i/>
          <w:iCs/>
          <w:color w:val="000000" w:themeColor="text1"/>
          <w:sz w:val="24"/>
          <w:szCs w:val="24"/>
        </w:rPr>
        <w:t xml:space="preserve">Procedia-Social and </w:t>
      </w:r>
      <w:proofErr w:type="spellStart"/>
      <w:r w:rsidRPr="00580AAF">
        <w:rPr>
          <w:rFonts w:ascii="Times New Roman" w:hAnsi="Times New Roman" w:cs="Times New Roman"/>
          <w:i/>
          <w:iCs/>
          <w:color w:val="000000" w:themeColor="text1"/>
          <w:sz w:val="24"/>
          <w:szCs w:val="24"/>
        </w:rPr>
        <w:t>Behavioral</w:t>
      </w:r>
      <w:proofErr w:type="spellEnd"/>
      <w:r w:rsidRPr="00580AAF">
        <w:rPr>
          <w:rFonts w:ascii="Times New Roman" w:hAnsi="Times New Roman" w:cs="Times New Roman"/>
          <w:i/>
          <w:iCs/>
          <w:color w:val="000000" w:themeColor="text1"/>
          <w:sz w:val="24"/>
          <w:szCs w:val="24"/>
        </w:rPr>
        <w:t xml:space="preserve"> Sciences</w:t>
      </w:r>
      <w:r w:rsidRPr="00580AAF">
        <w:rPr>
          <w:rFonts w:ascii="Times New Roman" w:hAnsi="Times New Roman" w:cs="Times New Roman"/>
          <w:color w:val="000000" w:themeColor="text1"/>
          <w:sz w:val="24"/>
          <w:szCs w:val="24"/>
        </w:rPr>
        <w:t xml:space="preserve">, 2(2), 3605-3613. </w:t>
      </w:r>
      <w:hyperlink r:id="rId17">
        <w:r w:rsidRPr="00580AAF">
          <w:rPr>
            <w:rStyle w:val="Hyperlink"/>
            <w:rFonts w:ascii="Times New Roman" w:hAnsi="Times New Roman" w:cs="Times New Roman"/>
            <w:color w:val="000000" w:themeColor="text1"/>
            <w:sz w:val="24"/>
            <w:szCs w:val="24"/>
          </w:rPr>
          <w:t>https://doi.org/10.1016/j.sbspro.2010.03.560</w:t>
        </w:r>
      </w:hyperlink>
      <w:r w:rsidRPr="00580AAF">
        <w:rPr>
          <w:rFonts w:ascii="Times New Roman" w:hAnsi="Times New Roman" w:cs="Times New Roman"/>
          <w:color w:val="000000" w:themeColor="text1"/>
          <w:sz w:val="24"/>
          <w:szCs w:val="24"/>
        </w:rPr>
        <w:t xml:space="preserve">  </w:t>
      </w:r>
    </w:p>
    <w:p w14:paraId="0AF33B14"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Kanyal, M. (2014). </w:t>
      </w:r>
      <w:r w:rsidRPr="00580AAF">
        <w:rPr>
          <w:rFonts w:ascii="Times New Roman" w:hAnsi="Times New Roman" w:cs="Times New Roman"/>
          <w:i/>
          <w:iCs/>
          <w:color w:val="000000" w:themeColor="text1"/>
          <w:sz w:val="24"/>
          <w:szCs w:val="24"/>
        </w:rPr>
        <w:t xml:space="preserve">Children's Rights: Promoting participation in education and care. </w:t>
      </w:r>
      <w:r w:rsidRPr="00580AAF">
        <w:rPr>
          <w:rFonts w:ascii="Times New Roman" w:hAnsi="Times New Roman" w:cs="Times New Roman"/>
          <w:color w:val="000000" w:themeColor="text1"/>
          <w:sz w:val="24"/>
          <w:szCs w:val="24"/>
        </w:rPr>
        <w:t>Routledge.</w:t>
      </w:r>
    </w:p>
    <w:p w14:paraId="302E1D79"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proofErr w:type="spellStart"/>
      <w:r w:rsidRPr="00580AAF">
        <w:rPr>
          <w:rFonts w:ascii="Times New Roman" w:eastAsia="Times New Roman" w:hAnsi="Times New Roman" w:cs="Times New Roman"/>
          <w:color w:val="000000" w:themeColor="text1"/>
          <w:sz w:val="24"/>
          <w:szCs w:val="24"/>
        </w:rPr>
        <w:t>LaJevic</w:t>
      </w:r>
      <w:proofErr w:type="spellEnd"/>
      <w:r w:rsidRPr="00580AAF">
        <w:rPr>
          <w:rFonts w:ascii="Times New Roman" w:eastAsia="Times New Roman" w:hAnsi="Times New Roman" w:cs="Times New Roman"/>
          <w:color w:val="000000" w:themeColor="text1"/>
          <w:sz w:val="24"/>
          <w:szCs w:val="24"/>
        </w:rPr>
        <w:t xml:space="preserve">, L. (2013). Arts Integration: what is really happening in the elementary classroom? </w:t>
      </w:r>
      <w:r w:rsidRPr="00580AAF">
        <w:rPr>
          <w:rFonts w:ascii="Times New Roman" w:eastAsia="Times New Roman" w:hAnsi="Times New Roman" w:cs="Times New Roman"/>
          <w:i/>
          <w:iCs/>
          <w:color w:val="000000" w:themeColor="text1"/>
          <w:sz w:val="24"/>
          <w:szCs w:val="24"/>
        </w:rPr>
        <w:t>Journal for Learning through the Arts</w:t>
      </w:r>
      <w:r w:rsidRPr="00580AAF">
        <w:rPr>
          <w:rFonts w:ascii="Times New Roman" w:eastAsia="Times New Roman" w:hAnsi="Times New Roman" w:cs="Times New Roman"/>
          <w:color w:val="000000" w:themeColor="text1"/>
          <w:sz w:val="24"/>
          <w:szCs w:val="24"/>
        </w:rPr>
        <w:t xml:space="preserve">, 9(1). </w:t>
      </w:r>
      <w:hyperlink r:id="rId18">
        <w:r w:rsidRPr="00580AAF">
          <w:rPr>
            <w:rStyle w:val="Hyperlink"/>
            <w:rFonts w:ascii="Times New Roman" w:eastAsia="Times New Roman" w:hAnsi="Times New Roman" w:cs="Times New Roman"/>
            <w:color w:val="000000" w:themeColor="text1"/>
            <w:sz w:val="24"/>
            <w:szCs w:val="24"/>
          </w:rPr>
          <w:t>https://files.eric.ed.gov/fulltext/EJ1018332.pdf</w:t>
        </w:r>
      </w:hyperlink>
      <w:r w:rsidRPr="00580AAF">
        <w:rPr>
          <w:rFonts w:ascii="Times New Roman" w:eastAsia="Times New Roman" w:hAnsi="Times New Roman" w:cs="Times New Roman"/>
          <w:color w:val="000000" w:themeColor="text1"/>
          <w:sz w:val="24"/>
          <w:szCs w:val="24"/>
        </w:rPr>
        <w:t xml:space="preserve"> </w:t>
      </w:r>
    </w:p>
    <w:p w14:paraId="742D6F10" w14:textId="77777777" w:rsidR="00580AAF" w:rsidRPr="00580AAF" w:rsidRDefault="00580AAF" w:rsidP="00580AAF">
      <w:pPr>
        <w:spacing w:after="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Lapidot-Lefler, N. (2025). Empowering connections: participatory action research in teacher education with vulnerable youth. </w:t>
      </w:r>
      <w:r w:rsidRPr="00580AAF">
        <w:rPr>
          <w:rFonts w:ascii="Times New Roman" w:eastAsia="Times New Roman" w:hAnsi="Times New Roman" w:cs="Times New Roman"/>
          <w:i/>
          <w:iCs/>
          <w:color w:val="000000" w:themeColor="text1"/>
          <w:sz w:val="24"/>
          <w:szCs w:val="24"/>
        </w:rPr>
        <w:t>Educational Action Research</w:t>
      </w:r>
      <w:r w:rsidRPr="00580AAF">
        <w:rPr>
          <w:rFonts w:ascii="Times New Roman" w:eastAsia="Times New Roman" w:hAnsi="Times New Roman" w:cs="Times New Roman"/>
          <w:color w:val="000000" w:themeColor="text1"/>
          <w:sz w:val="24"/>
          <w:szCs w:val="24"/>
        </w:rPr>
        <w:t xml:space="preserve">, 1- 24. </w:t>
      </w:r>
      <w:hyperlink r:id="rId19">
        <w:r w:rsidRPr="00580AAF">
          <w:rPr>
            <w:rStyle w:val="Hyperlink"/>
            <w:rFonts w:ascii="Times New Roman" w:eastAsia="Times New Roman" w:hAnsi="Times New Roman" w:cs="Times New Roman"/>
            <w:color w:val="000000" w:themeColor="text1"/>
            <w:sz w:val="24"/>
            <w:szCs w:val="24"/>
          </w:rPr>
          <w:t>https://doi.org/10.1080/09650792.2025.2590022</w:t>
        </w:r>
      </w:hyperlink>
      <w:r w:rsidRPr="00580AAF">
        <w:rPr>
          <w:color w:val="000000" w:themeColor="text1"/>
        </w:rPr>
        <w:t xml:space="preserve">  </w:t>
      </w:r>
    </w:p>
    <w:p w14:paraId="0E0ABD4A" w14:textId="77777777" w:rsidR="00580AAF" w:rsidRPr="00580AAF" w:rsidRDefault="00580AAF" w:rsidP="00580AAF">
      <w:pPr>
        <w:spacing w:before="240" w:after="240" w:line="480" w:lineRule="auto"/>
        <w:rPr>
          <w:color w:val="000000" w:themeColor="text1"/>
        </w:rPr>
      </w:pPr>
      <w:r w:rsidRPr="00580AAF">
        <w:rPr>
          <w:rFonts w:ascii="Times New Roman" w:eastAsia="Times New Roman" w:hAnsi="Times New Roman" w:cs="Times New Roman"/>
          <w:color w:val="000000" w:themeColor="text1"/>
          <w:sz w:val="24"/>
          <w:szCs w:val="24"/>
        </w:rPr>
        <w:t xml:space="preserve">Littlefair, D., &amp; Jopling, M. (2025). Pupil voice as a method in education research: thinking the ‘in-between.’ </w:t>
      </w:r>
      <w:r w:rsidRPr="00580AAF">
        <w:rPr>
          <w:rFonts w:ascii="Times New Roman" w:eastAsia="Times New Roman" w:hAnsi="Times New Roman" w:cs="Times New Roman"/>
          <w:i/>
          <w:iCs/>
          <w:color w:val="000000" w:themeColor="text1"/>
          <w:sz w:val="24"/>
          <w:szCs w:val="24"/>
        </w:rPr>
        <w:t>Oxford Review of Education</w:t>
      </w:r>
      <w:r w:rsidRPr="00580AAF">
        <w:rPr>
          <w:rFonts w:ascii="Times New Roman" w:eastAsia="Times New Roman" w:hAnsi="Times New Roman" w:cs="Times New Roman"/>
          <w:color w:val="000000" w:themeColor="text1"/>
          <w:sz w:val="24"/>
          <w:szCs w:val="24"/>
        </w:rPr>
        <w:t xml:space="preserve">, 1- 16. </w:t>
      </w:r>
      <w:hyperlink r:id="rId20" w:history="1">
        <w:r w:rsidRPr="00580AAF">
          <w:rPr>
            <w:rStyle w:val="Hyperlink"/>
            <w:rFonts w:ascii="Times New Roman" w:eastAsia="Times New Roman" w:hAnsi="Times New Roman" w:cs="Times New Roman"/>
            <w:color w:val="000000" w:themeColor="text1"/>
            <w:sz w:val="24"/>
            <w:szCs w:val="24"/>
          </w:rPr>
          <w:t>https://doi.org/10.1080/03054985.2025.2458526</w:t>
        </w:r>
      </w:hyperlink>
      <w:r w:rsidRPr="00580AAF">
        <w:rPr>
          <w:color w:val="000000" w:themeColor="text1"/>
        </w:rPr>
        <w:t xml:space="preserve"> </w:t>
      </w:r>
    </w:p>
    <w:p w14:paraId="4D0C78C1"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Luff, P., Feist, A., Kanyal, M. &amp; Quayle, D. (2019).</w:t>
      </w:r>
      <w:r w:rsidRPr="00580AAF">
        <w:rPr>
          <w:rFonts w:ascii="Times New Roman" w:hAnsi="Times New Roman" w:cs="Times New Roman"/>
          <w:i/>
          <w:iCs/>
          <w:color w:val="000000" w:themeColor="text1"/>
          <w:sz w:val="24"/>
          <w:szCs w:val="24"/>
        </w:rPr>
        <w:t xml:space="preserve"> Creative Writing through the Arts 2016-19.</w:t>
      </w:r>
      <w:r w:rsidRPr="00580AAF">
        <w:rPr>
          <w:rFonts w:ascii="Times New Roman" w:hAnsi="Times New Roman" w:cs="Times New Roman"/>
          <w:color w:val="000000" w:themeColor="text1"/>
          <w:sz w:val="24"/>
          <w:szCs w:val="24"/>
        </w:rPr>
        <w:t xml:space="preserve"> Final Report.  </w:t>
      </w:r>
      <w:hyperlink r:id="rId21">
        <w:r w:rsidRPr="00580AAF">
          <w:rPr>
            <w:rStyle w:val="Hyperlink"/>
            <w:rFonts w:ascii="Times New Roman" w:hAnsi="Times New Roman" w:cs="Times New Roman"/>
            <w:color w:val="000000" w:themeColor="text1"/>
            <w:sz w:val="24"/>
            <w:szCs w:val="24"/>
          </w:rPr>
          <w:t>https://creativewritingarts.org.uk/wp-content/uploads/2019/12/Final-Report-for-CWttA-.pdf</w:t>
        </w:r>
      </w:hyperlink>
      <w:r w:rsidRPr="00580AAF">
        <w:rPr>
          <w:rFonts w:ascii="Times New Roman" w:hAnsi="Times New Roman" w:cs="Times New Roman"/>
          <w:color w:val="000000" w:themeColor="text1"/>
          <w:sz w:val="24"/>
          <w:szCs w:val="24"/>
        </w:rPr>
        <w:t xml:space="preserve">  </w:t>
      </w:r>
    </w:p>
    <w:p w14:paraId="728158C8"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Roberts, N. (2021). </w:t>
      </w:r>
      <w:r w:rsidRPr="00580AAF">
        <w:rPr>
          <w:rFonts w:ascii="Times New Roman" w:hAnsi="Times New Roman" w:cs="Times New Roman"/>
          <w:i/>
          <w:iCs/>
          <w:color w:val="000000" w:themeColor="text1"/>
          <w:sz w:val="24"/>
          <w:szCs w:val="24"/>
        </w:rPr>
        <w:t>The school curriculum in England</w:t>
      </w:r>
      <w:r w:rsidRPr="00580AAF">
        <w:rPr>
          <w:rFonts w:ascii="Times New Roman" w:hAnsi="Times New Roman" w:cs="Times New Roman"/>
          <w:color w:val="000000" w:themeColor="text1"/>
          <w:sz w:val="24"/>
          <w:szCs w:val="24"/>
        </w:rPr>
        <w:t xml:space="preserve">. Briefing paper 06798, 26 March 2021. Available at: </w:t>
      </w:r>
      <w:hyperlink r:id="rId22" w:history="1">
        <w:r w:rsidRPr="00580AAF">
          <w:rPr>
            <w:rStyle w:val="Hyperlink"/>
            <w:rFonts w:ascii="Times New Roman" w:hAnsi="Times New Roman" w:cs="Times New Roman"/>
            <w:color w:val="000000" w:themeColor="text1"/>
            <w:sz w:val="24"/>
            <w:szCs w:val="24"/>
          </w:rPr>
          <w:t>https://dera.ioe.ac.uk/id/eprint/37680/1/SN06798.pdf</w:t>
        </w:r>
      </w:hyperlink>
      <w:r w:rsidRPr="00580AAF">
        <w:rPr>
          <w:rFonts w:ascii="Times New Roman" w:hAnsi="Times New Roman" w:cs="Times New Roman"/>
          <w:color w:val="000000" w:themeColor="text1"/>
          <w:sz w:val="24"/>
          <w:szCs w:val="24"/>
        </w:rPr>
        <w:t xml:space="preserve"> </w:t>
      </w:r>
    </w:p>
    <w:p w14:paraId="6737D43C"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Rudduck, J. &amp; Hopkins, D. (1985). </w:t>
      </w:r>
      <w:r w:rsidRPr="00580AAF">
        <w:rPr>
          <w:rFonts w:ascii="Times New Roman" w:hAnsi="Times New Roman" w:cs="Times New Roman"/>
          <w:i/>
          <w:iCs/>
          <w:color w:val="000000" w:themeColor="text1"/>
          <w:sz w:val="24"/>
          <w:szCs w:val="24"/>
        </w:rPr>
        <w:t>Research as a basis for teaching: Readings from the work of Lawrence Stenhouse.</w:t>
      </w:r>
      <w:r w:rsidRPr="00580AAF">
        <w:rPr>
          <w:rFonts w:ascii="Times New Roman" w:hAnsi="Times New Roman" w:cs="Times New Roman"/>
          <w:color w:val="000000" w:themeColor="text1"/>
          <w:sz w:val="24"/>
          <w:szCs w:val="24"/>
        </w:rPr>
        <w:t xml:space="preserve"> Heinemann.</w:t>
      </w:r>
    </w:p>
    <w:p w14:paraId="63D5EB12"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lastRenderedPageBreak/>
        <w:t xml:space="preserve">Standards and Testing Agency (STA). (2024). National curriculum assessments: information for parents. Available at: </w:t>
      </w:r>
      <w:hyperlink r:id="rId23" w:history="1">
        <w:r w:rsidRPr="00580AAF">
          <w:rPr>
            <w:rStyle w:val="Hyperlink"/>
            <w:rFonts w:ascii="Times New Roman" w:hAnsi="Times New Roman" w:cs="Times New Roman"/>
            <w:color w:val="000000" w:themeColor="text1"/>
            <w:sz w:val="24"/>
            <w:szCs w:val="24"/>
          </w:rPr>
          <w:t>https://www.gov.uk/government/collections/national-curriculum-assessments-information-for-parents</w:t>
        </w:r>
      </w:hyperlink>
      <w:r w:rsidRPr="00580AAF">
        <w:rPr>
          <w:rFonts w:ascii="Times New Roman" w:hAnsi="Times New Roman" w:cs="Times New Roman"/>
          <w:color w:val="000000" w:themeColor="text1"/>
          <w:sz w:val="24"/>
          <w:szCs w:val="24"/>
        </w:rPr>
        <w:t xml:space="preserve"> </w:t>
      </w:r>
    </w:p>
    <w:p w14:paraId="20A7F33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Stenhouse, L. (1975). </w:t>
      </w:r>
      <w:r w:rsidRPr="00580AAF">
        <w:rPr>
          <w:rFonts w:ascii="Times New Roman" w:hAnsi="Times New Roman" w:cs="Times New Roman"/>
          <w:i/>
          <w:iCs/>
          <w:color w:val="000000" w:themeColor="text1"/>
          <w:sz w:val="24"/>
          <w:szCs w:val="24"/>
        </w:rPr>
        <w:t>An Introduction to Curriculum Research and Development.</w:t>
      </w:r>
      <w:r w:rsidRPr="00580AAF">
        <w:rPr>
          <w:rFonts w:ascii="Times New Roman" w:hAnsi="Times New Roman" w:cs="Times New Roman"/>
          <w:color w:val="000000" w:themeColor="text1"/>
          <w:sz w:val="24"/>
          <w:szCs w:val="24"/>
        </w:rPr>
        <w:t xml:space="preserve"> Heinemann.</w:t>
      </w:r>
    </w:p>
    <w:p w14:paraId="662B8C54" w14:textId="77777777" w:rsidR="00580AAF" w:rsidRPr="00580AAF" w:rsidRDefault="00580AAF" w:rsidP="00580AAF">
      <w:pPr>
        <w:spacing w:line="480" w:lineRule="auto"/>
        <w:rPr>
          <w:color w:val="000000" w:themeColor="text1"/>
        </w:rPr>
      </w:pPr>
      <w:r w:rsidRPr="00580AAF">
        <w:rPr>
          <w:rFonts w:ascii="Times New Roman" w:hAnsi="Times New Roman" w:cs="Times New Roman"/>
          <w:color w:val="000000" w:themeColor="text1"/>
          <w:sz w:val="24"/>
          <w:szCs w:val="24"/>
        </w:rPr>
        <w:t xml:space="preserve">Stenhouse, L. (1981). What counts as research? </w:t>
      </w:r>
      <w:r w:rsidRPr="00580AAF">
        <w:rPr>
          <w:rFonts w:ascii="Times New Roman" w:hAnsi="Times New Roman" w:cs="Times New Roman"/>
          <w:i/>
          <w:iCs/>
          <w:color w:val="000000" w:themeColor="text1"/>
          <w:sz w:val="24"/>
          <w:szCs w:val="24"/>
        </w:rPr>
        <w:t>British Journal of Educational Studies, </w:t>
      </w:r>
      <w:r w:rsidRPr="00580AAF">
        <w:rPr>
          <w:rFonts w:ascii="Times New Roman" w:hAnsi="Times New Roman" w:cs="Times New Roman"/>
          <w:color w:val="000000" w:themeColor="text1"/>
          <w:sz w:val="24"/>
          <w:szCs w:val="24"/>
        </w:rPr>
        <w:t xml:space="preserve">29(2), 102–114. </w:t>
      </w:r>
      <w:hyperlink r:id="rId24">
        <w:r w:rsidRPr="00580AAF">
          <w:rPr>
            <w:rStyle w:val="Hyperlink"/>
            <w:rFonts w:ascii="Times New Roman" w:hAnsi="Times New Roman" w:cs="Times New Roman"/>
            <w:color w:val="000000" w:themeColor="text1"/>
            <w:sz w:val="24"/>
            <w:szCs w:val="24"/>
          </w:rPr>
          <w:t>https://doi.org/10.1080/00071005.1981.9973589</w:t>
        </w:r>
      </w:hyperlink>
    </w:p>
    <w:p w14:paraId="2FB3678E"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Stenhouse, L. (1988). Artistry and teaching: The teacher as focus of research and development. </w:t>
      </w:r>
      <w:r w:rsidRPr="00580AAF">
        <w:rPr>
          <w:rFonts w:ascii="Times New Roman" w:hAnsi="Times New Roman" w:cs="Times New Roman"/>
          <w:i/>
          <w:iCs/>
          <w:color w:val="000000" w:themeColor="text1"/>
          <w:sz w:val="24"/>
          <w:szCs w:val="24"/>
        </w:rPr>
        <w:t xml:space="preserve">Journal of Curriculum and Supervision, </w:t>
      </w:r>
      <w:r w:rsidRPr="00580AAF">
        <w:rPr>
          <w:rFonts w:ascii="Times New Roman" w:hAnsi="Times New Roman" w:cs="Times New Roman"/>
          <w:color w:val="000000" w:themeColor="text1"/>
          <w:sz w:val="24"/>
          <w:szCs w:val="24"/>
        </w:rPr>
        <w:t xml:space="preserve">4(1), 43-51. </w:t>
      </w:r>
      <w:hyperlink r:id="rId25" w:history="1">
        <w:r w:rsidRPr="00580AAF">
          <w:rPr>
            <w:rStyle w:val="Hyperlink"/>
            <w:rFonts w:ascii="Times New Roman" w:hAnsi="Times New Roman" w:cs="Times New Roman"/>
            <w:color w:val="000000" w:themeColor="text1"/>
            <w:sz w:val="24"/>
            <w:szCs w:val="24"/>
          </w:rPr>
          <w:t>https://files.ascd.org/staticfiles/ascd/pdf/journals/jcs/jcs_1988fall_stenhouse.pdf</w:t>
        </w:r>
      </w:hyperlink>
      <w:r w:rsidRPr="00580AAF">
        <w:rPr>
          <w:rFonts w:ascii="Times New Roman" w:hAnsi="Times New Roman" w:cs="Times New Roman"/>
          <w:color w:val="000000" w:themeColor="text1"/>
          <w:sz w:val="24"/>
          <w:szCs w:val="24"/>
        </w:rPr>
        <w:t xml:space="preserve"> </w:t>
      </w:r>
    </w:p>
    <w:p w14:paraId="109881CA" w14:textId="77777777" w:rsidR="00580AAF" w:rsidRPr="00580AAF" w:rsidRDefault="00580AAF" w:rsidP="00580AAF">
      <w:pPr>
        <w:spacing w:line="480" w:lineRule="auto"/>
        <w:rPr>
          <w:rFonts w:ascii="Times New Roman" w:hAnsi="Times New Roman" w:cs="Times New Roman"/>
          <w:color w:val="000000" w:themeColor="text1"/>
          <w:sz w:val="24"/>
          <w:szCs w:val="24"/>
        </w:rPr>
      </w:pPr>
      <w:proofErr w:type="spellStart"/>
      <w:r w:rsidRPr="00580AAF">
        <w:rPr>
          <w:rFonts w:ascii="Times New Roman" w:hAnsi="Times New Roman" w:cs="Times New Roman"/>
          <w:color w:val="000000" w:themeColor="text1"/>
          <w:sz w:val="24"/>
          <w:szCs w:val="24"/>
        </w:rPr>
        <w:t>Tambing</w:t>
      </w:r>
      <w:proofErr w:type="spellEnd"/>
      <w:r w:rsidRPr="00580AAF">
        <w:rPr>
          <w:rFonts w:ascii="Times New Roman" w:hAnsi="Times New Roman" w:cs="Times New Roman"/>
          <w:color w:val="000000" w:themeColor="text1"/>
          <w:sz w:val="24"/>
          <w:szCs w:val="24"/>
        </w:rPr>
        <w:t xml:space="preserve">, P. &amp; Bacon, S. (2023). </w:t>
      </w:r>
      <w:r w:rsidRPr="00580AAF">
        <w:rPr>
          <w:rFonts w:ascii="Times New Roman" w:hAnsi="Times New Roman" w:cs="Times New Roman"/>
          <w:i/>
          <w:iCs/>
          <w:color w:val="000000" w:themeColor="text1"/>
          <w:sz w:val="24"/>
          <w:szCs w:val="24"/>
        </w:rPr>
        <w:t xml:space="preserve">The Arts in Schools: Foundations for the Future. </w:t>
      </w:r>
      <w:r w:rsidRPr="00580AAF">
        <w:rPr>
          <w:rFonts w:ascii="Times New Roman" w:hAnsi="Times New Roman" w:cs="Times New Roman"/>
          <w:color w:val="000000" w:themeColor="text1"/>
          <w:sz w:val="24"/>
          <w:szCs w:val="24"/>
        </w:rPr>
        <w:t xml:space="preserve">Available at: </w:t>
      </w:r>
      <w:hyperlink r:id="rId26" w:history="1">
        <w:r w:rsidRPr="00580AAF">
          <w:rPr>
            <w:rStyle w:val="Hyperlink"/>
            <w:rFonts w:ascii="Times New Roman" w:hAnsi="Times New Roman" w:cs="Times New Roman"/>
            <w:color w:val="000000" w:themeColor="text1"/>
            <w:sz w:val="24"/>
            <w:szCs w:val="24"/>
          </w:rPr>
          <w:t>https://www.anewdirection.org.uk/asset/8342</w:t>
        </w:r>
      </w:hyperlink>
      <w:r w:rsidRPr="00580AAF">
        <w:rPr>
          <w:rFonts w:ascii="Times New Roman" w:hAnsi="Times New Roman" w:cs="Times New Roman"/>
          <w:color w:val="000000" w:themeColor="text1"/>
          <w:sz w:val="24"/>
          <w:szCs w:val="24"/>
        </w:rPr>
        <w:t xml:space="preserve"> </w:t>
      </w:r>
    </w:p>
    <w:p w14:paraId="45B7D5A2"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UNICEF. (no date). A summary of the UN Convention on the Rights of the Child. Available at: </w:t>
      </w:r>
      <w:hyperlink r:id="rId27">
        <w:r w:rsidRPr="00580AAF">
          <w:rPr>
            <w:rStyle w:val="Hyperlink"/>
            <w:rFonts w:ascii="Times New Roman" w:hAnsi="Times New Roman" w:cs="Times New Roman"/>
            <w:color w:val="000000" w:themeColor="text1"/>
            <w:sz w:val="24"/>
            <w:szCs w:val="24"/>
          </w:rPr>
          <w:t>https://www.unicef.org.uk/wp-content/uploads/2019/10/UNCRC_summary-1_1.pdf</w:t>
        </w:r>
      </w:hyperlink>
      <w:r w:rsidRPr="00580AAF">
        <w:rPr>
          <w:rFonts w:ascii="Times New Roman" w:hAnsi="Times New Roman" w:cs="Times New Roman"/>
          <w:color w:val="000000" w:themeColor="text1"/>
          <w:sz w:val="24"/>
          <w:szCs w:val="24"/>
        </w:rPr>
        <w:t xml:space="preserve"> </w:t>
      </w:r>
    </w:p>
    <w:p w14:paraId="388B8AFC" w14:textId="77777777" w:rsidR="00580AAF" w:rsidRPr="00580AAF" w:rsidRDefault="00580AAF" w:rsidP="00580AAF">
      <w:pPr>
        <w:spacing w:before="240" w:after="240" w:line="480" w:lineRule="auto"/>
        <w:rPr>
          <w:rFonts w:ascii="Times New Roman" w:eastAsia="Times New Roman" w:hAnsi="Times New Roman" w:cs="Times New Roman"/>
          <w:color w:val="000000" w:themeColor="text1"/>
          <w:sz w:val="24"/>
          <w:szCs w:val="24"/>
        </w:rPr>
      </w:pPr>
      <w:r w:rsidRPr="00580AAF">
        <w:rPr>
          <w:rFonts w:ascii="Times New Roman" w:eastAsia="Times New Roman" w:hAnsi="Times New Roman" w:cs="Times New Roman"/>
          <w:color w:val="000000" w:themeColor="text1"/>
          <w:sz w:val="24"/>
          <w:szCs w:val="24"/>
        </w:rPr>
        <w:t xml:space="preserve">UNICEF UK. (no date). The Right to Participation. Available at: </w:t>
      </w:r>
      <w:hyperlink r:id="rId28">
        <w:r w:rsidRPr="00580AAF">
          <w:rPr>
            <w:rStyle w:val="Hyperlink"/>
            <w:rFonts w:ascii="Times New Roman" w:eastAsia="Times New Roman" w:hAnsi="Times New Roman" w:cs="Times New Roman"/>
            <w:color w:val="000000" w:themeColor="text1"/>
            <w:sz w:val="24"/>
            <w:szCs w:val="24"/>
          </w:rPr>
          <w:t>https://www.unicef.org.uk/rights-respecting-schools/the-right-to-participation/</w:t>
        </w:r>
      </w:hyperlink>
      <w:r w:rsidRPr="00580AAF">
        <w:rPr>
          <w:color w:val="000000" w:themeColor="text1"/>
        </w:rPr>
        <w:t xml:space="preserve"> </w:t>
      </w:r>
      <w:r w:rsidRPr="00580AAF">
        <w:rPr>
          <w:rFonts w:ascii="Times New Roman" w:eastAsia="Times New Roman" w:hAnsi="Times New Roman" w:cs="Times New Roman"/>
          <w:color w:val="000000" w:themeColor="text1"/>
          <w:sz w:val="24"/>
          <w:szCs w:val="24"/>
          <w:u w:val="single"/>
        </w:rPr>
        <w:t xml:space="preserve"> </w:t>
      </w:r>
    </w:p>
    <w:p w14:paraId="5C5FA4EF" w14:textId="77777777" w:rsidR="00580AAF" w:rsidRPr="00580AAF" w:rsidRDefault="00580AAF" w:rsidP="00580AAF">
      <w:pPr>
        <w:spacing w:line="480" w:lineRule="auto"/>
        <w:rPr>
          <w:rFonts w:ascii="Times New Roman" w:hAnsi="Times New Roman" w:cs="Times New Roman"/>
          <w:color w:val="000000" w:themeColor="text1"/>
          <w:sz w:val="24"/>
          <w:szCs w:val="24"/>
        </w:rPr>
      </w:pPr>
      <w:r w:rsidRPr="00580AAF">
        <w:rPr>
          <w:rFonts w:ascii="Times New Roman" w:hAnsi="Times New Roman" w:cs="Times New Roman"/>
          <w:color w:val="000000" w:themeColor="text1"/>
          <w:sz w:val="24"/>
          <w:szCs w:val="24"/>
        </w:rPr>
        <w:t xml:space="preserve">Zeichner, K. (2014). The struggle for the soul of teaching and teacher education in the USA. </w:t>
      </w:r>
      <w:r w:rsidRPr="00580AAF">
        <w:rPr>
          <w:rFonts w:ascii="Times New Roman" w:hAnsi="Times New Roman" w:cs="Times New Roman"/>
          <w:i/>
          <w:iCs/>
          <w:color w:val="000000" w:themeColor="text1"/>
          <w:sz w:val="24"/>
          <w:szCs w:val="24"/>
        </w:rPr>
        <w:t>Journal of Education for Teaching: International research and pedagogy</w:t>
      </w:r>
      <w:r w:rsidRPr="00580AAF">
        <w:rPr>
          <w:rFonts w:ascii="Times New Roman" w:hAnsi="Times New Roman" w:cs="Times New Roman"/>
          <w:color w:val="000000" w:themeColor="text1"/>
          <w:sz w:val="24"/>
          <w:szCs w:val="24"/>
        </w:rPr>
        <w:t xml:space="preserve">, 40(5), 551-568. </w:t>
      </w:r>
      <w:hyperlink r:id="rId29" w:history="1">
        <w:r w:rsidRPr="00580AAF">
          <w:rPr>
            <w:rStyle w:val="Hyperlink"/>
            <w:rFonts w:ascii="Times New Roman" w:hAnsi="Times New Roman" w:cs="Times New Roman"/>
            <w:color w:val="000000" w:themeColor="text1"/>
            <w:sz w:val="24"/>
            <w:szCs w:val="24"/>
          </w:rPr>
          <w:t>http://dx.doi.org/10.1080/02607476.2014.956544</w:t>
        </w:r>
      </w:hyperlink>
      <w:r w:rsidRPr="00580AAF">
        <w:rPr>
          <w:rFonts w:ascii="Times New Roman" w:hAnsi="Times New Roman" w:cs="Times New Roman"/>
          <w:color w:val="000000" w:themeColor="text1"/>
          <w:sz w:val="24"/>
          <w:szCs w:val="24"/>
        </w:rPr>
        <w:t xml:space="preserve"> </w:t>
      </w:r>
    </w:p>
    <w:p w14:paraId="5C47584A" w14:textId="77777777" w:rsidR="00580AAF" w:rsidRPr="00580AAF" w:rsidRDefault="00580AAF" w:rsidP="00580AAF">
      <w:pPr>
        <w:spacing w:line="480" w:lineRule="auto"/>
        <w:rPr>
          <w:rFonts w:ascii="Times New Roman" w:hAnsi="Times New Roman" w:cs="Times New Roman"/>
          <w:color w:val="000000" w:themeColor="text1"/>
          <w:sz w:val="24"/>
          <w:szCs w:val="24"/>
        </w:rPr>
      </w:pPr>
    </w:p>
    <w:p w14:paraId="3812E533" w14:textId="77777777" w:rsidR="00580AAF" w:rsidRPr="00580AAF" w:rsidRDefault="00580AAF" w:rsidP="00580AAF">
      <w:pPr>
        <w:spacing w:line="480" w:lineRule="auto"/>
        <w:rPr>
          <w:rFonts w:ascii="Times New Roman" w:hAnsi="Times New Roman" w:cs="Times New Roman"/>
          <w:color w:val="000000" w:themeColor="text1"/>
          <w:sz w:val="24"/>
          <w:szCs w:val="24"/>
        </w:rPr>
      </w:pPr>
    </w:p>
    <w:p w14:paraId="47EFB8F5" w14:textId="77777777" w:rsidR="00580AAF" w:rsidRPr="00580AAF" w:rsidRDefault="00580AAF" w:rsidP="00580AAF">
      <w:pPr>
        <w:spacing w:line="480" w:lineRule="auto"/>
        <w:rPr>
          <w:rFonts w:ascii="Times New Roman" w:hAnsi="Times New Roman" w:cs="Times New Roman"/>
          <w:color w:val="000000" w:themeColor="text1"/>
          <w:sz w:val="24"/>
          <w:szCs w:val="24"/>
        </w:rPr>
      </w:pPr>
    </w:p>
    <w:p w14:paraId="6A860662" w14:textId="77777777" w:rsidR="00671E54" w:rsidRPr="00580AAF" w:rsidRDefault="00671E54">
      <w:pPr>
        <w:rPr>
          <w:color w:val="000000" w:themeColor="text1"/>
        </w:rPr>
      </w:pPr>
    </w:p>
    <w:sectPr w:rsidR="00671E54" w:rsidRPr="00580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6ED"/>
    <w:multiLevelType w:val="hybridMultilevel"/>
    <w:tmpl w:val="823CD1B4"/>
    <w:lvl w:ilvl="0" w:tplc="70F4A682">
      <w:start w:val="1"/>
      <w:numFmt w:val="bullet"/>
      <w:lvlText w:val=""/>
      <w:lvlJc w:val="left"/>
      <w:pPr>
        <w:ind w:left="1080" w:hanging="360"/>
      </w:pPr>
      <w:rPr>
        <w:rFonts w:ascii="Symbol" w:hAnsi="Symbol"/>
      </w:rPr>
    </w:lvl>
    <w:lvl w:ilvl="1" w:tplc="46849468">
      <w:start w:val="1"/>
      <w:numFmt w:val="bullet"/>
      <w:lvlText w:val=""/>
      <w:lvlJc w:val="left"/>
      <w:pPr>
        <w:ind w:left="1080" w:hanging="360"/>
      </w:pPr>
      <w:rPr>
        <w:rFonts w:ascii="Symbol" w:hAnsi="Symbol"/>
      </w:rPr>
    </w:lvl>
    <w:lvl w:ilvl="2" w:tplc="F46ECFAA">
      <w:start w:val="1"/>
      <w:numFmt w:val="bullet"/>
      <w:lvlText w:val=""/>
      <w:lvlJc w:val="left"/>
      <w:pPr>
        <w:ind w:left="1080" w:hanging="360"/>
      </w:pPr>
      <w:rPr>
        <w:rFonts w:ascii="Symbol" w:hAnsi="Symbol"/>
      </w:rPr>
    </w:lvl>
    <w:lvl w:ilvl="3" w:tplc="2B2C9C98">
      <w:start w:val="1"/>
      <w:numFmt w:val="bullet"/>
      <w:lvlText w:val=""/>
      <w:lvlJc w:val="left"/>
      <w:pPr>
        <w:ind w:left="1080" w:hanging="360"/>
      </w:pPr>
      <w:rPr>
        <w:rFonts w:ascii="Symbol" w:hAnsi="Symbol"/>
      </w:rPr>
    </w:lvl>
    <w:lvl w:ilvl="4" w:tplc="F49C88C2">
      <w:start w:val="1"/>
      <w:numFmt w:val="bullet"/>
      <w:lvlText w:val=""/>
      <w:lvlJc w:val="left"/>
      <w:pPr>
        <w:ind w:left="1080" w:hanging="360"/>
      </w:pPr>
      <w:rPr>
        <w:rFonts w:ascii="Symbol" w:hAnsi="Symbol"/>
      </w:rPr>
    </w:lvl>
    <w:lvl w:ilvl="5" w:tplc="1F2C5378">
      <w:start w:val="1"/>
      <w:numFmt w:val="bullet"/>
      <w:lvlText w:val=""/>
      <w:lvlJc w:val="left"/>
      <w:pPr>
        <w:ind w:left="1080" w:hanging="360"/>
      </w:pPr>
      <w:rPr>
        <w:rFonts w:ascii="Symbol" w:hAnsi="Symbol"/>
      </w:rPr>
    </w:lvl>
    <w:lvl w:ilvl="6" w:tplc="79AA01FE">
      <w:start w:val="1"/>
      <w:numFmt w:val="bullet"/>
      <w:lvlText w:val=""/>
      <w:lvlJc w:val="left"/>
      <w:pPr>
        <w:ind w:left="1080" w:hanging="360"/>
      </w:pPr>
      <w:rPr>
        <w:rFonts w:ascii="Symbol" w:hAnsi="Symbol"/>
      </w:rPr>
    </w:lvl>
    <w:lvl w:ilvl="7" w:tplc="A88EC19C">
      <w:start w:val="1"/>
      <w:numFmt w:val="bullet"/>
      <w:lvlText w:val=""/>
      <w:lvlJc w:val="left"/>
      <w:pPr>
        <w:ind w:left="1080" w:hanging="360"/>
      </w:pPr>
      <w:rPr>
        <w:rFonts w:ascii="Symbol" w:hAnsi="Symbol"/>
      </w:rPr>
    </w:lvl>
    <w:lvl w:ilvl="8" w:tplc="FB1CFA84">
      <w:start w:val="1"/>
      <w:numFmt w:val="bullet"/>
      <w:lvlText w:val=""/>
      <w:lvlJc w:val="left"/>
      <w:pPr>
        <w:ind w:left="1080" w:hanging="360"/>
      </w:pPr>
      <w:rPr>
        <w:rFonts w:ascii="Symbol" w:hAnsi="Symbol"/>
      </w:rPr>
    </w:lvl>
  </w:abstractNum>
  <w:abstractNum w:abstractNumId="1" w15:restartNumberingAfterBreak="0">
    <w:nsid w:val="09E87F80"/>
    <w:multiLevelType w:val="hybridMultilevel"/>
    <w:tmpl w:val="EDEE713E"/>
    <w:lvl w:ilvl="0" w:tplc="D6426496">
      <w:start w:val="1"/>
      <w:numFmt w:val="bullet"/>
      <w:lvlText w:val="·"/>
      <w:lvlJc w:val="left"/>
      <w:pPr>
        <w:ind w:left="720" w:hanging="360"/>
      </w:pPr>
      <w:rPr>
        <w:rFonts w:ascii="Symbol" w:hAnsi="Symbol" w:hint="default"/>
      </w:rPr>
    </w:lvl>
    <w:lvl w:ilvl="1" w:tplc="6DF61372">
      <w:start w:val="1"/>
      <w:numFmt w:val="bullet"/>
      <w:lvlText w:val="o"/>
      <w:lvlJc w:val="left"/>
      <w:pPr>
        <w:ind w:left="1440" w:hanging="360"/>
      </w:pPr>
      <w:rPr>
        <w:rFonts w:ascii="Courier New" w:hAnsi="Courier New" w:hint="default"/>
      </w:rPr>
    </w:lvl>
    <w:lvl w:ilvl="2" w:tplc="6FB25D72">
      <w:start w:val="1"/>
      <w:numFmt w:val="bullet"/>
      <w:lvlText w:val=""/>
      <w:lvlJc w:val="left"/>
      <w:pPr>
        <w:ind w:left="2160" w:hanging="360"/>
      </w:pPr>
      <w:rPr>
        <w:rFonts w:ascii="Wingdings" w:hAnsi="Wingdings" w:hint="default"/>
      </w:rPr>
    </w:lvl>
    <w:lvl w:ilvl="3" w:tplc="70A4A692">
      <w:start w:val="1"/>
      <w:numFmt w:val="bullet"/>
      <w:lvlText w:val=""/>
      <w:lvlJc w:val="left"/>
      <w:pPr>
        <w:ind w:left="2880" w:hanging="360"/>
      </w:pPr>
      <w:rPr>
        <w:rFonts w:ascii="Symbol" w:hAnsi="Symbol" w:hint="default"/>
      </w:rPr>
    </w:lvl>
    <w:lvl w:ilvl="4" w:tplc="BE9AA8BE">
      <w:start w:val="1"/>
      <w:numFmt w:val="bullet"/>
      <w:lvlText w:val="o"/>
      <w:lvlJc w:val="left"/>
      <w:pPr>
        <w:ind w:left="3600" w:hanging="360"/>
      </w:pPr>
      <w:rPr>
        <w:rFonts w:ascii="Courier New" w:hAnsi="Courier New" w:hint="default"/>
      </w:rPr>
    </w:lvl>
    <w:lvl w:ilvl="5" w:tplc="29D4147E">
      <w:start w:val="1"/>
      <w:numFmt w:val="bullet"/>
      <w:lvlText w:val=""/>
      <w:lvlJc w:val="left"/>
      <w:pPr>
        <w:ind w:left="4320" w:hanging="360"/>
      </w:pPr>
      <w:rPr>
        <w:rFonts w:ascii="Wingdings" w:hAnsi="Wingdings" w:hint="default"/>
      </w:rPr>
    </w:lvl>
    <w:lvl w:ilvl="6" w:tplc="785E0C78">
      <w:start w:val="1"/>
      <w:numFmt w:val="bullet"/>
      <w:lvlText w:val=""/>
      <w:lvlJc w:val="left"/>
      <w:pPr>
        <w:ind w:left="5040" w:hanging="360"/>
      </w:pPr>
      <w:rPr>
        <w:rFonts w:ascii="Symbol" w:hAnsi="Symbol" w:hint="default"/>
      </w:rPr>
    </w:lvl>
    <w:lvl w:ilvl="7" w:tplc="C778DDAE">
      <w:start w:val="1"/>
      <w:numFmt w:val="bullet"/>
      <w:lvlText w:val="o"/>
      <w:lvlJc w:val="left"/>
      <w:pPr>
        <w:ind w:left="5760" w:hanging="360"/>
      </w:pPr>
      <w:rPr>
        <w:rFonts w:ascii="Courier New" w:hAnsi="Courier New" w:hint="default"/>
      </w:rPr>
    </w:lvl>
    <w:lvl w:ilvl="8" w:tplc="EE0A8560">
      <w:start w:val="1"/>
      <w:numFmt w:val="bullet"/>
      <w:lvlText w:val=""/>
      <w:lvlJc w:val="left"/>
      <w:pPr>
        <w:ind w:left="6480" w:hanging="360"/>
      </w:pPr>
      <w:rPr>
        <w:rFonts w:ascii="Wingdings" w:hAnsi="Wingdings" w:hint="default"/>
      </w:rPr>
    </w:lvl>
  </w:abstractNum>
  <w:abstractNum w:abstractNumId="2" w15:restartNumberingAfterBreak="0">
    <w:nsid w:val="0A21C5DD"/>
    <w:multiLevelType w:val="hybridMultilevel"/>
    <w:tmpl w:val="58820378"/>
    <w:lvl w:ilvl="0" w:tplc="692E8A76">
      <w:start w:val="1"/>
      <w:numFmt w:val="bullet"/>
      <w:lvlText w:val=""/>
      <w:lvlJc w:val="left"/>
      <w:pPr>
        <w:ind w:left="720" w:hanging="360"/>
      </w:pPr>
      <w:rPr>
        <w:rFonts w:ascii="Symbol" w:hAnsi="Symbol" w:hint="default"/>
      </w:rPr>
    </w:lvl>
    <w:lvl w:ilvl="1" w:tplc="534E31E6">
      <w:start w:val="1"/>
      <w:numFmt w:val="bullet"/>
      <w:lvlText w:val="o"/>
      <w:lvlJc w:val="left"/>
      <w:pPr>
        <w:ind w:left="1440" w:hanging="360"/>
      </w:pPr>
      <w:rPr>
        <w:rFonts w:ascii="Courier New" w:hAnsi="Courier New" w:hint="default"/>
      </w:rPr>
    </w:lvl>
    <w:lvl w:ilvl="2" w:tplc="8B54ACDC">
      <w:start w:val="1"/>
      <w:numFmt w:val="bullet"/>
      <w:lvlText w:val=""/>
      <w:lvlJc w:val="left"/>
      <w:pPr>
        <w:ind w:left="2160" w:hanging="360"/>
      </w:pPr>
      <w:rPr>
        <w:rFonts w:ascii="Wingdings" w:hAnsi="Wingdings" w:hint="default"/>
      </w:rPr>
    </w:lvl>
    <w:lvl w:ilvl="3" w:tplc="F8C07D92">
      <w:start w:val="1"/>
      <w:numFmt w:val="bullet"/>
      <w:lvlText w:val=""/>
      <w:lvlJc w:val="left"/>
      <w:pPr>
        <w:ind w:left="2880" w:hanging="360"/>
      </w:pPr>
      <w:rPr>
        <w:rFonts w:ascii="Symbol" w:hAnsi="Symbol" w:hint="default"/>
      </w:rPr>
    </w:lvl>
    <w:lvl w:ilvl="4" w:tplc="CD38837E">
      <w:start w:val="1"/>
      <w:numFmt w:val="bullet"/>
      <w:lvlText w:val="o"/>
      <w:lvlJc w:val="left"/>
      <w:pPr>
        <w:ind w:left="3600" w:hanging="360"/>
      </w:pPr>
      <w:rPr>
        <w:rFonts w:ascii="Courier New" w:hAnsi="Courier New" w:hint="default"/>
      </w:rPr>
    </w:lvl>
    <w:lvl w:ilvl="5" w:tplc="E276538C">
      <w:start w:val="1"/>
      <w:numFmt w:val="bullet"/>
      <w:lvlText w:val=""/>
      <w:lvlJc w:val="left"/>
      <w:pPr>
        <w:ind w:left="4320" w:hanging="360"/>
      </w:pPr>
      <w:rPr>
        <w:rFonts w:ascii="Wingdings" w:hAnsi="Wingdings" w:hint="default"/>
      </w:rPr>
    </w:lvl>
    <w:lvl w:ilvl="6" w:tplc="A1D85A88">
      <w:start w:val="1"/>
      <w:numFmt w:val="bullet"/>
      <w:lvlText w:val=""/>
      <w:lvlJc w:val="left"/>
      <w:pPr>
        <w:ind w:left="5040" w:hanging="360"/>
      </w:pPr>
      <w:rPr>
        <w:rFonts w:ascii="Symbol" w:hAnsi="Symbol" w:hint="default"/>
      </w:rPr>
    </w:lvl>
    <w:lvl w:ilvl="7" w:tplc="81CC10B6">
      <w:start w:val="1"/>
      <w:numFmt w:val="bullet"/>
      <w:lvlText w:val="o"/>
      <w:lvlJc w:val="left"/>
      <w:pPr>
        <w:ind w:left="5760" w:hanging="360"/>
      </w:pPr>
      <w:rPr>
        <w:rFonts w:ascii="Courier New" w:hAnsi="Courier New" w:hint="default"/>
      </w:rPr>
    </w:lvl>
    <w:lvl w:ilvl="8" w:tplc="7DF46368">
      <w:start w:val="1"/>
      <w:numFmt w:val="bullet"/>
      <w:lvlText w:val=""/>
      <w:lvlJc w:val="left"/>
      <w:pPr>
        <w:ind w:left="6480" w:hanging="360"/>
      </w:pPr>
      <w:rPr>
        <w:rFonts w:ascii="Wingdings" w:hAnsi="Wingdings" w:hint="default"/>
      </w:rPr>
    </w:lvl>
  </w:abstractNum>
  <w:abstractNum w:abstractNumId="3" w15:restartNumberingAfterBreak="0">
    <w:nsid w:val="26C75EC1"/>
    <w:multiLevelType w:val="hybridMultilevel"/>
    <w:tmpl w:val="AB6608E8"/>
    <w:lvl w:ilvl="0" w:tplc="29F61F08">
      <w:start w:val="1"/>
      <w:numFmt w:val="bullet"/>
      <w:lvlText w:val=""/>
      <w:lvlJc w:val="left"/>
      <w:pPr>
        <w:ind w:left="1080" w:hanging="360"/>
      </w:pPr>
      <w:rPr>
        <w:rFonts w:ascii="Symbol" w:hAnsi="Symbol"/>
      </w:rPr>
    </w:lvl>
    <w:lvl w:ilvl="1" w:tplc="C31ECBAC">
      <w:start w:val="1"/>
      <w:numFmt w:val="bullet"/>
      <w:lvlText w:val=""/>
      <w:lvlJc w:val="left"/>
      <w:pPr>
        <w:ind w:left="1080" w:hanging="360"/>
      </w:pPr>
      <w:rPr>
        <w:rFonts w:ascii="Symbol" w:hAnsi="Symbol"/>
      </w:rPr>
    </w:lvl>
    <w:lvl w:ilvl="2" w:tplc="335CD794">
      <w:start w:val="1"/>
      <w:numFmt w:val="bullet"/>
      <w:lvlText w:val=""/>
      <w:lvlJc w:val="left"/>
      <w:pPr>
        <w:ind w:left="1080" w:hanging="360"/>
      </w:pPr>
      <w:rPr>
        <w:rFonts w:ascii="Symbol" w:hAnsi="Symbol"/>
      </w:rPr>
    </w:lvl>
    <w:lvl w:ilvl="3" w:tplc="D968F728">
      <w:start w:val="1"/>
      <w:numFmt w:val="bullet"/>
      <w:lvlText w:val=""/>
      <w:lvlJc w:val="left"/>
      <w:pPr>
        <w:ind w:left="1080" w:hanging="360"/>
      </w:pPr>
      <w:rPr>
        <w:rFonts w:ascii="Symbol" w:hAnsi="Symbol"/>
      </w:rPr>
    </w:lvl>
    <w:lvl w:ilvl="4" w:tplc="61BABC8E">
      <w:start w:val="1"/>
      <w:numFmt w:val="bullet"/>
      <w:lvlText w:val=""/>
      <w:lvlJc w:val="left"/>
      <w:pPr>
        <w:ind w:left="1080" w:hanging="360"/>
      </w:pPr>
      <w:rPr>
        <w:rFonts w:ascii="Symbol" w:hAnsi="Symbol"/>
      </w:rPr>
    </w:lvl>
    <w:lvl w:ilvl="5" w:tplc="06BA5C9E">
      <w:start w:val="1"/>
      <w:numFmt w:val="bullet"/>
      <w:lvlText w:val=""/>
      <w:lvlJc w:val="left"/>
      <w:pPr>
        <w:ind w:left="1080" w:hanging="360"/>
      </w:pPr>
      <w:rPr>
        <w:rFonts w:ascii="Symbol" w:hAnsi="Symbol"/>
      </w:rPr>
    </w:lvl>
    <w:lvl w:ilvl="6" w:tplc="9A5077C6">
      <w:start w:val="1"/>
      <w:numFmt w:val="bullet"/>
      <w:lvlText w:val=""/>
      <w:lvlJc w:val="left"/>
      <w:pPr>
        <w:ind w:left="1080" w:hanging="360"/>
      </w:pPr>
      <w:rPr>
        <w:rFonts w:ascii="Symbol" w:hAnsi="Symbol"/>
      </w:rPr>
    </w:lvl>
    <w:lvl w:ilvl="7" w:tplc="4342C3CE">
      <w:start w:val="1"/>
      <w:numFmt w:val="bullet"/>
      <w:lvlText w:val=""/>
      <w:lvlJc w:val="left"/>
      <w:pPr>
        <w:ind w:left="1080" w:hanging="360"/>
      </w:pPr>
      <w:rPr>
        <w:rFonts w:ascii="Symbol" w:hAnsi="Symbol"/>
      </w:rPr>
    </w:lvl>
    <w:lvl w:ilvl="8" w:tplc="3EEC614E">
      <w:start w:val="1"/>
      <w:numFmt w:val="bullet"/>
      <w:lvlText w:val=""/>
      <w:lvlJc w:val="left"/>
      <w:pPr>
        <w:ind w:left="1080" w:hanging="360"/>
      </w:pPr>
      <w:rPr>
        <w:rFonts w:ascii="Symbol" w:hAnsi="Symbol"/>
      </w:rPr>
    </w:lvl>
  </w:abstractNum>
  <w:abstractNum w:abstractNumId="4" w15:restartNumberingAfterBreak="0">
    <w:nsid w:val="426AEBF5"/>
    <w:multiLevelType w:val="hybridMultilevel"/>
    <w:tmpl w:val="EADEFD94"/>
    <w:lvl w:ilvl="0" w:tplc="B6903AB4">
      <w:start w:val="1"/>
      <w:numFmt w:val="bullet"/>
      <w:lvlText w:val=""/>
      <w:lvlJc w:val="left"/>
      <w:pPr>
        <w:ind w:left="720" w:hanging="360"/>
      </w:pPr>
      <w:rPr>
        <w:rFonts w:ascii="Symbol" w:hAnsi="Symbol" w:hint="default"/>
      </w:rPr>
    </w:lvl>
    <w:lvl w:ilvl="1" w:tplc="7CAAFED4">
      <w:start w:val="1"/>
      <w:numFmt w:val="bullet"/>
      <w:lvlText w:val="o"/>
      <w:lvlJc w:val="left"/>
      <w:pPr>
        <w:ind w:left="1440" w:hanging="360"/>
      </w:pPr>
      <w:rPr>
        <w:rFonts w:ascii="Courier New" w:hAnsi="Courier New" w:hint="default"/>
      </w:rPr>
    </w:lvl>
    <w:lvl w:ilvl="2" w:tplc="B778F6FE">
      <w:start w:val="1"/>
      <w:numFmt w:val="bullet"/>
      <w:lvlText w:val=""/>
      <w:lvlJc w:val="left"/>
      <w:pPr>
        <w:ind w:left="2160" w:hanging="360"/>
      </w:pPr>
      <w:rPr>
        <w:rFonts w:ascii="Wingdings" w:hAnsi="Wingdings" w:hint="default"/>
      </w:rPr>
    </w:lvl>
    <w:lvl w:ilvl="3" w:tplc="27D2FB2C">
      <w:start w:val="1"/>
      <w:numFmt w:val="bullet"/>
      <w:lvlText w:val=""/>
      <w:lvlJc w:val="left"/>
      <w:pPr>
        <w:ind w:left="2880" w:hanging="360"/>
      </w:pPr>
      <w:rPr>
        <w:rFonts w:ascii="Symbol" w:hAnsi="Symbol" w:hint="default"/>
      </w:rPr>
    </w:lvl>
    <w:lvl w:ilvl="4" w:tplc="7862D4CE">
      <w:start w:val="1"/>
      <w:numFmt w:val="bullet"/>
      <w:lvlText w:val="o"/>
      <w:lvlJc w:val="left"/>
      <w:pPr>
        <w:ind w:left="3600" w:hanging="360"/>
      </w:pPr>
      <w:rPr>
        <w:rFonts w:ascii="Courier New" w:hAnsi="Courier New" w:hint="default"/>
      </w:rPr>
    </w:lvl>
    <w:lvl w:ilvl="5" w:tplc="6EEE0144">
      <w:start w:val="1"/>
      <w:numFmt w:val="bullet"/>
      <w:lvlText w:val=""/>
      <w:lvlJc w:val="left"/>
      <w:pPr>
        <w:ind w:left="4320" w:hanging="360"/>
      </w:pPr>
      <w:rPr>
        <w:rFonts w:ascii="Wingdings" w:hAnsi="Wingdings" w:hint="default"/>
      </w:rPr>
    </w:lvl>
    <w:lvl w:ilvl="6" w:tplc="D6BA5200">
      <w:start w:val="1"/>
      <w:numFmt w:val="bullet"/>
      <w:lvlText w:val=""/>
      <w:lvlJc w:val="left"/>
      <w:pPr>
        <w:ind w:left="5040" w:hanging="360"/>
      </w:pPr>
      <w:rPr>
        <w:rFonts w:ascii="Symbol" w:hAnsi="Symbol" w:hint="default"/>
      </w:rPr>
    </w:lvl>
    <w:lvl w:ilvl="7" w:tplc="3C5AA1FA">
      <w:start w:val="1"/>
      <w:numFmt w:val="bullet"/>
      <w:lvlText w:val="o"/>
      <w:lvlJc w:val="left"/>
      <w:pPr>
        <w:ind w:left="5760" w:hanging="360"/>
      </w:pPr>
      <w:rPr>
        <w:rFonts w:ascii="Courier New" w:hAnsi="Courier New" w:hint="default"/>
      </w:rPr>
    </w:lvl>
    <w:lvl w:ilvl="8" w:tplc="5F48B3A0">
      <w:start w:val="1"/>
      <w:numFmt w:val="bullet"/>
      <w:lvlText w:val=""/>
      <w:lvlJc w:val="left"/>
      <w:pPr>
        <w:ind w:left="6480" w:hanging="360"/>
      </w:pPr>
      <w:rPr>
        <w:rFonts w:ascii="Wingdings" w:hAnsi="Wingdings" w:hint="default"/>
      </w:rPr>
    </w:lvl>
  </w:abstractNum>
  <w:abstractNum w:abstractNumId="5" w15:restartNumberingAfterBreak="0">
    <w:nsid w:val="446514EE"/>
    <w:multiLevelType w:val="hybridMultilevel"/>
    <w:tmpl w:val="276CE7A4"/>
    <w:lvl w:ilvl="0" w:tplc="23EC79D6">
      <w:start w:val="1"/>
      <w:numFmt w:val="bullet"/>
      <w:lvlText w:val=""/>
      <w:lvlJc w:val="left"/>
      <w:pPr>
        <w:ind w:left="1080" w:hanging="360"/>
      </w:pPr>
      <w:rPr>
        <w:rFonts w:ascii="Symbol" w:hAnsi="Symbol"/>
      </w:rPr>
    </w:lvl>
    <w:lvl w:ilvl="1" w:tplc="9B7EAB98">
      <w:start w:val="1"/>
      <w:numFmt w:val="bullet"/>
      <w:lvlText w:val=""/>
      <w:lvlJc w:val="left"/>
      <w:pPr>
        <w:ind w:left="1080" w:hanging="360"/>
      </w:pPr>
      <w:rPr>
        <w:rFonts w:ascii="Symbol" w:hAnsi="Symbol"/>
      </w:rPr>
    </w:lvl>
    <w:lvl w:ilvl="2" w:tplc="7CE039F6">
      <w:start w:val="1"/>
      <w:numFmt w:val="bullet"/>
      <w:lvlText w:val=""/>
      <w:lvlJc w:val="left"/>
      <w:pPr>
        <w:ind w:left="1080" w:hanging="360"/>
      </w:pPr>
      <w:rPr>
        <w:rFonts w:ascii="Symbol" w:hAnsi="Symbol"/>
      </w:rPr>
    </w:lvl>
    <w:lvl w:ilvl="3" w:tplc="1D56D026">
      <w:start w:val="1"/>
      <w:numFmt w:val="bullet"/>
      <w:lvlText w:val=""/>
      <w:lvlJc w:val="left"/>
      <w:pPr>
        <w:ind w:left="1080" w:hanging="360"/>
      </w:pPr>
      <w:rPr>
        <w:rFonts w:ascii="Symbol" w:hAnsi="Symbol"/>
      </w:rPr>
    </w:lvl>
    <w:lvl w:ilvl="4" w:tplc="D584BEAC">
      <w:start w:val="1"/>
      <w:numFmt w:val="bullet"/>
      <w:lvlText w:val=""/>
      <w:lvlJc w:val="left"/>
      <w:pPr>
        <w:ind w:left="1080" w:hanging="360"/>
      </w:pPr>
      <w:rPr>
        <w:rFonts w:ascii="Symbol" w:hAnsi="Symbol"/>
      </w:rPr>
    </w:lvl>
    <w:lvl w:ilvl="5" w:tplc="72AA4A90">
      <w:start w:val="1"/>
      <w:numFmt w:val="bullet"/>
      <w:lvlText w:val=""/>
      <w:lvlJc w:val="left"/>
      <w:pPr>
        <w:ind w:left="1080" w:hanging="360"/>
      </w:pPr>
      <w:rPr>
        <w:rFonts w:ascii="Symbol" w:hAnsi="Symbol"/>
      </w:rPr>
    </w:lvl>
    <w:lvl w:ilvl="6" w:tplc="FA2640E0">
      <w:start w:val="1"/>
      <w:numFmt w:val="bullet"/>
      <w:lvlText w:val=""/>
      <w:lvlJc w:val="left"/>
      <w:pPr>
        <w:ind w:left="1080" w:hanging="360"/>
      </w:pPr>
      <w:rPr>
        <w:rFonts w:ascii="Symbol" w:hAnsi="Symbol"/>
      </w:rPr>
    </w:lvl>
    <w:lvl w:ilvl="7" w:tplc="1E5CFCC8">
      <w:start w:val="1"/>
      <w:numFmt w:val="bullet"/>
      <w:lvlText w:val=""/>
      <w:lvlJc w:val="left"/>
      <w:pPr>
        <w:ind w:left="1080" w:hanging="360"/>
      </w:pPr>
      <w:rPr>
        <w:rFonts w:ascii="Symbol" w:hAnsi="Symbol"/>
      </w:rPr>
    </w:lvl>
    <w:lvl w:ilvl="8" w:tplc="394809EA">
      <w:start w:val="1"/>
      <w:numFmt w:val="bullet"/>
      <w:lvlText w:val=""/>
      <w:lvlJc w:val="left"/>
      <w:pPr>
        <w:ind w:left="1080" w:hanging="360"/>
      </w:pPr>
      <w:rPr>
        <w:rFonts w:ascii="Symbol" w:hAnsi="Symbol"/>
      </w:rPr>
    </w:lvl>
  </w:abstractNum>
  <w:abstractNum w:abstractNumId="6" w15:restartNumberingAfterBreak="0">
    <w:nsid w:val="47A8B723"/>
    <w:multiLevelType w:val="hybridMultilevel"/>
    <w:tmpl w:val="FFFFFFFF"/>
    <w:lvl w:ilvl="0" w:tplc="6CF09E20">
      <w:start w:val="1"/>
      <w:numFmt w:val="bullet"/>
      <w:lvlText w:val=""/>
      <w:lvlJc w:val="left"/>
      <w:pPr>
        <w:ind w:left="720" w:hanging="360"/>
      </w:pPr>
      <w:rPr>
        <w:rFonts w:ascii="Symbol" w:hAnsi="Symbol" w:hint="default"/>
      </w:rPr>
    </w:lvl>
    <w:lvl w:ilvl="1" w:tplc="D368F228">
      <w:start w:val="1"/>
      <w:numFmt w:val="bullet"/>
      <w:lvlText w:val="o"/>
      <w:lvlJc w:val="left"/>
      <w:pPr>
        <w:ind w:left="1440" w:hanging="360"/>
      </w:pPr>
      <w:rPr>
        <w:rFonts w:ascii="Courier New" w:hAnsi="Courier New" w:hint="default"/>
      </w:rPr>
    </w:lvl>
    <w:lvl w:ilvl="2" w:tplc="AD08A92C">
      <w:start w:val="1"/>
      <w:numFmt w:val="bullet"/>
      <w:lvlText w:val=""/>
      <w:lvlJc w:val="left"/>
      <w:pPr>
        <w:ind w:left="2160" w:hanging="360"/>
      </w:pPr>
      <w:rPr>
        <w:rFonts w:ascii="Wingdings" w:hAnsi="Wingdings" w:hint="default"/>
      </w:rPr>
    </w:lvl>
    <w:lvl w:ilvl="3" w:tplc="726E75CC">
      <w:start w:val="1"/>
      <w:numFmt w:val="bullet"/>
      <w:lvlText w:val=""/>
      <w:lvlJc w:val="left"/>
      <w:pPr>
        <w:ind w:left="2880" w:hanging="360"/>
      </w:pPr>
      <w:rPr>
        <w:rFonts w:ascii="Symbol" w:hAnsi="Symbol" w:hint="default"/>
      </w:rPr>
    </w:lvl>
    <w:lvl w:ilvl="4" w:tplc="772C6C90">
      <w:start w:val="1"/>
      <w:numFmt w:val="bullet"/>
      <w:lvlText w:val="o"/>
      <w:lvlJc w:val="left"/>
      <w:pPr>
        <w:ind w:left="3600" w:hanging="360"/>
      </w:pPr>
      <w:rPr>
        <w:rFonts w:ascii="Courier New" w:hAnsi="Courier New" w:hint="default"/>
      </w:rPr>
    </w:lvl>
    <w:lvl w:ilvl="5" w:tplc="2A7089FA">
      <w:start w:val="1"/>
      <w:numFmt w:val="bullet"/>
      <w:lvlText w:val=""/>
      <w:lvlJc w:val="left"/>
      <w:pPr>
        <w:ind w:left="4320" w:hanging="360"/>
      </w:pPr>
      <w:rPr>
        <w:rFonts w:ascii="Wingdings" w:hAnsi="Wingdings" w:hint="default"/>
      </w:rPr>
    </w:lvl>
    <w:lvl w:ilvl="6" w:tplc="D3E21DC8">
      <w:start w:val="1"/>
      <w:numFmt w:val="bullet"/>
      <w:lvlText w:val=""/>
      <w:lvlJc w:val="left"/>
      <w:pPr>
        <w:ind w:left="5040" w:hanging="360"/>
      </w:pPr>
      <w:rPr>
        <w:rFonts w:ascii="Symbol" w:hAnsi="Symbol" w:hint="default"/>
      </w:rPr>
    </w:lvl>
    <w:lvl w:ilvl="7" w:tplc="F27056CA">
      <w:start w:val="1"/>
      <w:numFmt w:val="bullet"/>
      <w:lvlText w:val="o"/>
      <w:lvlJc w:val="left"/>
      <w:pPr>
        <w:ind w:left="5760" w:hanging="360"/>
      </w:pPr>
      <w:rPr>
        <w:rFonts w:ascii="Courier New" w:hAnsi="Courier New" w:hint="default"/>
      </w:rPr>
    </w:lvl>
    <w:lvl w:ilvl="8" w:tplc="E4A2A784">
      <w:start w:val="1"/>
      <w:numFmt w:val="bullet"/>
      <w:lvlText w:val=""/>
      <w:lvlJc w:val="left"/>
      <w:pPr>
        <w:ind w:left="6480" w:hanging="360"/>
      </w:pPr>
      <w:rPr>
        <w:rFonts w:ascii="Wingdings" w:hAnsi="Wingdings" w:hint="default"/>
      </w:rPr>
    </w:lvl>
  </w:abstractNum>
  <w:abstractNum w:abstractNumId="7" w15:restartNumberingAfterBreak="0">
    <w:nsid w:val="4B274F57"/>
    <w:multiLevelType w:val="hybridMultilevel"/>
    <w:tmpl w:val="F45627FA"/>
    <w:lvl w:ilvl="0" w:tplc="14F2E4C0">
      <w:start w:val="1"/>
      <w:numFmt w:val="bullet"/>
      <w:lvlText w:val=""/>
      <w:lvlJc w:val="left"/>
      <w:pPr>
        <w:ind w:left="1080" w:hanging="360"/>
      </w:pPr>
      <w:rPr>
        <w:rFonts w:ascii="Symbol" w:hAnsi="Symbol"/>
      </w:rPr>
    </w:lvl>
    <w:lvl w:ilvl="1" w:tplc="42506130">
      <w:start w:val="1"/>
      <w:numFmt w:val="bullet"/>
      <w:lvlText w:val=""/>
      <w:lvlJc w:val="left"/>
      <w:pPr>
        <w:ind w:left="1080" w:hanging="360"/>
      </w:pPr>
      <w:rPr>
        <w:rFonts w:ascii="Symbol" w:hAnsi="Symbol"/>
      </w:rPr>
    </w:lvl>
    <w:lvl w:ilvl="2" w:tplc="FBA44570">
      <w:start w:val="1"/>
      <w:numFmt w:val="bullet"/>
      <w:lvlText w:val=""/>
      <w:lvlJc w:val="left"/>
      <w:pPr>
        <w:ind w:left="1080" w:hanging="360"/>
      </w:pPr>
      <w:rPr>
        <w:rFonts w:ascii="Symbol" w:hAnsi="Symbol"/>
      </w:rPr>
    </w:lvl>
    <w:lvl w:ilvl="3" w:tplc="673031E6">
      <w:start w:val="1"/>
      <w:numFmt w:val="bullet"/>
      <w:lvlText w:val=""/>
      <w:lvlJc w:val="left"/>
      <w:pPr>
        <w:ind w:left="1080" w:hanging="360"/>
      </w:pPr>
      <w:rPr>
        <w:rFonts w:ascii="Symbol" w:hAnsi="Symbol"/>
      </w:rPr>
    </w:lvl>
    <w:lvl w:ilvl="4" w:tplc="B4CEE6B4">
      <w:start w:val="1"/>
      <w:numFmt w:val="bullet"/>
      <w:lvlText w:val=""/>
      <w:lvlJc w:val="left"/>
      <w:pPr>
        <w:ind w:left="1080" w:hanging="360"/>
      </w:pPr>
      <w:rPr>
        <w:rFonts w:ascii="Symbol" w:hAnsi="Symbol"/>
      </w:rPr>
    </w:lvl>
    <w:lvl w:ilvl="5" w:tplc="22069C08">
      <w:start w:val="1"/>
      <w:numFmt w:val="bullet"/>
      <w:lvlText w:val=""/>
      <w:lvlJc w:val="left"/>
      <w:pPr>
        <w:ind w:left="1080" w:hanging="360"/>
      </w:pPr>
      <w:rPr>
        <w:rFonts w:ascii="Symbol" w:hAnsi="Symbol"/>
      </w:rPr>
    </w:lvl>
    <w:lvl w:ilvl="6" w:tplc="6DB4F724">
      <w:start w:val="1"/>
      <w:numFmt w:val="bullet"/>
      <w:lvlText w:val=""/>
      <w:lvlJc w:val="left"/>
      <w:pPr>
        <w:ind w:left="1080" w:hanging="360"/>
      </w:pPr>
      <w:rPr>
        <w:rFonts w:ascii="Symbol" w:hAnsi="Symbol"/>
      </w:rPr>
    </w:lvl>
    <w:lvl w:ilvl="7" w:tplc="ECD06EB0">
      <w:start w:val="1"/>
      <w:numFmt w:val="bullet"/>
      <w:lvlText w:val=""/>
      <w:lvlJc w:val="left"/>
      <w:pPr>
        <w:ind w:left="1080" w:hanging="360"/>
      </w:pPr>
      <w:rPr>
        <w:rFonts w:ascii="Symbol" w:hAnsi="Symbol"/>
      </w:rPr>
    </w:lvl>
    <w:lvl w:ilvl="8" w:tplc="EBE2F284">
      <w:start w:val="1"/>
      <w:numFmt w:val="bullet"/>
      <w:lvlText w:val=""/>
      <w:lvlJc w:val="left"/>
      <w:pPr>
        <w:ind w:left="1080" w:hanging="360"/>
      </w:pPr>
      <w:rPr>
        <w:rFonts w:ascii="Symbol" w:hAnsi="Symbol"/>
      </w:rPr>
    </w:lvl>
  </w:abstractNum>
  <w:abstractNum w:abstractNumId="8" w15:restartNumberingAfterBreak="0">
    <w:nsid w:val="52055959"/>
    <w:multiLevelType w:val="multilevel"/>
    <w:tmpl w:val="D2C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F11162"/>
    <w:multiLevelType w:val="multilevel"/>
    <w:tmpl w:val="282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BA2337"/>
    <w:multiLevelType w:val="hybridMultilevel"/>
    <w:tmpl w:val="683402CC"/>
    <w:lvl w:ilvl="0" w:tplc="89A26CA4">
      <w:start w:val="1"/>
      <w:numFmt w:val="bullet"/>
      <w:lvlText w:val=""/>
      <w:lvlJc w:val="left"/>
      <w:pPr>
        <w:ind w:left="1080" w:hanging="360"/>
      </w:pPr>
      <w:rPr>
        <w:rFonts w:ascii="Symbol" w:hAnsi="Symbol"/>
      </w:rPr>
    </w:lvl>
    <w:lvl w:ilvl="1" w:tplc="6BDC5B52">
      <w:start w:val="1"/>
      <w:numFmt w:val="bullet"/>
      <w:lvlText w:val=""/>
      <w:lvlJc w:val="left"/>
      <w:pPr>
        <w:ind w:left="1080" w:hanging="360"/>
      </w:pPr>
      <w:rPr>
        <w:rFonts w:ascii="Symbol" w:hAnsi="Symbol"/>
      </w:rPr>
    </w:lvl>
    <w:lvl w:ilvl="2" w:tplc="B9C0984E">
      <w:start w:val="1"/>
      <w:numFmt w:val="bullet"/>
      <w:lvlText w:val=""/>
      <w:lvlJc w:val="left"/>
      <w:pPr>
        <w:ind w:left="1080" w:hanging="360"/>
      </w:pPr>
      <w:rPr>
        <w:rFonts w:ascii="Symbol" w:hAnsi="Symbol"/>
      </w:rPr>
    </w:lvl>
    <w:lvl w:ilvl="3" w:tplc="7C6E1D74">
      <w:start w:val="1"/>
      <w:numFmt w:val="bullet"/>
      <w:lvlText w:val=""/>
      <w:lvlJc w:val="left"/>
      <w:pPr>
        <w:ind w:left="1080" w:hanging="360"/>
      </w:pPr>
      <w:rPr>
        <w:rFonts w:ascii="Symbol" w:hAnsi="Symbol"/>
      </w:rPr>
    </w:lvl>
    <w:lvl w:ilvl="4" w:tplc="48EE2A7C">
      <w:start w:val="1"/>
      <w:numFmt w:val="bullet"/>
      <w:lvlText w:val=""/>
      <w:lvlJc w:val="left"/>
      <w:pPr>
        <w:ind w:left="1080" w:hanging="360"/>
      </w:pPr>
      <w:rPr>
        <w:rFonts w:ascii="Symbol" w:hAnsi="Symbol"/>
      </w:rPr>
    </w:lvl>
    <w:lvl w:ilvl="5" w:tplc="5D34E9D8">
      <w:start w:val="1"/>
      <w:numFmt w:val="bullet"/>
      <w:lvlText w:val=""/>
      <w:lvlJc w:val="left"/>
      <w:pPr>
        <w:ind w:left="1080" w:hanging="360"/>
      </w:pPr>
      <w:rPr>
        <w:rFonts w:ascii="Symbol" w:hAnsi="Symbol"/>
      </w:rPr>
    </w:lvl>
    <w:lvl w:ilvl="6" w:tplc="B60464E0">
      <w:start w:val="1"/>
      <w:numFmt w:val="bullet"/>
      <w:lvlText w:val=""/>
      <w:lvlJc w:val="left"/>
      <w:pPr>
        <w:ind w:left="1080" w:hanging="360"/>
      </w:pPr>
      <w:rPr>
        <w:rFonts w:ascii="Symbol" w:hAnsi="Symbol"/>
      </w:rPr>
    </w:lvl>
    <w:lvl w:ilvl="7" w:tplc="7F2A16F6">
      <w:start w:val="1"/>
      <w:numFmt w:val="bullet"/>
      <w:lvlText w:val=""/>
      <w:lvlJc w:val="left"/>
      <w:pPr>
        <w:ind w:left="1080" w:hanging="360"/>
      </w:pPr>
      <w:rPr>
        <w:rFonts w:ascii="Symbol" w:hAnsi="Symbol"/>
      </w:rPr>
    </w:lvl>
    <w:lvl w:ilvl="8" w:tplc="218C5DF8">
      <w:start w:val="1"/>
      <w:numFmt w:val="bullet"/>
      <w:lvlText w:val=""/>
      <w:lvlJc w:val="left"/>
      <w:pPr>
        <w:ind w:left="1080" w:hanging="360"/>
      </w:pPr>
      <w:rPr>
        <w:rFonts w:ascii="Symbol" w:hAnsi="Symbol"/>
      </w:rPr>
    </w:lvl>
  </w:abstractNum>
  <w:abstractNum w:abstractNumId="11" w15:restartNumberingAfterBreak="0">
    <w:nsid w:val="66406518"/>
    <w:multiLevelType w:val="multilevel"/>
    <w:tmpl w:val="333E1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3A602F"/>
    <w:multiLevelType w:val="hybridMultilevel"/>
    <w:tmpl w:val="5FF6C1F4"/>
    <w:lvl w:ilvl="0" w:tplc="67ACB4B0">
      <w:start w:val="1"/>
      <w:numFmt w:val="bullet"/>
      <w:lvlText w:val=""/>
      <w:lvlJc w:val="left"/>
      <w:pPr>
        <w:ind w:left="1080" w:hanging="360"/>
      </w:pPr>
      <w:rPr>
        <w:rFonts w:ascii="Symbol" w:hAnsi="Symbol"/>
      </w:rPr>
    </w:lvl>
    <w:lvl w:ilvl="1" w:tplc="3CD28E8C">
      <w:start w:val="1"/>
      <w:numFmt w:val="bullet"/>
      <w:lvlText w:val=""/>
      <w:lvlJc w:val="left"/>
      <w:pPr>
        <w:ind w:left="1080" w:hanging="360"/>
      </w:pPr>
      <w:rPr>
        <w:rFonts w:ascii="Symbol" w:hAnsi="Symbol"/>
      </w:rPr>
    </w:lvl>
    <w:lvl w:ilvl="2" w:tplc="11DED688">
      <w:start w:val="1"/>
      <w:numFmt w:val="bullet"/>
      <w:lvlText w:val=""/>
      <w:lvlJc w:val="left"/>
      <w:pPr>
        <w:ind w:left="1080" w:hanging="360"/>
      </w:pPr>
      <w:rPr>
        <w:rFonts w:ascii="Symbol" w:hAnsi="Symbol"/>
      </w:rPr>
    </w:lvl>
    <w:lvl w:ilvl="3" w:tplc="A94E95AE">
      <w:start w:val="1"/>
      <w:numFmt w:val="bullet"/>
      <w:lvlText w:val=""/>
      <w:lvlJc w:val="left"/>
      <w:pPr>
        <w:ind w:left="1080" w:hanging="360"/>
      </w:pPr>
      <w:rPr>
        <w:rFonts w:ascii="Symbol" w:hAnsi="Symbol"/>
      </w:rPr>
    </w:lvl>
    <w:lvl w:ilvl="4" w:tplc="BA48132A">
      <w:start w:val="1"/>
      <w:numFmt w:val="bullet"/>
      <w:lvlText w:val=""/>
      <w:lvlJc w:val="left"/>
      <w:pPr>
        <w:ind w:left="1080" w:hanging="360"/>
      </w:pPr>
      <w:rPr>
        <w:rFonts w:ascii="Symbol" w:hAnsi="Symbol"/>
      </w:rPr>
    </w:lvl>
    <w:lvl w:ilvl="5" w:tplc="B8E60292">
      <w:start w:val="1"/>
      <w:numFmt w:val="bullet"/>
      <w:lvlText w:val=""/>
      <w:lvlJc w:val="left"/>
      <w:pPr>
        <w:ind w:left="1080" w:hanging="360"/>
      </w:pPr>
      <w:rPr>
        <w:rFonts w:ascii="Symbol" w:hAnsi="Symbol"/>
      </w:rPr>
    </w:lvl>
    <w:lvl w:ilvl="6" w:tplc="15943584">
      <w:start w:val="1"/>
      <w:numFmt w:val="bullet"/>
      <w:lvlText w:val=""/>
      <w:lvlJc w:val="left"/>
      <w:pPr>
        <w:ind w:left="1080" w:hanging="360"/>
      </w:pPr>
      <w:rPr>
        <w:rFonts w:ascii="Symbol" w:hAnsi="Symbol"/>
      </w:rPr>
    </w:lvl>
    <w:lvl w:ilvl="7" w:tplc="85FA2750">
      <w:start w:val="1"/>
      <w:numFmt w:val="bullet"/>
      <w:lvlText w:val=""/>
      <w:lvlJc w:val="left"/>
      <w:pPr>
        <w:ind w:left="1080" w:hanging="360"/>
      </w:pPr>
      <w:rPr>
        <w:rFonts w:ascii="Symbol" w:hAnsi="Symbol"/>
      </w:rPr>
    </w:lvl>
    <w:lvl w:ilvl="8" w:tplc="73EEE9BC">
      <w:start w:val="1"/>
      <w:numFmt w:val="bullet"/>
      <w:lvlText w:val=""/>
      <w:lvlJc w:val="left"/>
      <w:pPr>
        <w:ind w:left="1080" w:hanging="360"/>
      </w:pPr>
      <w:rPr>
        <w:rFonts w:ascii="Symbol" w:hAnsi="Symbol"/>
      </w:rPr>
    </w:lvl>
  </w:abstractNum>
  <w:abstractNum w:abstractNumId="13" w15:restartNumberingAfterBreak="0">
    <w:nsid w:val="6820511B"/>
    <w:multiLevelType w:val="hybridMultilevel"/>
    <w:tmpl w:val="8D6CF6BA"/>
    <w:lvl w:ilvl="0" w:tplc="BFCC9D76">
      <w:start w:val="1"/>
      <w:numFmt w:val="bullet"/>
      <w:lvlText w:val=""/>
      <w:lvlJc w:val="left"/>
      <w:pPr>
        <w:ind w:left="1080" w:hanging="360"/>
      </w:pPr>
      <w:rPr>
        <w:rFonts w:ascii="Symbol" w:hAnsi="Symbol"/>
      </w:rPr>
    </w:lvl>
    <w:lvl w:ilvl="1" w:tplc="400C80AC">
      <w:start w:val="1"/>
      <w:numFmt w:val="bullet"/>
      <w:lvlText w:val=""/>
      <w:lvlJc w:val="left"/>
      <w:pPr>
        <w:ind w:left="1080" w:hanging="360"/>
      </w:pPr>
      <w:rPr>
        <w:rFonts w:ascii="Symbol" w:hAnsi="Symbol"/>
      </w:rPr>
    </w:lvl>
    <w:lvl w:ilvl="2" w:tplc="A55C57B2">
      <w:start w:val="1"/>
      <w:numFmt w:val="bullet"/>
      <w:lvlText w:val=""/>
      <w:lvlJc w:val="left"/>
      <w:pPr>
        <w:ind w:left="1080" w:hanging="360"/>
      </w:pPr>
      <w:rPr>
        <w:rFonts w:ascii="Symbol" w:hAnsi="Symbol"/>
      </w:rPr>
    </w:lvl>
    <w:lvl w:ilvl="3" w:tplc="B3428DA6">
      <w:start w:val="1"/>
      <w:numFmt w:val="bullet"/>
      <w:lvlText w:val=""/>
      <w:lvlJc w:val="left"/>
      <w:pPr>
        <w:ind w:left="1080" w:hanging="360"/>
      </w:pPr>
      <w:rPr>
        <w:rFonts w:ascii="Symbol" w:hAnsi="Symbol"/>
      </w:rPr>
    </w:lvl>
    <w:lvl w:ilvl="4" w:tplc="BB3A3866">
      <w:start w:val="1"/>
      <w:numFmt w:val="bullet"/>
      <w:lvlText w:val=""/>
      <w:lvlJc w:val="left"/>
      <w:pPr>
        <w:ind w:left="1080" w:hanging="360"/>
      </w:pPr>
      <w:rPr>
        <w:rFonts w:ascii="Symbol" w:hAnsi="Symbol"/>
      </w:rPr>
    </w:lvl>
    <w:lvl w:ilvl="5" w:tplc="15D263A6">
      <w:start w:val="1"/>
      <w:numFmt w:val="bullet"/>
      <w:lvlText w:val=""/>
      <w:lvlJc w:val="left"/>
      <w:pPr>
        <w:ind w:left="1080" w:hanging="360"/>
      </w:pPr>
      <w:rPr>
        <w:rFonts w:ascii="Symbol" w:hAnsi="Symbol"/>
      </w:rPr>
    </w:lvl>
    <w:lvl w:ilvl="6" w:tplc="396A101E">
      <w:start w:val="1"/>
      <w:numFmt w:val="bullet"/>
      <w:lvlText w:val=""/>
      <w:lvlJc w:val="left"/>
      <w:pPr>
        <w:ind w:left="1080" w:hanging="360"/>
      </w:pPr>
      <w:rPr>
        <w:rFonts w:ascii="Symbol" w:hAnsi="Symbol"/>
      </w:rPr>
    </w:lvl>
    <w:lvl w:ilvl="7" w:tplc="CEA63D90">
      <w:start w:val="1"/>
      <w:numFmt w:val="bullet"/>
      <w:lvlText w:val=""/>
      <w:lvlJc w:val="left"/>
      <w:pPr>
        <w:ind w:left="1080" w:hanging="360"/>
      </w:pPr>
      <w:rPr>
        <w:rFonts w:ascii="Symbol" w:hAnsi="Symbol"/>
      </w:rPr>
    </w:lvl>
    <w:lvl w:ilvl="8" w:tplc="3CA02876">
      <w:start w:val="1"/>
      <w:numFmt w:val="bullet"/>
      <w:lvlText w:val=""/>
      <w:lvlJc w:val="left"/>
      <w:pPr>
        <w:ind w:left="1080" w:hanging="360"/>
      </w:pPr>
      <w:rPr>
        <w:rFonts w:ascii="Symbol" w:hAnsi="Symbol"/>
      </w:rPr>
    </w:lvl>
  </w:abstractNum>
  <w:abstractNum w:abstractNumId="14" w15:restartNumberingAfterBreak="0">
    <w:nsid w:val="6E38C3E4"/>
    <w:multiLevelType w:val="hybridMultilevel"/>
    <w:tmpl w:val="355C5418"/>
    <w:lvl w:ilvl="0" w:tplc="9CC82414">
      <w:start w:val="1"/>
      <w:numFmt w:val="bullet"/>
      <w:lvlText w:val=""/>
      <w:lvlJc w:val="left"/>
      <w:pPr>
        <w:ind w:left="720" w:hanging="360"/>
      </w:pPr>
      <w:rPr>
        <w:rFonts w:ascii="Symbol" w:hAnsi="Symbol" w:hint="default"/>
      </w:rPr>
    </w:lvl>
    <w:lvl w:ilvl="1" w:tplc="8046963C">
      <w:start w:val="1"/>
      <w:numFmt w:val="bullet"/>
      <w:lvlText w:val="o"/>
      <w:lvlJc w:val="left"/>
      <w:pPr>
        <w:ind w:left="1440" w:hanging="360"/>
      </w:pPr>
      <w:rPr>
        <w:rFonts w:ascii="Courier New" w:hAnsi="Courier New" w:hint="default"/>
      </w:rPr>
    </w:lvl>
    <w:lvl w:ilvl="2" w:tplc="DFB83DA8">
      <w:start w:val="1"/>
      <w:numFmt w:val="bullet"/>
      <w:lvlText w:val=""/>
      <w:lvlJc w:val="left"/>
      <w:pPr>
        <w:ind w:left="2160" w:hanging="360"/>
      </w:pPr>
      <w:rPr>
        <w:rFonts w:ascii="Wingdings" w:hAnsi="Wingdings" w:hint="default"/>
      </w:rPr>
    </w:lvl>
    <w:lvl w:ilvl="3" w:tplc="A664CFD8">
      <w:start w:val="1"/>
      <w:numFmt w:val="bullet"/>
      <w:lvlText w:val=""/>
      <w:lvlJc w:val="left"/>
      <w:pPr>
        <w:ind w:left="2880" w:hanging="360"/>
      </w:pPr>
      <w:rPr>
        <w:rFonts w:ascii="Symbol" w:hAnsi="Symbol" w:hint="default"/>
      </w:rPr>
    </w:lvl>
    <w:lvl w:ilvl="4" w:tplc="4E4AC6A4">
      <w:start w:val="1"/>
      <w:numFmt w:val="bullet"/>
      <w:lvlText w:val="o"/>
      <w:lvlJc w:val="left"/>
      <w:pPr>
        <w:ind w:left="3600" w:hanging="360"/>
      </w:pPr>
      <w:rPr>
        <w:rFonts w:ascii="Courier New" w:hAnsi="Courier New" w:hint="default"/>
      </w:rPr>
    </w:lvl>
    <w:lvl w:ilvl="5" w:tplc="2A8E096A">
      <w:start w:val="1"/>
      <w:numFmt w:val="bullet"/>
      <w:lvlText w:val=""/>
      <w:lvlJc w:val="left"/>
      <w:pPr>
        <w:ind w:left="4320" w:hanging="360"/>
      </w:pPr>
      <w:rPr>
        <w:rFonts w:ascii="Wingdings" w:hAnsi="Wingdings" w:hint="default"/>
      </w:rPr>
    </w:lvl>
    <w:lvl w:ilvl="6" w:tplc="7DC43B6C">
      <w:start w:val="1"/>
      <w:numFmt w:val="bullet"/>
      <w:lvlText w:val=""/>
      <w:lvlJc w:val="left"/>
      <w:pPr>
        <w:ind w:left="5040" w:hanging="360"/>
      </w:pPr>
      <w:rPr>
        <w:rFonts w:ascii="Symbol" w:hAnsi="Symbol" w:hint="default"/>
      </w:rPr>
    </w:lvl>
    <w:lvl w:ilvl="7" w:tplc="EAAC737E">
      <w:start w:val="1"/>
      <w:numFmt w:val="bullet"/>
      <w:lvlText w:val="o"/>
      <w:lvlJc w:val="left"/>
      <w:pPr>
        <w:ind w:left="5760" w:hanging="360"/>
      </w:pPr>
      <w:rPr>
        <w:rFonts w:ascii="Courier New" w:hAnsi="Courier New" w:hint="default"/>
      </w:rPr>
    </w:lvl>
    <w:lvl w:ilvl="8" w:tplc="47620498">
      <w:start w:val="1"/>
      <w:numFmt w:val="bullet"/>
      <w:lvlText w:val=""/>
      <w:lvlJc w:val="left"/>
      <w:pPr>
        <w:ind w:left="6480" w:hanging="360"/>
      </w:pPr>
      <w:rPr>
        <w:rFonts w:ascii="Wingdings" w:hAnsi="Wingdings" w:hint="default"/>
      </w:rPr>
    </w:lvl>
  </w:abstractNum>
  <w:abstractNum w:abstractNumId="15" w15:restartNumberingAfterBreak="0">
    <w:nsid w:val="700D7DF8"/>
    <w:multiLevelType w:val="hybridMultilevel"/>
    <w:tmpl w:val="D9BCAD16"/>
    <w:lvl w:ilvl="0" w:tplc="A0D0ED28">
      <w:start w:val="1"/>
      <w:numFmt w:val="bullet"/>
      <w:lvlText w:val=""/>
      <w:lvlJc w:val="left"/>
      <w:pPr>
        <w:ind w:left="1080" w:hanging="360"/>
      </w:pPr>
      <w:rPr>
        <w:rFonts w:ascii="Symbol" w:hAnsi="Symbol"/>
      </w:rPr>
    </w:lvl>
    <w:lvl w:ilvl="1" w:tplc="CD2A78E4">
      <w:start w:val="1"/>
      <w:numFmt w:val="bullet"/>
      <w:lvlText w:val=""/>
      <w:lvlJc w:val="left"/>
      <w:pPr>
        <w:ind w:left="1080" w:hanging="360"/>
      </w:pPr>
      <w:rPr>
        <w:rFonts w:ascii="Symbol" w:hAnsi="Symbol"/>
      </w:rPr>
    </w:lvl>
    <w:lvl w:ilvl="2" w:tplc="286E7948">
      <w:start w:val="1"/>
      <w:numFmt w:val="bullet"/>
      <w:lvlText w:val=""/>
      <w:lvlJc w:val="left"/>
      <w:pPr>
        <w:ind w:left="1080" w:hanging="360"/>
      </w:pPr>
      <w:rPr>
        <w:rFonts w:ascii="Symbol" w:hAnsi="Symbol"/>
      </w:rPr>
    </w:lvl>
    <w:lvl w:ilvl="3" w:tplc="563CB906">
      <w:start w:val="1"/>
      <w:numFmt w:val="bullet"/>
      <w:lvlText w:val=""/>
      <w:lvlJc w:val="left"/>
      <w:pPr>
        <w:ind w:left="1080" w:hanging="360"/>
      </w:pPr>
      <w:rPr>
        <w:rFonts w:ascii="Symbol" w:hAnsi="Symbol"/>
      </w:rPr>
    </w:lvl>
    <w:lvl w:ilvl="4" w:tplc="A646609E">
      <w:start w:val="1"/>
      <w:numFmt w:val="bullet"/>
      <w:lvlText w:val=""/>
      <w:lvlJc w:val="left"/>
      <w:pPr>
        <w:ind w:left="1080" w:hanging="360"/>
      </w:pPr>
      <w:rPr>
        <w:rFonts w:ascii="Symbol" w:hAnsi="Symbol"/>
      </w:rPr>
    </w:lvl>
    <w:lvl w:ilvl="5" w:tplc="0FE4FE88">
      <w:start w:val="1"/>
      <w:numFmt w:val="bullet"/>
      <w:lvlText w:val=""/>
      <w:lvlJc w:val="left"/>
      <w:pPr>
        <w:ind w:left="1080" w:hanging="360"/>
      </w:pPr>
      <w:rPr>
        <w:rFonts w:ascii="Symbol" w:hAnsi="Symbol"/>
      </w:rPr>
    </w:lvl>
    <w:lvl w:ilvl="6" w:tplc="3D30E588">
      <w:start w:val="1"/>
      <w:numFmt w:val="bullet"/>
      <w:lvlText w:val=""/>
      <w:lvlJc w:val="left"/>
      <w:pPr>
        <w:ind w:left="1080" w:hanging="360"/>
      </w:pPr>
      <w:rPr>
        <w:rFonts w:ascii="Symbol" w:hAnsi="Symbol"/>
      </w:rPr>
    </w:lvl>
    <w:lvl w:ilvl="7" w:tplc="4052FE5E">
      <w:start w:val="1"/>
      <w:numFmt w:val="bullet"/>
      <w:lvlText w:val=""/>
      <w:lvlJc w:val="left"/>
      <w:pPr>
        <w:ind w:left="1080" w:hanging="360"/>
      </w:pPr>
      <w:rPr>
        <w:rFonts w:ascii="Symbol" w:hAnsi="Symbol"/>
      </w:rPr>
    </w:lvl>
    <w:lvl w:ilvl="8" w:tplc="29482CAA">
      <w:start w:val="1"/>
      <w:numFmt w:val="bullet"/>
      <w:lvlText w:val=""/>
      <w:lvlJc w:val="left"/>
      <w:pPr>
        <w:ind w:left="1080" w:hanging="360"/>
      </w:pPr>
      <w:rPr>
        <w:rFonts w:ascii="Symbol" w:hAnsi="Symbol"/>
      </w:rPr>
    </w:lvl>
  </w:abstractNum>
  <w:abstractNum w:abstractNumId="16" w15:restartNumberingAfterBreak="0">
    <w:nsid w:val="70DD2578"/>
    <w:multiLevelType w:val="hybridMultilevel"/>
    <w:tmpl w:val="717C1FAA"/>
    <w:lvl w:ilvl="0" w:tplc="3D30CE44">
      <w:start w:val="1"/>
      <w:numFmt w:val="bullet"/>
      <w:lvlText w:val=""/>
      <w:lvlJc w:val="left"/>
      <w:pPr>
        <w:ind w:left="1080" w:hanging="360"/>
      </w:pPr>
      <w:rPr>
        <w:rFonts w:ascii="Symbol" w:hAnsi="Symbol"/>
      </w:rPr>
    </w:lvl>
    <w:lvl w:ilvl="1" w:tplc="7E60CC32">
      <w:start w:val="1"/>
      <w:numFmt w:val="bullet"/>
      <w:lvlText w:val=""/>
      <w:lvlJc w:val="left"/>
      <w:pPr>
        <w:ind w:left="1080" w:hanging="360"/>
      </w:pPr>
      <w:rPr>
        <w:rFonts w:ascii="Symbol" w:hAnsi="Symbol"/>
      </w:rPr>
    </w:lvl>
    <w:lvl w:ilvl="2" w:tplc="39EA44BC">
      <w:start w:val="1"/>
      <w:numFmt w:val="bullet"/>
      <w:lvlText w:val=""/>
      <w:lvlJc w:val="left"/>
      <w:pPr>
        <w:ind w:left="1080" w:hanging="360"/>
      </w:pPr>
      <w:rPr>
        <w:rFonts w:ascii="Symbol" w:hAnsi="Symbol"/>
      </w:rPr>
    </w:lvl>
    <w:lvl w:ilvl="3" w:tplc="440018DC">
      <w:start w:val="1"/>
      <w:numFmt w:val="bullet"/>
      <w:lvlText w:val=""/>
      <w:lvlJc w:val="left"/>
      <w:pPr>
        <w:ind w:left="1080" w:hanging="360"/>
      </w:pPr>
      <w:rPr>
        <w:rFonts w:ascii="Symbol" w:hAnsi="Symbol"/>
      </w:rPr>
    </w:lvl>
    <w:lvl w:ilvl="4" w:tplc="2D1605D8">
      <w:start w:val="1"/>
      <w:numFmt w:val="bullet"/>
      <w:lvlText w:val=""/>
      <w:lvlJc w:val="left"/>
      <w:pPr>
        <w:ind w:left="1080" w:hanging="360"/>
      </w:pPr>
      <w:rPr>
        <w:rFonts w:ascii="Symbol" w:hAnsi="Symbol"/>
      </w:rPr>
    </w:lvl>
    <w:lvl w:ilvl="5" w:tplc="9EEE9732">
      <w:start w:val="1"/>
      <w:numFmt w:val="bullet"/>
      <w:lvlText w:val=""/>
      <w:lvlJc w:val="left"/>
      <w:pPr>
        <w:ind w:left="1080" w:hanging="360"/>
      </w:pPr>
      <w:rPr>
        <w:rFonts w:ascii="Symbol" w:hAnsi="Symbol"/>
      </w:rPr>
    </w:lvl>
    <w:lvl w:ilvl="6" w:tplc="DF263A28">
      <w:start w:val="1"/>
      <w:numFmt w:val="bullet"/>
      <w:lvlText w:val=""/>
      <w:lvlJc w:val="left"/>
      <w:pPr>
        <w:ind w:left="1080" w:hanging="360"/>
      </w:pPr>
      <w:rPr>
        <w:rFonts w:ascii="Symbol" w:hAnsi="Symbol"/>
      </w:rPr>
    </w:lvl>
    <w:lvl w:ilvl="7" w:tplc="658C0246">
      <w:start w:val="1"/>
      <w:numFmt w:val="bullet"/>
      <w:lvlText w:val=""/>
      <w:lvlJc w:val="left"/>
      <w:pPr>
        <w:ind w:left="1080" w:hanging="360"/>
      </w:pPr>
      <w:rPr>
        <w:rFonts w:ascii="Symbol" w:hAnsi="Symbol"/>
      </w:rPr>
    </w:lvl>
    <w:lvl w:ilvl="8" w:tplc="9D4851E8">
      <w:start w:val="1"/>
      <w:numFmt w:val="bullet"/>
      <w:lvlText w:val=""/>
      <w:lvlJc w:val="left"/>
      <w:pPr>
        <w:ind w:left="1080" w:hanging="360"/>
      </w:pPr>
      <w:rPr>
        <w:rFonts w:ascii="Symbol" w:hAnsi="Symbol"/>
      </w:rPr>
    </w:lvl>
  </w:abstractNum>
  <w:abstractNum w:abstractNumId="17" w15:restartNumberingAfterBreak="0">
    <w:nsid w:val="7D32478F"/>
    <w:multiLevelType w:val="hybridMultilevel"/>
    <w:tmpl w:val="D79035E4"/>
    <w:lvl w:ilvl="0" w:tplc="C3E8442C">
      <w:start w:val="1"/>
      <w:numFmt w:val="bullet"/>
      <w:lvlText w:val=""/>
      <w:lvlJc w:val="left"/>
      <w:pPr>
        <w:ind w:left="1080" w:hanging="360"/>
      </w:pPr>
      <w:rPr>
        <w:rFonts w:ascii="Symbol" w:hAnsi="Symbol"/>
      </w:rPr>
    </w:lvl>
    <w:lvl w:ilvl="1" w:tplc="B6043BD6">
      <w:start w:val="1"/>
      <w:numFmt w:val="bullet"/>
      <w:lvlText w:val=""/>
      <w:lvlJc w:val="left"/>
      <w:pPr>
        <w:ind w:left="1080" w:hanging="360"/>
      </w:pPr>
      <w:rPr>
        <w:rFonts w:ascii="Symbol" w:hAnsi="Symbol"/>
      </w:rPr>
    </w:lvl>
    <w:lvl w:ilvl="2" w:tplc="FCB8E9FC">
      <w:start w:val="1"/>
      <w:numFmt w:val="bullet"/>
      <w:lvlText w:val=""/>
      <w:lvlJc w:val="left"/>
      <w:pPr>
        <w:ind w:left="1080" w:hanging="360"/>
      </w:pPr>
      <w:rPr>
        <w:rFonts w:ascii="Symbol" w:hAnsi="Symbol"/>
      </w:rPr>
    </w:lvl>
    <w:lvl w:ilvl="3" w:tplc="0E809A06">
      <w:start w:val="1"/>
      <w:numFmt w:val="bullet"/>
      <w:lvlText w:val=""/>
      <w:lvlJc w:val="left"/>
      <w:pPr>
        <w:ind w:left="1080" w:hanging="360"/>
      </w:pPr>
      <w:rPr>
        <w:rFonts w:ascii="Symbol" w:hAnsi="Symbol"/>
      </w:rPr>
    </w:lvl>
    <w:lvl w:ilvl="4" w:tplc="4E0EDCCE">
      <w:start w:val="1"/>
      <w:numFmt w:val="bullet"/>
      <w:lvlText w:val=""/>
      <w:lvlJc w:val="left"/>
      <w:pPr>
        <w:ind w:left="1080" w:hanging="360"/>
      </w:pPr>
      <w:rPr>
        <w:rFonts w:ascii="Symbol" w:hAnsi="Symbol"/>
      </w:rPr>
    </w:lvl>
    <w:lvl w:ilvl="5" w:tplc="5BFE7830">
      <w:start w:val="1"/>
      <w:numFmt w:val="bullet"/>
      <w:lvlText w:val=""/>
      <w:lvlJc w:val="left"/>
      <w:pPr>
        <w:ind w:left="1080" w:hanging="360"/>
      </w:pPr>
      <w:rPr>
        <w:rFonts w:ascii="Symbol" w:hAnsi="Symbol"/>
      </w:rPr>
    </w:lvl>
    <w:lvl w:ilvl="6" w:tplc="5DD88092">
      <w:start w:val="1"/>
      <w:numFmt w:val="bullet"/>
      <w:lvlText w:val=""/>
      <w:lvlJc w:val="left"/>
      <w:pPr>
        <w:ind w:left="1080" w:hanging="360"/>
      </w:pPr>
      <w:rPr>
        <w:rFonts w:ascii="Symbol" w:hAnsi="Symbol"/>
      </w:rPr>
    </w:lvl>
    <w:lvl w:ilvl="7" w:tplc="E0DCED90">
      <w:start w:val="1"/>
      <w:numFmt w:val="bullet"/>
      <w:lvlText w:val=""/>
      <w:lvlJc w:val="left"/>
      <w:pPr>
        <w:ind w:left="1080" w:hanging="360"/>
      </w:pPr>
      <w:rPr>
        <w:rFonts w:ascii="Symbol" w:hAnsi="Symbol"/>
      </w:rPr>
    </w:lvl>
    <w:lvl w:ilvl="8" w:tplc="4ABC71D2">
      <w:start w:val="1"/>
      <w:numFmt w:val="bullet"/>
      <w:lvlText w:val=""/>
      <w:lvlJc w:val="left"/>
      <w:pPr>
        <w:ind w:left="1080" w:hanging="360"/>
      </w:pPr>
      <w:rPr>
        <w:rFonts w:ascii="Symbol" w:hAnsi="Symbol"/>
      </w:rPr>
    </w:lvl>
  </w:abstractNum>
  <w:abstractNum w:abstractNumId="18" w15:restartNumberingAfterBreak="0">
    <w:nsid w:val="7DEA5A14"/>
    <w:multiLevelType w:val="hybridMultilevel"/>
    <w:tmpl w:val="0E4857E0"/>
    <w:lvl w:ilvl="0" w:tplc="7F1CD4D8">
      <w:start w:val="1"/>
      <w:numFmt w:val="bullet"/>
      <w:lvlText w:val=""/>
      <w:lvlJc w:val="left"/>
      <w:pPr>
        <w:ind w:left="1080" w:hanging="360"/>
      </w:pPr>
      <w:rPr>
        <w:rFonts w:ascii="Symbol" w:hAnsi="Symbol"/>
      </w:rPr>
    </w:lvl>
    <w:lvl w:ilvl="1" w:tplc="E04A2D9A">
      <w:start w:val="1"/>
      <w:numFmt w:val="bullet"/>
      <w:lvlText w:val=""/>
      <w:lvlJc w:val="left"/>
      <w:pPr>
        <w:ind w:left="1080" w:hanging="360"/>
      </w:pPr>
      <w:rPr>
        <w:rFonts w:ascii="Symbol" w:hAnsi="Symbol"/>
      </w:rPr>
    </w:lvl>
    <w:lvl w:ilvl="2" w:tplc="CFBAC8F6">
      <w:start w:val="1"/>
      <w:numFmt w:val="bullet"/>
      <w:lvlText w:val=""/>
      <w:lvlJc w:val="left"/>
      <w:pPr>
        <w:ind w:left="1080" w:hanging="360"/>
      </w:pPr>
      <w:rPr>
        <w:rFonts w:ascii="Symbol" w:hAnsi="Symbol"/>
      </w:rPr>
    </w:lvl>
    <w:lvl w:ilvl="3" w:tplc="42760F74">
      <w:start w:val="1"/>
      <w:numFmt w:val="bullet"/>
      <w:lvlText w:val=""/>
      <w:lvlJc w:val="left"/>
      <w:pPr>
        <w:ind w:left="1080" w:hanging="360"/>
      </w:pPr>
      <w:rPr>
        <w:rFonts w:ascii="Symbol" w:hAnsi="Symbol"/>
      </w:rPr>
    </w:lvl>
    <w:lvl w:ilvl="4" w:tplc="488A5F3C">
      <w:start w:val="1"/>
      <w:numFmt w:val="bullet"/>
      <w:lvlText w:val=""/>
      <w:lvlJc w:val="left"/>
      <w:pPr>
        <w:ind w:left="1080" w:hanging="360"/>
      </w:pPr>
      <w:rPr>
        <w:rFonts w:ascii="Symbol" w:hAnsi="Symbol"/>
      </w:rPr>
    </w:lvl>
    <w:lvl w:ilvl="5" w:tplc="0A3E66CE">
      <w:start w:val="1"/>
      <w:numFmt w:val="bullet"/>
      <w:lvlText w:val=""/>
      <w:lvlJc w:val="left"/>
      <w:pPr>
        <w:ind w:left="1080" w:hanging="360"/>
      </w:pPr>
      <w:rPr>
        <w:rFonts w:ascii="Symbol" w:hAnsi="Symbol"/>
      </w:rPr>
    </w:lvl>
    <w:lvl w:ilvl="6" w:tplc="427879BE">
      <w:start w:val="1"/>
      <w:numFmt w:val="bullet"/>
      <w:lvlText w:val=""/>
      <w:lvlJc w:val="left"/>
      <w:pPr>
        <w:ind w:left="1080" w:hanging="360"/>
      </w:pPr>
      <w:rPr>
        <w:rFonts w:ascii="Symbol" w:hAnsi="Symbol"/>
      </w:rPr>
    </w:lvl>
    <w:lvl w:ilvl="7" w:tplc="DCE4AE2C">
      <w:start w:val="1"/>
      <w:numFmt w:val="bullet"/>
      <w:lvlText w:val=""/>
      <w:lvlJc w:val="left"/>
      <w:pPr>
        <w:ind w:left="1080" w:hanging="360"/>
      </w:pPr>
      <w:rPr>
        <w:rFonts w:ascii="Symbol" w:hAnsi="Symbol"/>
      </w:rPr>
    </w:lvl>
    <w:lvl w:ilvl="8" w:tplc="57F6DF5A">
      <w:start w:val="1"/>
      <w:numFmt w:val="bullet"/>
      <w:lvlText w:val=""/>
      <w:lvlJc w:val="left"/>
      <w:pPr>
        <w:ind w:left="1080" w:hanging="360"/>
      </w:pPr>
      <w:rPr>
        <w:rFonts w:ascii="Symbol" w:hAnsi="Symbol"/>
      </w:rPr>
    </w:lvl>
  </w:abstractNum>
  <w:num w:numId="1" w16cid:durableId="1813132828">
    <w:abstractNumId w:val="1"/>
  </w:num>
  <w:num w:numId="2" w16cid:durableId="1768036528">
    <w:abstractNumId w:val="4"/>
  </w:num>
  <w:num w:numId="3" w16cid:durableId="1968852587">
    <w:abstractNumId w:val="14"/>
  </w:num>
  <w:num w:numId="4" w16cid:durableId="1894997588">
    <w:abstractNumId w:val="2"/>
  </w:num>
  <w:num w:numId="5" w16cid:durableId="589235950">
    <w:abstractNumId w:val="11"/>
  </w:num>
  <w:num w:numId="6" w16cid:durableId="60300077">
    <w:abstractNumId w:val="9"/>
  </w:num>
  <w:num w:numId="7" w16cid:durableId="656618136">
    <w:abstractNumId w:val="8"/>
  </w:num>
  <w:num w:numId="8" w16cid:durableId="596056038">
    <w:abstractNumId w:val="7"/>
  </w:num>
  <w:num w:numId="9" w16cid:durableId="947738373">
    <w:abstractNumId w:val="12"/>
  </w:num>
  <w:num w:numId="10" w16cid:durableId="1475484512">
    <w:abstractNumId w:val="16"/>
  </w:num>
  <w:num w:numId="11" w16cid:durableId="263154478">
    <w:abstractNumId w:val="17"/>
  </w:num>
  <w:num w:numId="12" w16cid:durableId="847597044">
    <w:abstractNumId w:val="0"/>
  </w:num>
  <w:num w:numId="13" w16cid:durableId="1036808434">
    <w:abstractNumId w:val="13"/>
  </w:num>
  <w:num w:numId="14" w16cid:durableId="489181380">
    <w:abstractNumId w:val="18"/>
  </w:num>
  <w:num w:numId="15" w16cid:durableId="849299427">
    <w:abstractNumId w:val="3"/>
  </w:num>
  <w:num w:numId="16" w16cid:durableId="1564297449">
    <w:abstractNumId w:val="15"/>
  </w:num>
  <w:num w:numId="17" w16cid:durableId="1027371892">
    <w:abstractNumId w:val="10"/>
  </w:num>
  <w:num w:numId="18" w16cid:durableId="1796022052">
    <w:abstractNumId w:val="5"/>
  </w:num>
  <w:num w:numId="19" w16cid:durableId="1179466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AF"/>
    <w:rsid w:val="0056479A"/>
    <w:rsid w:val="00580AAF"/>
    <w:rsid w:val="00671E54"/>
    <w:rsid w:val="00A524D5"/>
    <w:rsid w:val="00FE1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7B8649"/>
  <w15:chartTrackingRefBased/>
  <w15:docId w15:val="{6A17CFD4-72B1-774D-AF37-CA0BF452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AF"/>
    <w:pPr>
      <w:spacing w:line="259" w:lineRule="auto"/>
    </w:pPr>
    <w:rPr>
      <w:sz w:val="22"/>
      <w:szCs w:val="22"/>
    </w:rPr>
  </w:style>
  <w:style w:type="paragraph" w:styleId="Heading1">
    <w:name w:val="heading 1"/>
    <w:basedOn w:val="Normal"/>
    <w:next w:val="Normal"/>
    <w:link w:val="Heading1Char"/>
    <w:uiPriority w:val="9"/>
    <w:qFormat/>
    <w:rsid w:val="0058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A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A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A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AAF"/>
    <w:rPr>
      <w:rFonts w:eastAsiaTheme="majorEastAsia" w:cstheme="majorBidi"/>
      <w:color w:val="272727" w:themeColor="text1" w:themeTint="D8"/>
    </w:rPr>
  </w:style>
  <w:style w:type="paragraph" w:styleId="Title">
    <w:name w:val="Title"/>
    <w:basedOn w:val="Normal"/>
    <w:next w:val="Normal"/>
    <w:link w:val="TitleChar"/>
    <w:uiPriority w:val="10"/>
    <w:qFormat/>
    <w:rsid w:val="0058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AAF"/>
    <w:pPr>
      <w:spacing w:before="160"/>
      <w:jc w:val="center"/>
    </w:pPr>
    <w:rPr>
      <w:i/>
      <w:iCs/>
      <w:color w:val="404040" w:themeColor="text1" w:themeTint="BF"/>
    </w:rPr>
  </w:style>
  <w:style w:type="character" w:customStyle="1" w:styleId="QuoteChar">
    <w:name w:val="Quote Char"/>
    <w:basedOn w:val="DefaultParagraphFont"/>
    <w:link w:val="Quote"/>
    <w:uiPriority w:val="29"/>
    <w:rsid w:val="00580AAF"/>
    <w:rPr>
      <w:i/>
      <w:iCs/>
      <w:color w:val="404040" w:themeColor="text1" w:themeTint="BF"/>
    </w:rPr>
  </w:style>
  <w:style w:type="paragraph" w:styleId="ListParagraph">
    <w:name w:val="List Paragraph"/>
    <w:basedOn w:val="Normal"/>
    <w:uiPriority w:val="34"/>
    <w:qFormat/>
    <w:rsid w:val="00580AAF"/>
    <w:pPr>
      <w:ind w:left="720"/>
      <w:contextualSpacing/>
    </w:pPr>
  </w:style>
  <w:style w:type="character" w:styleId="IntenseEmphasis">
    <w:name w:val="Intense Emphasis"/>
    <w:basedOn w:val="DefaultParagraphFont"/>
    <w:uiPriority w:val="21"/>
    <w:qFormat/>
    <w:rsid w:val="00580AAF"/>
    <w:rPr>
      <w:i/>
      <w:iCs/>
      <w:color w:val="0F4761" w:themeColor="accent1" w:themeShade="BF"/>
    </w:rPr>
  </w:style>
  <w:style w:type="paragraph" w:styleId="IntenseQuote">
    <w:name w:val="Intense Quote"/>
    <w:basedOn w:val="Normal"/>
    <w:next w:val="Normal"/>
    <w:link w:val="IntenseQuoteChar"/>
    <w:uiPriority w:val="30"/>
    <w:qFormat/>
    <w:rsid w:val="0058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AAF"/>
    <w:rPr>
      <w:i/>
      <w:iCs/>
      <w:color w:val="0F4761" w:themeColor="accent1" w:themeShade="BF"/>
    </w:rPr>
  </w:style>
  <w:style w:type="character" w:styleId="IntenseReference">
    <w:name w:val="Intense Reference"/>
    <w:basedOn w:val="DefaultParagraphFont"/>
    <w:uiPriority w:val="32"/>
    <w:qFormat/>
    <w:rsid w:val="00580AAF"/>
    <w:rPr>
      <w:b/>
      <w:bCs/>
      <w:smallCaps/>
      <w:color w:val="0F4761" w:themeColor="accent1" w:themeShade="BF"/>
      <w:spacing w:val="5"/>
    </w:rPr>
  </w:style>
  <w:style w:type="character" w:styleId="Hyperlink">
    <w:name w:val="Hyperlink"/>
    <w:basedOn w:val="DefaultParagraphFont"/>
    <w:uiPriority w:val="99"/>
    <w:unhideWhenUsed/>
    <w:rsid w:val="00580AAF"/>
    <w:rPr>
      <w:color w:val="467886" w:themeColor="hyperlink"/>
      <w:u w:val="single"/>
    </w:rPr>
  </w:style>
  <w:style w:type="character" w:styleId="UnresolvedMention">
    <w:name w:val="Unresolved Mention"/>
    <w:basedOn w:val="DefaultParagraphFont"/>
    <w:uiPriority w:val="99"/>
    <w:semiHidden/>
    <w:unhideWhenUsed/>
    <w:rsid w:val="00580AAF"/>
    <w:rPr>
      <w:color w:val="605E5C"/>
      <w:shd w:val="clear" w:color="auto" w:fill="E1DFDD"/>
    </w:rPr>
  </w:style>
  <w:style w:type="paragraph" w:styleId="CommentText">
    <w:name w:val="annotation text"/>
    <w:basedOn w:val="Normal"/>
    <w:link w:val="CommentTextChar"/>
    <w:uiPriority w:val="99"/>
    <w:unhideWhenUsed/>
    <w:rsid w:val="00580AAF"/>
    <w:pPr>
      <w:spacing w:line="240" w:lineRule="auto"/>
    </w:pPr>
    <w:rPr>
      <w:sz w:val="20"/>
      <w:szCs w:val="20"/>
    </w:rPr>
  </w:style>
  <w:style w:type="character" w:customStyle="1" w:styleId="CommentTextChar">
    <w:name w:val="Comment Text Char"/>
    <w:basedOn w:val="DefaultParagraphFont"/>
    <w:link w:val="CommentText"/>
    <w:uiPriority w:val="99"/>
    <w:rsid w:val="00580AAF"/>
    <w:rPr>
      <w:sz w:val="20"/>
      <w:szCs w:val="20"/>
    </w:rPr>
  </w:style>
  <w:style w:type="character" w:styleId="CommentReference">
    <w:name w:val="annotation reference"/>
    <w:basedOn w:val="DefaultParagraphFont"/>
    <w:uiPriority w:val="99"/>
    <w:semiHidden/>
    <w:unhideWhenUsed/>
    <w:rsid w:val="00580AAF"/>
    <w:rPr>
      <w:sz w:val="16"/>
      <w:szCs w:val="16"/>
    </w:rPr>
  </w:style>
  <w:style w:type="paragraph" w:styleId="CommentSubject">
    <w:name w:val="annotation subject"/>
    <w:basedOn w:val="CommentText"/>
    <w:next w:val="CommentText"/>
    <w:link w:val="CommentSubjectChar"/>
    <w:uiPriority w:val="99"/>
    <w:semiHidden/>
    <w:unhideWhenUsed/>
    <w:rsid w:val="00580AAF"/>
    <w:rPr>
      <w:b/>
      <w:bCs/>
    </w:rPr>
  </w:style>
  <w:style w:type="character" w:customStyle="1" w:styleId="CommentSubjectChar">
    <w:name w:val="Comment Subject Char"/>
    <w:basedOn w:val="CommentTextChar"/>
    <w:link w:val="CommentSubject"/>
    <w:uiPriority w:val="99"/>
    <w:semiHidden/>
    <w:rsid w:val="00580AAF"/>
    <w:rPr>
      <w:b/>
      <w:bCs/>
      <w:sz w:val="20"/>
      <w:szCs w:val="20"/>
    </w:rPr>
  </w:style>
  <w:style w:type="character" w:styleId="Mention">
    <w:name w:val="Mention"/>
    <w:basedOn w:val="DefaultParagraphFont"/>
    <w:uiPriority w:val="99"/>
    <w:unhideWhenUsed/>
    <w:rsid w:val="00580AAF"/>
    <w:rPr>
      <w:color w:val="2B579A"/>
      <w:shd w:val="clear" w:color="auto" w:fill="E1DFDD"/>
    </w:rPr>
  </w:style>
  <w:style w:type="paragraph" w:styleId="Header">
    <w:name w:val="header"/>
    <w:basedOn w:val="Normal"/>
    <w:link w:val="HeaderChar"/>
    <w:uiPriority w:val="99"/>
    <w:unhideWhenUsed/>
    <w:rsid w:val="00580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AAF"/>
    <w:rPr>
      <w:sz w:val="22"/>
      <w:szCs w:val="22"/>
    </w:rPr>
  </w:style>
  <w:style w:type="paragraph" w:styleId="Footer">
    <w:name w:val="footer"/>
    <w:basedOn w:val="Normal"/>
    <w:link w:val="FooterChar"/>
    <w:uiPriority w:val="99"/>
    <w:unhideWhenUsed/>
    <w:rsid w:val="00580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AAF"/>
    <w:rPr>
      <w:sz w:val="22"/>
      <w:szCs w:val="22"/>
    </w:rPr>
  </w:style>
  <w:style w:type="table" w:styleId="TableGrid">
    <w:name w:val="Table Grid"/>
    <w:basedOn w:val="TableNormal"/>
    <w:uiPriority w:val="59"/>
    <w:rsid w:val="00580AAF"/>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80AAF"/>
    <w:rPr>
      <w:color w:val="96607D" w:themeColor="followedHyperlink"/>
      <w:u w:val="single"/>
    </w:rPr>
  </w:style>
  <w:style w:type="table" w:styleId="GridTable1Light-Accent1">
    <w:name w:val="Grid Table 1 Light Accent 1"/>
    <w:basedOn w:val="TableNormal"/>
    <w:uiPriority w:val="46"/>
    <w:rsid w:val="00580AAF"/>
    <w:pPr>
      <w:spacing w:after="0" w:line="240" w:lineRule="auto"/>
    </w:pPr>
    <w:rPr>
      <w:sz w:val="22"/>
      <w:szCs w:val="22"/>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jea.org/v22n2/v22n2.pdf" TargetMode="External"/><Relationship Id="rId13" Type="http://schemas.openxmlformats.org/officeDocument/2006/relationships/hyperlink" Target="https://assets.publishing.service.gov.uk/media/6061eb9cd3bf7f5cde260984/ITT_core_content_framework_.pdf" TargetMode="External"/><Relationship Id="rId18" Type="http://schemas.openxmlformats.org/officeDocument/2006/relationships/hyperlink" Target="https://files.eric.ed.gov/fulltext/EJ1018332.pdf" TargetMode="External"/><Relationship Id="rId26" Type="http://schemas.openxmlformats.org/officeDocument/2006/relationships/hyperlink" Target="https://www.anewdirection.org.uk/asset/8342" TargetMode="External"/><Relationship Id="rId3" Type="http://schemas.openxmlformats.org/officeDocument/2006/relationships/settings" Target="settings.xml"/><Relationship Id="rId21" Type="http://schemas.openxmlformats.org/officeDocument/2006/relationships/hyperlink" Target="https://creativewritingarts.org.uk/wp-content/uploads/2019/12/Final-Report-for-CWttA-.pdf" TargetMode="External"/><Relationship Id="rId7" Type="http://schemas.openxmlformats.org/officeDocument/2006/relationships/hyperlink" Target="https://www.bbc.co.uk/news/uk-england-essex-39139010" TargetMode="External"/><Relationship Id="rId12" Type="http://schemas.openxmlformats.org/officeDocument/2006/relationships/hyperlink" Target="https://www.gov.uk/government/publications/standard-for-teachers-professional-development" TargetMode="External"/><Relationship Id="rId17" Type="http://schemas.openxmlformats.org/officeDocument/2006/relationships/hyperlink" Target="https://doi.org/10.1016/j.sbspro.2010.03.560" TargetMode="External"/><Relationship Id="rId25" Type="http://schemas.openxmlformats.org/officeDocument/2006/relationships/hyperlink" Target="https://files.ascd.org/staticfiles/ascd/pdf/journals/jcs/jcs_1988fall_stenhouse.pdf" TargetMode="External"/><Relationship Id="rId2" Type="http://schemas.openxmlformats.org/officeDocument/2006/relationships/styles" Target="styles.xml"/><Relationship Id="rId16" Type="http://schemas.openxmlformats.org/officeDocument/2006/relationships/hyperlink" Target="https://assets.publishing.service.gov.uk/media/68b582a1cc8356c3c882a94b/Early_years_foundation_stage_statutory_framework_-_for_group_and_school-based_providers.pdf" TargetMode="External"/><Relationship Id="rId20" Type="http://schemas.openxmlformats.org/officeDocument/2006/relationships/hyperlink" Target="https://doi.org/10.1080/03054985.2025.2458526" TargetMode="External"/><Relationship Id="rId29" Type="http://schemas.openxmlformats.org/officeDocument/2006/relationships/hyperlink" Target="http://dx.doi.org/10.1080/02607476.2014.956544" TargetMode="External"/><Relationship Id="rId1" Type="http://schemas.openxmlformats.org/officeDocument/2006/relationships/numbering" Target="numbering.xml"/><Relationship Id="rId6" Type="http://schemas.openxmlformats.org/officeDocument/2006/relationships/hyperlink" Target="https://www.bera.ac.uk/publication/ethical-guidelines-for-educational-research-fifth-edition-2024" TargetMode="External"/><Relationship Id="rId11" Type="http://schemas.openxmlformats.org/officeDocument/2006/relationships/hyperlink" Target="https://doi.org/%2010.35844/%20001c.75174" TargetMode="External"/><Relationship Id="rId24" Type="http://schemas.openxmlformats.org/officeDocument/2006/relationships/hyperlink" Target="https://doi.org/10.1080/00071005.1981.9973589" TargetMode="External"/><Relationship Id="rId5" Type="http://schemas.openxmlformats.org/officeDocument/2006/relationships/hyperlink" Target="https://www.anewdirection.org.uk/research/arts-in-schools/case-studies/strengthening-creative-writing-through-the-arts-" TargetMode="External"/><Relationship Id="rId15" Type="http://schemas.openxmlformats.org/officeDocument/2006/relationships/hyperlink" Target="https://assets.publishing.service.gov.uk/media/61b73d6c8fa8f50384489c9a/Teachers__Standards_Dec_2021.pdf" TargetMode="External"/><Relationship Id="rId23" Type="http://schemas.openxmlformats.org/officeDocument/2006/relationships/hyperlink" Target="https://www.gov.uk/government/collections/national-curriculum-assessments-information-for-parents" TargetMode="External"/><Relationship Id="rId28" Type="http://schemas.openxmlformats.org/officeDocument/2006/relationships/hyperlink" Target="https://www.unicef.org.uk/rights-respecting-schools/the-right-to-participation/" TargetMode="External"/><Relationship Id="rId10" Type="http://schemas.openxmlformats.org/officeDocument/2006/relationships/hyperlink" Target="https://creativewritingarts.org.uk/" TargetMode="External"/><Relationship Id="rId19" Type="http://schemas.openxmlformats.org/officeDocument/2006/relationships/hyperlink" Target="https://doi.org/10.1080/09650792.2025.259002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y.chartered.college/impact_article/creative-writing-through-the-arts-in-primary-schools/" TargetMode="External"/><Relationship Id="rId14" Type="http://schemas.openxmlformats.org/officeDocument/2006/relationships/hyperlink" Target="https://assets.publishing.service.gov.uk/media/5d1c91cce5274a08df3d35bd/SEN_2019_Text.docx.pdf" TargetMode="External"/><Relationship Id="rId22" Type="http://schemas.openxmlformats.org/officeDocument/2006/relationships/hyperlink" Target="https://dera.ioe.ac.uk/id/eprint/37680/1/SN06798.pdf" TargetMode="External"/><Relationship Id="rId27" Type="http://schemas.openxmlformats.org/officeDocument/2006/relationships/hyperlink" Target="https://www.unicef.org.uk/wp-content/uploads/2019/10/UNCRC_summary-1_1.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10016</Words>
  <Characters>57094</Characters>
  <Application>Microsoft Office Word</Application>
  <DocSecurity>0</DocSecurity>
  <Lines>475</Lines>
  <Paragraphs>133</Paragraphs>
  <ScaleCrop>false</ScaleCrop>
  <Company/>
  <LinksUpToDate>false</LinksUpToDate>
  <CharactersWithSpaces>66977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Mallika Kanyal</dc:creator>
  <cp:keywords/>
  <dc:description/>
  <cp:lastModifiedBy>Mallika Kanyal</cp:lastModifiedBy>
  <cp:revision>1</cp:revision>
  <dcterms:created xsi:type="dcterms:W3CDTF">2026-09-17T13:56:00Z</dcterms:created>
  <dcterms:modified xsi:type="dcterms:W3CDTF">2026-09-17T13:57:00Z</dcterms:modified>
</cp:coreProperties>
</file>