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C92AA" w14:textId="77777777" w:rsidR="00DA073F" w:rsidRPr="004E5056" w:rsidRDefault="00DA073F" w:rsidP="00DA073F">
      <w:pPr>
        <w:rPr>
          <w:rFonts w:ascii="Calibri" w:hAnsi="Calibri" w:cs="Calibri"/>
          <w:b/>
          <w:bCs/>
          <w:lang w:val="en-GB"/>
        </w:rPr>
      </w:pPr>
      <w:r w:rsidRPr="004E5056">
        <w:rPr>
          <w:rFonts w:ascii="Calibri" w:hAnsi="Calibri" w:cs="Calibri"/>
          <w:b/>
          <w:bCs/>
          <w:lang w:val="en-GB"/>
        </w:rPr>
        <w:t xml:space="preserve">Andrew Hall – ‘Published Research’ for inclusion in my UAL Elements Research Profile, </w:t>
      </w:r>
      <w:r>
        <w:rPr>
          <w:rFonts w:ascii="Calibri" w:hAnsi="Calibri" w:cs="Calibri"/>
          <w:b/>
          <w:bCs/>
          <w:lang w:val="en-GB"/>
        </w:rPr>
        <w:t xml:space="preserve">September </w:t>
      </w:r>
      <w:r w:rsidRPr="004E5056">
        <w:rPr>
          <w:rFonts w:ascii="Calibri" w:hAnsi="Calibri" w:cs="Calibri"/>
          <w:b/>
          <w:bCs/>
          <w:lang w:val="en-GB"/>
        </w:rPr>
        <w:t>2026:</w:t>
      </w:r>
    </w:p>
    <w:p w14:paraId="56EE5939" w14:textId="47A6346D" w:rsidR="000A5323" w:rsidRPr="00A52A67" w:rsidRDefault="00DA073F">
      <w:pPr>
        <w:rPr>
          <w:sz w:val="22"/>
          <w:szCs w:val="22"/>
        </w:rPr>
      </w:pPr>
      <w:r w:rsidRPr="00A52A67">
        <w:rPr>
          <w:sz w:val="22"/>
          <w:szCs w:val="22"/>
        </w:rPr>
        <w:t>CONFIA 2026, 13</w:t>
      </w:r>
      <w:r w:rsidRPr="00A52A67">
        <w:rPr>
          <w:sz w:val="22"/>
          <w:szCs w:val="22"/>
          <w:vertAlign w:val="superscript"/>
        </w:rPr>
        <w:t>th</w:t>
      </w:r>
      <w:r w:rsidRPr="00A52A67">
        <w:rPr>
          <w:sz w:val="22"/>
          <w:szCs w:val="22"/>
        </w:rPr>
        <w:t xml:space="preserve"> International Conference on Illustration &amp; Animation, June 25_26, Coimbra, Portugal.</w:t>
      </w:r>
    </w:p>
    <w:p w14:paraId="0B1EA6AA" w14:textId="50426DCF" w:rsidR="00DA073F" w:rsidRPr="00A52A67" w:rsidRDefault="00DA073F">
      <w:pPr>
        <w:rPr>
          <w:sz w:val="22"/>
          <w:szCs w:val="22"/>
        </w:rPr>
      </w:pPr>
      <w:r w:rsidRPr="00A52A67">
        <w:rPr>
          <w:sz w:val="22"/>
          <w:szCs w:val="22"/>
        </w:rPr>
        <w:t xml:space="preserve">‘Image: </w:t>
      </w:r>
      <w:proofErr w:type="spellStart"/>
      <w:r w:rsidRPr="00A52A67">
        <w:rPr>
          <w:sz w:val="22"/>
          <w:szCs w:val="22"/>
        </w:rPr>
        <w:t>Mechanisation</w:t>
      </w:r>
      <w:proofErr w:type="spellEnd"/>
      <w:r w:rsidRPr="00A52A67">
        <w:rPr>
          <w:sz w:val="22"/>
          <w:szCs w:val="22"/>
        </w:rPr>
        <w:t>, Automation &amp; Automated Imaginings’ by Andrew Hall.</w:t>
      </w:r>
    </w:p>
    <w:p w14:paraId="4144D168" w14:textId="77777777" w:rsidR="00A52A67" w:rsidRPr="00A52A67" w:rsidRDefault="00A52A67" w:rsidP="00A52A67">
      <w:pPr>
        <w:rPr>
          <w:rFonts w:ascii="Calibri Light" w:hAnsi="Calibri Light" w:cs="Calibri Light"/>
          <w:b/>
          <w:bCs/>
          <w:sz w:val="22"/>
          <w:szCs w:val="22"/>
          <w:lang w:val="en-GB"/>
        </w:rPr>
      </w:pPr>
      <w:r w:rsidRPr="00A52A67">
        <w:rPr>
          <w:rFonts w:ascii="Calibri Light" w:hAnsi="Calibri Light" w:cs="Calibri Light"/>
          <w:b/>
          <w:bCs/>
          <w:sz w:val="22"/>
          <w:szCs w:val="22"/>
          <w:lang w:val="en-GB"/>
        </w:rPr>
        <w:t>Introductory Paragraph:</w:t>
      </w:r>
    </w:p>
    <w:p w14:paraId="08224852" w14:textId="012375EE" w:rsidR="00A52A67" w:rsidRPr="000D12FC" w:rsidRDefault="00A52A67" w:rsidP="00A52A67">
      <w:pPr>
        <w:rPr>
          <w:rFonts w:ascii="Calibri" w:hAnsi="Calibri" w:cs="Calibri"/>
          <w:sz w:val="22"/>
          <w:szCs w:val="22"/>
          <w:lang w:val="en-GB"/>
        </w:rPr>
      </w:pPr>
      <w:r w:rsidRPr="000D12FC">
        <w:rPr>
          <w:rFonts w:ascii="Calibri" w:hAnsi="Calibri" w:cs="Calibri"/>
          <w:sz w:val="22"/>
          <w:szCs w:val="22"/>
          <w:lang w:val="en-GB"/>
        </w:rPr>
        <w:t xml:space="preserve">In this </w:t>
      </w:r>
      <w:r>
        <w:rPr>
          <w:rFonts w:ascii="Calibri" w:hAnsi="Calibri" w:cs="Calibri"/>
          <w:sz w:val="22"/>
          <w:szCs w:val="22"/>
          <w:lang w:val="en-GB"/>
        </w:rPr>
        <w:t>(illustrated) talk</w:t>
      </w:r>
      <w:r w:rsidRPr="000D12FC">
        <w:rPr>
          <w:rFonts w:ascii="Calibri" w:hAnsi="Calibri" w:cs="Calibri"/>
          <w:sz w:val="22"/>
          <w:szCs w:val="22"/>
          <w:lang w:val="en-GB"/>
        </w:rPr>
        <w:t>, I will trace the intertwined relationship between the commercially oriented image, still and sequential, in relation to analogue and digital technologies central to its production. Travelling from the 18</w:t>
      </w:r>
      <w:r w:rsidRPr="000D12FC">
        <w:rPr>
          <w:rFonts w:ascii="Calibri" w:hAnsi="Calibri" w:cs="Calibri"/>
          <w:sz w:val="22"/>
          <w:szCs w:val="22"/>
          <w:vertAlign w:val="superscript"/>
          <w:lang w:val="en-GB"/>
        </w:rPr>
        <w:t>th</w:t>
      </w:r>
      <w:r w:rsidRPr="000D12FC">
        <w:rPr>
          <w:rFonts w:ascii="Calibri" w:hAnsi="Calibri" w:cs="Calibri"/>
          <w:sz w:val="22"/>
          <w:szCs w:val="22"/>
          <w:lang w:val="en-GB"/>
        </w:rPr>
        <w:t xml:space="preserve"> Century to the 21</w:t>
      </w:r>
      <w:r w:rsidRPr="000D12FC">
        <w:rPr>
          <w:rFonts w:ascii="Calibri" w:hAnsi="Calibri" w:cs="Calibri"/>
          <w:sz w:val="22"/>
          <w:szCs w:val="22"/>
          <w:vertAlign w:val="superscript"/>
          <w:lang w:val="en-GB"/>
        </w:rPr>
        <w:t>st</w:t>
      </w:r>
      <w:r w:rsidRPr="000D12FC">
        <w:rPr>
          <w:rFonts w:ascii="Calibri" w:hAnsi="Calibri" w:cs="Calibri"/>
          <w:sz w:val="22"/>
          <w:szCs w:val="22"/>
          <w:lang w:val="en-GB"/>
        </w:rPr>
        <w:t xml:space="preserve"> Century, and using my recent publication ‘Illustration A Concise History’ as a key reference text, I will discuss the main developments along this chronological trajectory, up to and including our current understanding of automated digital technologies – essentially, can we use our knowledge of the past to negotiate through the many challenges and potential confusion caused by the ‘tech’ push into artificial intelligence and generative software for</w:t>
      </w:r>
      <w:r>
        <w:rPr>
          <w:rFonts w:ascii="Calibri" w:hAnsi="Calibri" w:cs="Calibri"/>
          <w:sz w:val="22"/>
          <w:szCs w:val="22"/>
          <w:lang w:val="en-GB"/>
        </w:rPr>
        <w:t xml:space="preserve"> future</w:t>
      </w:r>
      <w:r w:rsidRPr="000D12FC">
        <w:rPr>
          <w:rFonts w:ascii="Calibri" w:hAnsi="Calibri" w:cs="Calibri"/>
          <w:sz w:val="22"/>
          <w:szCs w:val="22"/>
          <w:lang w:val="en-GB"/>
        </w:rPr>
        <w:t xml:space="preserve"> image production?</w:t>
      </w:r>
    </w:p>
    <w:p w14:paraId="263D147C" w14:textId="77777777" w:rsidR="00A52A67" w:rsidRPr="000D12FC" w:rsidRDefault="00A52A67" w:rsidP="00A52A67">
      <w:pPr>
        <w:rPr>
          <w:rFonts w:ascii="Calibri Light" w:hAnsi="Calibri Light" w:cs="Calibri Light"/>
          <w:b/>
          <w:bCs/>
          <w:sz w:val="22"/>
          <w:szCs w:val="22"/>
          <w:lang w:val="en-GB"/>
        </w:rPr>
      </w:pPr>
      <w:r w:rsidRPr="000D12FC">
        <w:rPr>
          <w:rFonts w:ascii="Calibri Light" w:hAnsi="Calibri Light" w:cs="Calibri Light"/>
          <w:b/>
          <w:bCs/>
          <w:sz w:val="22"/>
          <w:szCs w:val="22"/>
          <w:lang w:val="en-GB"/>
        </w:rPr>
        <w:t>Main Content:</w:t>
      </w:r>
    </w:p>
    <w:p w14:paraId="10479059" w14:textId="77777777" w:rsidR="00A52A67" w:rsidRPr="000D12FC" w:rsidRDefault="00A52A67" w:rsidP="00A52A67">
      <w:pPr>
        <w:rPr>
          <w:rFonts w:ascii="Calibri" w:hAnsi="Calibri" w:cs="Calibri"/>
          <w:sz w:val="22"/>
          <w:szCs w:val="22"/>
          <w:lang w:val="en-GB"/>
        </w:rPr>
      </w:pPr>
      <w:r w:rsidRPr="000D12FC">
        <w:rPr>
          <w:rFonts w:ascii="Calibri" w:hAnsi="Calibri" w:cs="Calibri"/>
          <w:sz w:val="22"/>
          <w:szCs w:val="22"/>
          <w:lang w:val="en-GB"/>
        </w:rPr>
        <w:t>This narrative begins with the rise of the ‘Macaroni’ influenced commercial satirists</w:t>
      </w:r>
      <w:r>
        <w:rPr>
          <w:rFonts w:ascii="Calibri" w:hAnsi="Calibri" w:cs="Calibri"/>
          <w:sz w:val="22"/>
          <w:szCs w:val="22"/>
          <w:lang w:val="en-GB"/>
        </w:rPr>
        <w:t>,</w:t>
      </w:r>
      <w:r w:rsidRPr="000D12FC">
        <w:rPr>
          <w:rFonts w:ascii="Calibri" w:hAnsi="Calibri" w:cs="Calibri"/>
          <w:sz w:val="22"/>
          <w:szCs w:val="22"/>
          <w:lang w:val="en-GB"/>
        </w:rPr>
        <w:t xml:space="preserve"> who flourished in Great Britain due to their formidable artistic skills, as well as very limited libel laws in the country at that time. Drawing, etching, hand-colouring, coupled with commercial agent representation and distribution, were all interconnected areas of this market. The agents sold the work at volume, and cheaply, in London print shops to the middle classes. Focused on the lampooning of public figures, notably politicians, and incorporating visual exaggeration, the grotesque, anthropomorphism and Surreal visual juxtapositions, with image and text combined, this popular genre also foreshadowed the development of the comic genre. This bubbling, at volume, of an appetite for art for the home by the middle classes, and at affordable prices, can also be seen in the Ukiyo-e genre in Japan at around the same time – 4-colour woodblock prints, depicting in this case the pleasures of life, and created in what still seems a startlingly modern graphic style.</w:t>
      </w:r>
    </w:p>
    <w:p w14:paraId="24795BC2" w14:textId="77777777" w:rsidR="00A52A67" w:rsidRPr="000D12FC" w:rsidRDefault="00A52A67" w:rsidP="00A52A67">
      <w:pPr>
        <w:rPr>
          <w:rFonts w:ascii="Calibri" w:hAnsi="Calibri" w:cs="Calibri"/>
          <w:sz w:val="22"/>
          <w:szCs w:val="22"/>
          <w:lang w:val="en-GB"/>
        </w:rPr>
      </w:pPr>
      <w:r w:rsidRPr="000D12FC">
        <w:rPr>
          <w:rFonts w:ascii="Calibri" w:hAnsi="Calibri" w:cs="Calibri"/>
          <w:sz w:val="22"/>
          <w:szCs w:val="22"/>
          <w:lang w:val="en-GB"/>
        </w:rPr>
        <w:t xml:space="preserve">The narrative then moves to the start of the mass-industrialisation of manufacturing processes, transportation systems and the ‘new media’. With major advances in print technology, paper production, and transport systems via the railways, coupled with an explosion in mass-literacy, the printing of illustrated newspapers and journals </w:t>
      </w:r>
      <w:r>
        <w:rPr>
          <w:rFonts w:ascii="Calibri" w:hAnsi="Calibri" w:cs="Calibri"/>
          <w:sz w:val="22"/>
          <w:szCs w:val="22"/>
          <w:lang w:val="en-GB"/>
        </w:rPr>
        <w:t>flourished</w:t>
      </w:r>
      <w:r w:rsidRPr="000D12FC">
        <w:rPr>
          <w:rFonts w:ascii="Calibri" w:hAnsi="Calibri" w:cs="Calibri"/>
          <w:sz w:val="22"/>
          <w:szCs w:val="22"/>
          <w:lang w:val="en-GB"/>
        </w:rPr>
        <w:t xml:space="preserve">, with speedy production and distribution to their intended audiences, and establishing a commercial model of editorial content funded by advertising revenue. While illustrators forged strong working relationships with daily, weekly and monthly publications, as did writers such as Charles Dickens, their focus also turned to mass poverty and deprivation, caused by urban populations migrating to cities. Alongside Dickens, who became </w:t>
      </w:r>
      <w:r>
        <w:rPr>
          <w:rFonts w:ascii="Calibri" w:hAnsi="Calibri" w:cs="Calibri"/>
          <w:sz w:val="22"/>
          <w:szCs w:val="22"/>
          <w:lang w:val="en-GB"/>
        </w:rPr>
        <w:t xml:space="preserve">a </w:t>
      </w:r>
      <w:r w:rsidRPr="000D12FC">
        <w:rPr>
          <w:rFonts w:ascii="Calibri" w:hAnsi="Calibri" w:cs="Calibri"/>
          <w:sz w:val="22"/>
          <w:szCs w:val="22"/>
          <w:lang w:val="en-GB"/>
        </w:rPr>
        <w:t>central figure in the fight for international copyright laws, Doré and Jerrold engaged in a 3-year illustrated project recording the ‘</w:t>
      </w:r>
      <w:r>
        <w:rPr>
          <w:rFonts w:ascii="Calibri" w:hAnsi="Calibri" w:cs="Calibri"/>
          <w:sz w:val="22"/>
          <w:szCs w:val="22"/>
          <w:lang w:val="en-GB"/>
        </w:rPr>
        <w:t>highs</w:t>
      </w:r>
      <w:r w:rsidRPr="000D12FC">
        <w:rPr>
          <w:rFonts w:ascii="Calibri" w:hAnsi="Calibri" w:cs="Calibri"/>
          <w:sz w:val="22"/>
          <w:szCs w:val="22"/>
          <w:lang w:val="en-GB"/>
        </w:rPr>
        <w:t xml:space="preserve">’ and ‘lows’ of London, titled ‘London A Pilgrimage’. </w:t>
      </w:r>
    </w:p>
    <w:p w14:paraId="5EC1E882" w14:textId="77777777" w:rsidR="00A52A67" w:rsidRPr="000D12FC" w:rsidRDefault="00A52A67" w:rsidP="00A52A67">
      <w:pPr>
        <w:rPr>
          <w:rFonts w:ascii="Calibri" w:hAnsi="Calibri" w:cs="Calibri"/>
          <w:sz w:val="22"/>
          <w:szCs w:val="22"/>
          <w:lang w:val="en-GB"/>
        </w:rPr>
      </w:pPr>
      <w:r w:rsidRPr="000D12FC">
        <w:rPr>
          <w:rFonts w:ascii="Calibri" w:hAnsi="Calibri" w:cs="Calibri"/>
          <w:sz w:val="22"/>
          <w:szCs w:val="22"/>
          <w:lang w:val="en-GB"/>
        </w:rPr>
        <w:t xml:space="preserve">With the advent of colour lithography, illustrators and artists worked on commercial advertising projects, blossoming in Paris where street posters were allowed, before the start of the two world wars, with a </w:t>
      </w:r>
      <w:r w:rsidRPr="000D12FC">
        <w:rPr>
          <w:rFonts w:ascii="Calibri" w:hAnsi="Calibri" w:cs="Calibri"/>
          <w:sz w:val="22"/>
          <w:szCs w:val="22"/>
          <w:lang w:val="en-GB"/>
        </w:rPr>
        <w:lastRenderedPageBreak/>
        <w:t xml:space="preserve">period of deep unease in-between. Governments and political parties employed illustrators to promote </w:t>
      </w:r>
      <w:r>
        <w:rPr>
          <w:rFonts w:ascii="Calibri" w:hAnsi="Calibri" w:cs="Calibri"/>
          <w:sz w:val="22"/>
          <w:szCs w:val="22"/>
          <w:lang w:val="en-GB"/>
        </w:rPr>
        <w:t>certain</w:t>
      </w:r>
      <w:r w:rsidRPr="000D12FC">
        <w:rPr>
          <w:rFonts w:ascii="Calibri" w:hAnsi="Calibri" w:cs="Calibri"/>
          <w:sz w:val="22"/>
          <w:szCs w:val="22"/>
          <w:lang w:val="en-GB"/>
        </w:rPr>
        <w:t xml:space="preserve"> ideas and directives – wartime recruitment, propaganda, codes of behaviour in wartime, sustainability and self-reliance, and national optimism that one’s own country would emerge victorious. The image itself travelled far beyond early advertising models depicting a product - illustrators, who also worked with type, created intellectually playful and visually complex messages to communicate ideas that could be understood by their intended audience in mere seconds. In both world wars technology advanced at lightning speed, the most dramatic and tragic being the atom bombs dropped on Hiroshima and Nagasaki. The stage was now set for the post-war years.</w:t>
      </w:r>
    </w:p>
    <w:p w14:paraId="5001A48F" w14:textId="77777777" w:rsidR="00A52A67" w:rsidRPr="000D12FC" w:rsidRDefault="00A52A67" w:rsidP="00A52A67">
      <w:pPr>
        <w:rPr>
          <w:rFonts w:ascii="Calibri" w:hAnsi="Calibri" w:cs="Calibri"/>
          <w:sz w:val="22"/>
          <w:szCs w:val="22"/>
          <w:lang w:val="en-GB"/>
        </w:rPr>
      </w:pPr>
      <w:r w:rsidRPr="000D12FC">
        <w:rPr>
          <w:rFonts w:ascii="Calibri" w:hAnsi="Calibri" w:cs="Calibri"/>
          <w:sz w:val="22"/>
          <w:szCs w:val="22"/>
          <w:lang w:val="en-GB"/>
        </w:rPr>
        <w:t>In this era, the image splintered into two separate directions – commercial sector illustrators worked in advertising agencies, helping sell the ‘dream’ that the ownership of certain objects – houses, cars, hoovers, fridges – as well as</w:t>
      </w:r>
      <w:r>
        <w:rPr>
          <w:rFonts w:ascii="Calibri" w:hAnsi="Calibri" w:cs="Calibri"/>
          <w:sz w:val="22"/>
          <w:szCs w:val="22"/>
          <w:lang w:val="en-GB"/>
        </w:rPr>
        <w:t xml:space="preserve"> branded</w:t>
      </w:r>
      <w:r w:rsidRPr="000D12FC">
        <w:rPr>
          <w:rFonts w:ascii="Calibri" w:hAnsi="Calibri" w:cs="Calibri"/>
          <w:sz w:val="22"/>
          <w:szCs w:val="22"/>
          <w:lang w:val="en-GB"/>
        </w:rPr>
        <w:t xml:space="preserve"> food and drink products – would deliver happiness and a sense of achievement in a strictly-defined social hierarchy</w:t>
      </w:r>
      <w:r>
        <w:rPr>
          <w:rFonts w:ascii="Calibri" w:hAnsi="Calibri" w:cs="Calibri"/>
          <w:sz w:val="22"/>
          <w:szCs w:val="22"/>
          <w:lang w:val="en-GB"/>
        </w:rPr>
        <w:t xml:space="preserve">. </w:t>
      </w:r>
      <w:r w:rsidRPr="000D12FC">
        <w:rPr>
          <w:rFonts w:ascii="Calibri" w:hAnsi="Calibri" w:cs="Calibri"/>
          <w:sz w:val="22"/>
          <w:szCs w:val="22"/>
          <w:lang w:val="en-GB"/>
        </w:rPr>
        <w:t xml:space="preserve">On the other hand, Counter-Culture illustrators rejected the model to conform to consumerism, </w:t>
      </w:r>
      <w:r>
        <w:rPr>
          <w:rFonts w:ascii="Calibri" w:hAnsi="Calibri" w:cs="Calibri"/>
          <w:sz w:val="22"/>
          <w:szCs w:val="22"/>
          <w:lang w:val="en-GB"/>
        </w:rPr>
        <w:t>using</w:t>
      </w:r>
      <w:r w:rsidRPr="000D12FC">
        <w:rPr>
          <w:rFonts w:ascii="Calibri" w:hAnsi="Calibri" w:cs="Calibri"/>
          <w:sz w:val="22"/>
          <w:szCs w:val="22"/>
          <w:lang w:val="en-GB"/>
        </w:rPr>
        <w:t xml:space="preserve"> Art Nouveau influences, coupled with screen-printing technologies, to build a ‘psychedelic’ visual language promoting rock concerts, fashions, films and records, </w:t>
      </w:r>
      <w:r>
        <w:rPr>
          <w:rFonts w:ascii="Calibri" w:hAnsi="Calibri" w:cs="Calibri"/>
          <w:sz w:val="22"/>
          <w:szCs w:val="22"/>
          <w:lang w:val="en-GB"/>
        </w:rPr>
        <w:t>essentially</w:t>
      </w:r>
      <w:r w:rsidRPr="000D12FC">
        <w:rPr>
          <w:rFonts w:ascii="Calibri" w:hAnsi="Calibri" w:cs="Calibri"/>
          <w:sz w:val="22"/>
          <w:szCs w:val="22"/>
          <w:lang w:val="en-GB"/>
        </w:rPr>
        <w:t xml:space="preserve"> a set of tribal symbols that rejected the aspirations of the dominant social group. With Hollywood also offering illustrators and animators new areas of work, including Walt Disney’s feature-length animations, this era culminated in the stunning technical achievement of the Apollo 11 moon landing in 1969. </w:t>
      </w:r>
    </w:p>
    <w:p w14:paraId="6A12D9EA" w14:textId="77777777" w:rsidR="00A52A67" w:rsidRPr="000D12FC" w:rsidRDefault="00A52A67" w:rsidP="00A52A67">
      <w:pPr>
        <w:rPr>
          <w:rFonts w:ascii="Calibri" w:hAnsi="Calibri" w:cs="Calibri"/>
          <w:sz w:val="22"/>
          <w:szCs w:val="22"/>
          <w:lang w:val="en-GB"/>
        </w:rPr>
      </w:pPr>
      <w:r w:rsidRPr="000D12FC">
        <w:rPr>
          <w:rFonts w:ascii="Calibri" w:hAnsi="Calibri" w:cs="Calibri"/>
          <w:sz w:val="22"/>
          <w:szCs w:val="22"/>
          <w:lang w:val="en-GB"/>
        </w:rPr>
        <w:t xml:space="preserve">From the 1970’s onwards, The Information Age began, driven by further technological advances – the Apple Mac, the home printer and the Internet came into the mainstream, facilitating the democratisation of the illustration marketplace, with digital paint packages and early Photoshop models </w:t>
      </w:r>
      <w:r>
        <w:rPr>
          <w:rFonts w:ascii="Calibri" w:hAnsi="Calibri" w:cs="Calibri"/>
          <w:sz w:val="22"/>
          <w:szCs w:val="22"/>
          <w:lang w:val="en-GB"/>
        </w:rPr>
        <w:t>facilitating a new ‘</w:t>
      </w:r>
      <w:r w:rsidRPr="000D12FC">
        <w:rPr>
          <w:rFonts w:ascii="Calibri" w:hAnsi="Calibri" w:cs="Calibri"/>
          <w:sz w:val="22"/>
          <w:szCs w:val="22"/>
          <w:lang w:val="en-GB"/>
        </w:rPr>
        <w:t>Cookie Cutter</w:t>
      </w:r>
      <w:r>
        <w:rPr>
          <w:rFonts w:ascii="Calibri" w:hAnsi="Calibri" w:cs="Calibri"/>
          <w:sz w:val="22"/>
          <w:szCs w:val="22"/>
          <w:lang w:val="en-GB"/>
        </w:rPr>
        <w:t>’</w:t>
      </w:r>
      <w:r w:rsidRPr="000D12FC">
        <w:rPr>
          <w:rFonts w:ascii="Calibri" w:hAnsi="Calibri" w:cs="Calibri"/>
          <w:sz w:val="22"/>
          <w:szCs w:val="22"/>
          <w:lang w:val="en-GB"/>
        </w:rPr>
        <w:t xml:space="preserve"> art. Technology again focused on speed – the illustrator would send artwork via the Internet, rather than by courier. The tech marketplace made rapid advances – Apple, Microsoft, Adobe, Google, began to build their financial empires, with Google adopting the established model of editorial content funded by advertising revenue to startling effect. A positive was that illustrators could advertise their product for minimal cost, internationally, and 24/7. And while David Carson predicted ‘The End of Print’, a fusion of analogue and digital image creation technologies </w:t>
      </w:r>
      <w:r>
        <w:rPr>
          <w:rFonts w:ascii="Calibri" w:hAnsi="Calibri" w:cs="Calibri"/>
          <w:sz w:val="22"/>
          <w:szCs w:val="22"/>
          <w:lang w:val="en-GB"/>
        </w:rPr>
        <w:t>emerged as</w:t>
      </w:r>
      <w:r w:rsidRPr="000D12FC">
        <w:rPr>
          <w:rFonts w:ascii="Calibri" w:hAnsi="Calibri" w:cs="Calibri"/>
          <w:sz w:val="22"/>
          <w:szCs w:val="22"/>
          <w:lang w:val="en-GB"/>
        </w:rPr>
        <w:t xml:space="preserve"> a new form, the ‘phygital’ artwork. And deep in the background, largely hidden from public scrutiny, AI technology was in its early development phase. </w:t>
      </w:r>
    </w:p>
    <w:p w14:paraId="703EC949" w14:textId="77777777" w:rsidR="00A52A67" w:rsidRDefault="00A52A67" w:rsidP="00A52A67">
      <w:pPr>
        <w:rPr>
          <w:rFonts w:ascii="Calibri" w:hAnsi="Calibri" w:cs="Calibri"/>
          <w:sz w:val="22"/>
          <w:szCs w:val="22"/>
          <w:lang w:val="en-GB"/>
        </w:rPr>
      </w:pPr>
      <w:r w:rsidRPr="000D12FC">
        <w:rPr>
          <w:rFonts w:ascii="Calibri" w:hAnsi="Calibri" w:cs="Calibri"/>
          <w:sz w:val="22"/>
          <w:szCs w:val="22"/>
          <w:lang w:val="en-GB"/>
        </w:rPr>
        <w:t xml:space="preserve">From the 2000’s onwards, AI slowly crept into our lives. The billions created by the 1980’s tech pioneers now became channelled into the development of AI on an industrial scale – if one could pump enough money into this sector, one could find the sweet spot </w:t>
      </w:r>
      <w:r>
        <w:rPr>
          <w:rFonts w:ascii="Calibri" w:hAnsi="Calibri" w:cs="Calibri"/>
          <w:sz w:val="22"/>
          <w:szCs w:val="22"/>
          <w:lang w:val="en-GB"/>
        </w:rPr>
        <w:t xml:space="preserve">along </w:t>
      </w:r>
      <w:r w:rsidRPr="000D12FC">
        <w:rPr>
          <w:rFonts w:ascii="Calibri" w:hAnsi="Calibri" w:cs="Calibri"/>
          <w:sz w:val="22"/>
          <w:szCs w:val="22"/>
          <w:lang w:val="en-GB"/>
        </w:rPr>
        <w:t xml:space="preserve">the </w:t>
      </w:r>
      <w:r>
        <w:rPr>
          <w:rFonts w:ascii="Calibri" w:hAnsi="Calibri" w:cs="Calibri"/>
          <w:sz w:val="22"/>
          <w:szCs w:val="22"/>
          <w:lang w:val="en-GB"/>
        </w:rPr>
        <w:t>‘The Law of Accelerating Returns’</w:t>
      </w:r>
      <w:r w:rsidRPr="000D12FC">
        <w:rPr>
          <w:rFonts w:ascii="Calibri" w:hAnsi="Calibri" w:cs="Calibri"/>
          <w:sz w:val="22"/>
          <w:szCs w:val="22"/>
          <w:lang w:val="en-GB"/>
        </w:rPr>
        <w:t xml:space="preserve">, and one could literally ‘own’ the future.  Within the creation of ‘image’, ‘automated imagining’ software is now available, relying on ‘data lakes’ that include copyright material - coupled with national government-level dithering on </w:t>
      </w:r>
      <w:r>
        <w:rPr>
          <w:rFonts w:ascii="Calibri" w:hAnsi="Calibri" w:cs="Calibri"/>
          <w:sz w:val="22"/>
          <w:szCs w:val="22"/>
          <w:lang w:val="en-GB"/>
        </w:rPr>
        <w:t>applying legislation</w:t>
      </w:r>
      <w:r w:rsidRPr="000D12FC">
        <w:rPr>
          <w:rFonts w:ascii="Calibri" w:hAnsi="Calibri" w:cs="Calibri"/>
          <w:sz w:val="22"/>
          <w:szCs w:val="22"/>
          <w:lang w:val="en-GB"/>
        </w:rPr>
        <w:t xml:space="preserve"> for ‘fear of missing out’, a situation has occur</w:t>
      </w:r>
      <w:r>
        <w:rPr>
          <w:rFonts w:ascii="Calibri" w:hAnsi="Calibri" w:cs="Calibri"/>
          <w:sz w:val="22"/>
          <w:szCs w:val="22"/>
          <w:lang w:val="en-GB"/>
        </w:rPr>
        <w:t>r</w:t>
      </w:r>
      <w:r w:rsidRPr="000D12FC">
        <w:rPr>
          <w:rFonts w:ascii="Calibri" w:hAnsi="Calibri" w:cs="Calibri"/>
          <w:sz w:val="22"/>
          <w:szCs w:val="22"/>
          <w:lang w:val="en-GB"/>
        </w:rPr>
        <w:t xml:space="preserve">ed where individual ownership of creative outputs is under threat – with image-focussed creators </w:t>
      </w:r>
      <w:r>
        <w:rPr>
          <w:rFonts w:ascii="Calibri" w:hAnsi="Calibri" w:cs="Calibri"/>
          <w:sz w:val="22"/>
          <w:szCs w:val="22"/>
          <w:lang w:val="en-GB"/>
        </w:rPr>
        <w:t>in the firing line</w:t>
      </w:r>
      <w:r w:rsidRPr="000D12FC">
        <w:rPr>
          <w:rFonts w:ascii="Calibri" w:hAnsi="Calibri" w:cs="Calibri"/>
          <w:sz w:val="22"/>
          <w:szCs w:val="22"/>
          <w:lang w:val="en-GB"/>
        </w:rPr>
        <w:t xml:space="preserve">, they must now consider how to manoeuvre a course that neither rejects entirely, </w:t>
      </w:r>
      <w:r>
        <w:rPr>
          <w:rFonts w:ascii="Calibri" w:hAnsi="Calibri" w:cs="Calibri"/>
          <w:sz w:val="22"/>
          <w:szCs w:val="22"/>
          <w:lang w:val="en-GB"/>
        </w:rPr>
        <w:t>n</w:t>
      </w:r>
      <w:r w:rsidRPr="000D12FC">
        <w:rPr>
          <w:rFonts w:ascii="Calibri" w:hAnsi="Calibri" w:cs="Calibri"/>
          <w:sz w:val="22"/>
          <w:szCs w:val="22"/>
          <w:lang w:val="en-GB"/>
        </w:rPr>
        <w:t>or buckles entirely, to the new AI image software packages, but plots a pathway</w:t>
      </w:r>
      <w:r>
        <w:rPr>
          <w:rFonts w:ascii="Calibri" w:hAnsi="Calibri" w:cs="Calibri"/>
          <w:sz w:val="22"/>
          <w:szCs w:val="22"/>
          <w:lang w:val="en-GB"/>
        </w:rPr>
        <w:t xml:space="preserve"> with and</w:t>
      </w:r>
      <w:r w:rsidRPr="000D12FC">
        <w:rPr>
          <w:rFonts w:ascii="Calibri" w:hAnsi="Calibri" w:cs="Calibri"/>
          <w:sz w:val="22"/>
          <w:szCs w:val="22"/>
          <w:lang w:val="en-GB"/>
        </w:rPr>
        <w:t xml:space="preserve"> through them… </w:t>
      </w:r>
    </w:p>
    <w:p w14:paraId="5D267B69" w14:textId="486FE6E1" w:rsidR="00DA073F" w:rsidRPr="00A52A67" w:rsidRDefault="00A52A67">
      <w:pPr>
        <w:rPr>
          <w:rFonts w:ascii="Calibri" w:hAnsi="Calibri" w:cs="Calibri"/>
          <w:sz w:val="22"/>
          <w:szCs w:val="22"/>
          <w:lang w:val="en-GB"/>
        </w:rPr>
      </w:pPr>
      <w:r w:rsidRPr="00ED227F">
        <w:rPr>
          <w:sz w:val="18"/>
          <w:szCs w:val="18"/>
          <w:lang w:val="en-GB"/>
        </w:rPr>
        <w:t>Andrew Hall</w:t>
      </w:r>
      <w:r>
        <w:rPr>
          <w:sz w:val="18"/>
          <w:szCs w:val="18"/>
          <w:lang w:val="en-GB"/>
        </w:rPr>
        <w:t xml:space="preserve"> </w:t>
      </w:r>
      <w:r>
        <w:rPr>
          <w:rFonts w:ascii="Aptos" w:hAnsi="Aptos"/>
          <w:sz w:val="18"/>
          <w:szCs w:val="18"/>
          <w:lang w:val="en-GB"/>
        </w:rPr>
        <w:t>©</w:t>
      </w:r>
      <w:r>
        <w:rPr>
          <w:sz w:val="18"/>
          <w:szCs w:val="18"/>
          <w:lang w:val="en-GB"/>
        </w:rPr>
        <w:t xml:space="preserve"> </w:t>
      </w:r>
      <w:r w:rsidRPr="00ED227F">
        <w:rPr>
          <w:sz w:val="18"/>
          <w:szCs w:val="18"/>
          <w:lang w:val="en-GB"/>
        </w:rPr>
        <w:t>2026.</w:t>
      </w:r>
    </w:p>
    <w:sectPr w:rsidR="00DA073F" w:rsidRPr="00A52A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73F"/>
    <w:rsid w:val="000A5323"/>
    <w:rsid w:val="00A52A67"/>
    <w:rsid w:val="00AB0A17"/>
    <w:rsid w:val="00BC0B6D"/>
    <w:rsid w:val="00BF683A"/>
    <w:rsid w:val="00DA073F"/>
    <w:rsid w:val="00DA1512"/>
    <w:rsid w:val="00FB2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C8E0A4"/>
  <w15:chartTrackingRefBased/>
  <w15:docId w15:val="{B52E9490-E388-F04D-9D71-85611045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73F"/>
  </w:style>
  <w:style w:type="paragraph" w:styleId="Heading1">
    <w:name w:val="heading 1"/>
    <w:basedOn w:val="Normal"/>
    <w:next w:val="Normal"/>
    <w:link w:val="Heading1Char"/>
    <w:uiPriority w:val="9"/>
    <w:qFormat/>
    <w:rsid w:val="00DA07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7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7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7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7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7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7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7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7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7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7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7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7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7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73F"/>
    <w:rPr>
      <w:rFonts w:eastAsiaTheme="majorEastAsia" w:cstheme="majorBidi"/>
      <w:color w:val="272727" w:themeColor="text1" w:themeTint="D8"/>
    </w:rPr>
  </w:style>
  <w:style w:type="paragraph" w:styleId="Title">
    <w:name w:val="Title"/>
    <w:basedOn w:val="Normal"/>
    <w:next w:val="Normal"/>
    <w:link w:val="TitleChar"/>
    <w:uiPriority w:val="10"/>
    <w:qFormat/>
    <w:rsid w:val="00DA07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7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73F"/>
    <w:pPr>
      <w:spacing w:before="160"/>
      <w:jc w:val="center"/>
    </w:pPr>
    <w:rPr>
      <w:i/>
      <w:iCs/>
      <w:color w:val="404040" w:themeColor="text1" w:themeTint="BF"/>
    </w:rPr>
  </w:style>
  <w:style w:type="character" w:customStyle="1" w:styleId="QuoteChar">
    <w:name w:val="Quote Char"/>
    <w:basedOn w:val="DefaultParagraphFont"/>
    <w:link w:val="Quote"/>
    <w:uiPriority w:val="29"/>
    <w:rsid w:val="00DA073F"/>
    <w:rPr>
      <w:i/>
      <w:iCs/>
      <w:color w:val="404040" w:themeColor="text1" w:themeTint="BF"/>
    </w:rPr>
  </w:style>
  <w:style w:type="paragraph" w:styleId="ListParagraph">
    <w:name w:val="List Paragraph"/>
    <w:basedOn w:val="Normal"/>
    <w:uiPriority w:val="34"/>
    <w:qFormat/>
    <w:rsid w:val="00DA073F"/>
    <w:pPr>
      <w:ind w:left="720"/>
      <w:contextualSpacing/>
    </w:pPr>
  </w:style>
  <w:style w:type="character" w:styleId="IntenseEmphasis">
    <w:name w:val="Intense Emphasis"/>
    <w:basedOn w:val="DefaultParagraphFont"/>
    <w:uiPriority w:val="21"/>
    <w:qFormat/>
    <w:rsid w:val="00DA073F"/>
    <w:rPr>
      <w:i/>
      <w:iCs/>
      <w:color w:val="0F4761" w:themeColor="accent1" w:themeShade="BF"/>
    </w:rPr>
  </w:style>
  <w:style w:type="paragraph" w:styleId="IntenseQuote">
    <w:name w:val="Intense Quote"/>
    <w:basedOn w:val="Normal"/>
    <w:next w:val="Normal"/>
    <w:link w:val="IntenseQuoteChar"/>
    <w:uiPriority w:val="30"/>
    <w:qFormat/>
    <w:rsid w:val="00DA07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73F"/>
    <w:rPr>
      <w:i/>
      <w:iCs/>
      <w:color w:val="0F4761" w:themeColor="accent1" w:themeShade="BF"/>
    </w:rPr>
  </w:style>
  <w:style w:type="character" w:styleId="IntenseReference">
    <w:name w:val="Intense Reference"/>
    <w:basedOn w:val="DefaultParagraphFont"/>
    <w:uiPriority w:val="32"/>
    <w:qFormat/>
    <w:rsid w:val="00DA07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1044</Words>
  <Characters>5952</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Hall</dc:creator>
  <cp:keywords/>
  <dc:description/>
  <cp:lastModifiedBy>Andrew Hall</cp:lastModifiedBy>
  <cp:revision>2</cp:revision>
  <dcterms:created xsi:type="dcterms:W3CDTF">2026-09-16T11:42:00Z</dcterms:created>
  <dcterms:modified xsi:type="dcterms:W3CDTF">2026-09-16T11:42:00Z</dcterms:modified>
</cp:coreProperties>
</file>