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4BBE2" w14:textId="77777777" w:rsidR="006E0C9F" w:rsidRDefault="006E0C9F"/>
    <w:tbl>
      <w:tblPr>
        <w:tblStyle w:val="TableGrid"/>
        <w:tblW w:w="9478" w:type="dxa"/>
        <w:tblLook w:val="04A0" w:firstRow="1" w:lastRow="0" w:firstColumn="1" w:lastColumn="0" w:noHBand="0" w:noVBand="1"/>
      </w:tblPr>
      <w:tblGrid>
        <w:gridCol w:w="2471"/>
        <w:gridCol w:w="1701"/>
        <w:gridCol w:w="1842"/>
        <w:gridCol w:w="1767"/>
        <w:gridCol w:w="1697"/>
      </w:tblGrid>
      <w:tr w:rsidR="003A5980" w14:paraId="41216955" w14:textId="77777777" w:rsidTr="005564C1">
        <w:tc>
          <w:tcPr>
            <w:tcW w:w="9478" w:type="dxa"/>
            <w:gridSpan w:val="5"/>
            <w:tcBorders>
              <w:top w:val="single" w:sz="2" w:space="0" w:color="auto"/>
              <w:left w:val="single" w:sz="2" w:space="0" w:color="auto"/>
              <w:right w:val="single" w:sz="2" w:space="0" w:color="auto"/>
            </w:tcBorders>
          </w:tcPr>
          <w:p w14:paraId="44C8A8AA" w14:textId="77777777" w:rsidR="003A5980" w:rsidRPr="005A3FC7" w:rsidRDefault="003A5980" w:rsidP="003A5980">
            <w:pPr>
              <w:pStyle w:val="Heading1"/>
              <w:spacing w:before="0"/>
              <w:jc w:val="center"/>
              <w:outlineLvl w:val="0"/>
              <w:rPr>
                <w:rFonts w:asciiTheme="minorHAnsi" w:hAnsiTheme="minorHAnsi" w:cs="Helvetica"/>
                <w:color w:val="auto"/>
                <w:sz w:val="20"/>
                <w:szCs w:val="20"/>
              </w:rPr>
            </w:pPr>
          </w:p>
          <w:p w14:paraId="2102FAF9" w14:textId="77777777" w:rsidR="006E0C9F" w:rsidRPr="005A3FC7" w:rsidRDefault="006E0C9F" w:rsidP="006E0C9F">
            <w:pPr>
              <w:pStyle w:val="Heading1"/>
              <w:spacing w:before="0"/>
              <w:jc w:val="center"/>
              <w:outlineLvl w:val="0"/>
              <w:rPr>
                <w:rFonts w:asciiTheme="minorHAnsi" w:hAnsiTheme="minorHAnsi" w:cs="Arial"/>
                <w:color w:val="auto"/>
                <w:sz w:val="20"/>
                <w:szCs w:val="20"/>
              </w:rPr>
            </w:pPr>
            <w:r w:rsidRPr="005A3FC7">
              <w:rPr>
                <w:rFonts w:asciiTheme="minorHAnsi" w:hAnsiTheme="minorHAnsi" w:cs="Arial"/>
                <w:color w:val="auto"/>
                <w:sz w:val="20"/>
                <w:szCs w:val="20"/>
              </w:rPr>
              <w:t>Crossing Borders: Enhancing Teaching and Learning at UAL</w:t>
            </w:r>
          </w:p>
          <w:p w14:paraId="0A62E9F1" w14:textId="77777777" w:rsidR="006E0C9F" w:rsidRPr="005A3FC7" w:rsidRDefault="006E0C9F" w:rsidP="006E0C9F">
            <w:pPr>
              <w:pStyle w:val="Heading1"/>
              <w:spacing w:before="0"/>
              <w:jc w:val="center"/>
              <w:outlineLvl w:val="0"/>
              <w:rPr>
                <w:rFonts w:asciiTheme="minorHAnsi" w:hAnsiTheme="minorHAnsi" w:cs="Arial"/>
                <w:b w:val="0"/>
                <w:color w:val="auto"/>
                <w:sz w:val="20"/>
                <w:szCs w:val="20"/>
              </w:rPr>
            </w:pPr>
            <w:r w:rsidRPr="005A3FC7">
              <w:rPr>
                <w:rFonts w:asciiTheme="minorHAnsi" w:hAnsiTheme="minorHAnsi" w:cs="Arial"/>
                <w:b w:val="0"/>
                <w:color w:val="auto"/>
                <w:sz w:val="20"/>
                <w:szCs w:val="20"/>
              </w:rPr>
              <w:t>UAL’s annual Learning and Teaching Conference 2014</w:t>
            </w:r>
          </w:p>
          <w:p w14:paraId="0FB580F8" w14:textId="77777777" w:rsidR="003A5980" w:rsidRPr="005A3FC7" w:rsidRDefault="003A5980" w:rsidP="00F43F5D">
            <w:pPr>
              <w:rPr>
                <w:sz w:val="20"/>
                <w:szCs w:val="20"/>
              </w:rPr>
            </w:pPr>
          </w:p>
        </w:tc>
      </w:tr>
      <w:tr w:rsidR="003A5980" w14:paraId="751B85D3" w14:textId="77777777" w:rsidTr="005564C1">
        <w:tc>
          <w:tcPr>
            <w:tcW w:w="2471" w:type="dxa"/>
            <w:tcBorders>
              <w:top w:val="single" w:sz="2" w:space="0" w:color="auto"/>
              <w:left w:val="single" w:sz="2" w:space="0" w:color="auto"/>
              <w:bottom w:val="single" w:sz="2" w:space="0" w:color="auto"/>
              <w:right w:val="single" w:sz="2" w:space="0" w:color="auto"/>
            </w:tcBorders>
          </w:tcPr>
          <w:p w14:paraId="39D2C768" w14:textId="77777777" w:rsidR="003A5980" w:rsidRPr="005A3FC7" w:rsidRDefault="003A5980" w:rsidP="000600BF">
            <w:pPr>
              <w:spacing w:line="360" w:lineRule="auto"/>
              <w:rPr>
                <w:rFonts w:cs="Arial"/>
                <w:sz w:val="20"/>
                <w:szCs w:val="20"/>
              </w:rPr>
            </w:pPr>
            <w:r w:rsidRPr="005A3FC7">
              <w:rPr>
                <w:rFonts w:cs="Arial"/>
                <w:sz w:val="20"/>
                <w:szCs w:val="20"/>
              </w:rPr>
              <w:t>Name of contributor/s</w:t>
            </w:r>
          </w:p>
        </w:tc>
        <w:tc>
          <w:tcPr>
            <w:tcW w:w="7007" w:type="dxa"/>
            <w:gridSpan w:val="4"/>
            <w:tcBorders>
              <w:top w:val="single" w:sz="2" w:space="0" w:color="auto"/>
              <w:left w:val="single" w:sz="2" w:space="0" w:color="auto"/>
              <w:bottom w:val="single" w:sz="2" w:space="0" w:color="auto"/>
              <w:right w:val="single" w:sz="2" w:space="0" w:color="auto"/>
            </w:tcBorders>
          </w:tcPr>
          <w:p w14:paraId="6638BF57" w14:textId="77777777" w:rsidR="003A5980" w:rsidRPr="005A3FC7" w:rsidRDefault="00C144A4">
            <w:pPr>
              <w:rPr>
                <w:sz w:val="20"/>
                <w:szCs w:val="20"/>
              </w:rPr>
            </w:pPr>
            <w:r w:rsidRPr="005A3FC7">
              <w:rPr>
                <w:sz w:val="20"/>
                <w:szCs w:val="20"/>
              </w:rPr>
              <w:t xml:space="preserve">Dr </w:t>
            </w:r>
            <w:proofErr w:type="spellStart"/>
            <w:r w:rsidRPr="005A3FC7">
              <w:rPr>
                <w:sz w:val="20"/>
                <w:szCs w:val="20"/>
              </w:rPr>
              <w:t>Natascha</w:t>
            </w:r>
            <w:proofErr w:type="spellEnd"/>
            <w:r w:rsidRPr="005A3FC7">
              <w:rPr>
                <w:sz w:val="20"/>
                <w:szCs w:val="20"/>
              </w:rPr>
              <w:t xml:space="preserve"> </w:t>
            </w:r>
            <w:proofErr w:type="spellStart"/>
            <w:r w:rsidRPr="005A3FC7">
              <w:rPr>
                <w:sz w:val="20"/>
                <w:szCs w:val="20"/>
              </w:rPr>
              <w:t>Radclyffe</w:t>
            </w:r>
            <w:proofErr w:type="spellEnd"/>
            <w:r w:rsidRPr="005A3FC7">
              <w:rPr>
                <w:sz w:val="20"/>
                <w:szCs w:val="20"/>
              </w:rPr>
              <w:t>-Thomas</w:t>
            </w:r>
          </w:p>
          <w:p w14:paraId="2A114F4A" w14:textId="77777777" w:rsidR="003A5980" w:rsidRPr="005A3FC7" w:rsidRDefault="003A5980">
            <w:pPr>
              <w:rPr>
                <w:sz w:val="20"/>
                <w:szCs w:val="20"/>
              </w:rPr>
            </w:pPr>
          </w:p>
        </w:tc>
      </w:tr>
      <w:tr w:rsidR="003A5980" w14:paraId="312CD52E" w14:textId="77777777" w:rsidTr="005564C1">
        <w:tc>
          <w:tcPr>
            <w:tcW w:w="2471" w:type="dxa"/>
            <w:tcBorders>
              <w:top w:val="single" w:sz="2" w:space="0" w:color="auto"/>
              <w:left w:val="single" w:sz="2" w:space="0" w:color="auto"/>
              <w:bottom w:val="single" w:sz="2" w:space="0" w:color="auto"/>
              <w:right w:val="single" w:sz="2" w:space="0" w:color="auto"/>
            </w:tcBorders>
          </w:tcPr>
          <w:p w14:paraId="3BE9D57B" w14:textId="79A8B4C7" w:rsidR="003A5980" w:rsidRPr="005A3FC7" w:rsidRDefault="003A5980" w:rsidP="005A3FC7">
            <w:pPr>
              <w:spacing w:line="360" w:lineRule="auto"/>
              <w:rPr>
                <w:rFonts w:cs="Arial"/>
                <w:sz w:val="20"/>
                <w:szCs w:val="20"/>
              </w:rPr>
            </w:pPr>
            <w:r w:rsidRPr="005A3FC7">
              <w:rPr>
                <w:rFonts w:cs="Arial"/>
                <w:sz w:val="20"/>
                <w:szCs w:val="20"/>
              </w:rPr>
              <w:t>Role, Course, College</w:t>
            </w:r>
          </w:p>
        </w:tc>
        <w:tc>
          <w:tcPr>
            <w:tcW w:w="7007" w:type="dxa"/>
            <w:gridSpan w:val="4"/>
            <w:tcBorders>
              <w:top w:val="single" w:sz="2" w:space="0" w:color="auto"/>
              <w:left w:val="single" w:sz="2" w:space="0" w:color="auto"/>
              <w:bottom w:val="single" w:sz="2" w:space="0" w:color="auto"/>
              <w:right w:val="single" w:sz="2" w:space="0" w:color="auto"/>
            </w:tcBorders>
          </w:tcPr>
          <w:p w14:paraId="14AFA3D5" w14:textId="77777777" w:rsidR="003A5980" w:rsidRPr="005A3FC7" w:rsidRDefault="00C144A4">
            <w:pPr>
              <w:rPr>
                <w:sz w:val="20"/>
                <w:szCs w:val="20"/>
              </w:rPr>
            </w:pPr>
            <w:r w:rsidRPr="005A3FC7">
              <w:rPr>
                <w:sz w:val="20"/>
                <w:szCs w:val="20"/>
              </w:rPr>
              <w:t>Course Leader Access Fashion Business, SMS LCF</w:t>
            </w:r>
          </w:p>
        </w:tc>
      </w:tr>
      <w:tr w:rsidR="003A5980" w14:paraId="3CF2AF0E" w14:textId="77777777" w:rsidTr="005564C1">
        <w:tc>
          <w:tcPr>
            <w:tcW w:w="2471" w:type="dxa"/>
            <w:tcBorders>
              <w:top w:val="single" w:sz="2" w:space="0" w:color="auto"/>
              <w:left w:val="single" w:sz="2" w:space="0" w:color="auto"/>
              <w:bottom w:val="single" w:sz="2" w:space="0" w:color="auto"/>
              <w:right w:val="single" w:sz="2" w:space="0" w:color="auto"/>
            </w:tcBorders>
          </w:tcPr>
          <w:p w14:paraId="1FFB2566" w14:textId="582C2064" w:rsidR="003A5980" w:rsidRPr="005A3FC7" w:rsidRDefault="003A5980" w:rsidP="005A3FC7">
            <w:pPr>
              <w:spacing w:line="360" w:lineRule="auto"/>
              <w:rPr>
                <w:rFonts w:cs="Arial"/>
                <w:sz w:val="20"/>
                <w:szCs w:val="20"/>
              </w:rPr>
            </w:pPr>
            <w:r w:rsidRPr="005A3FC7">
              <w:rPr>
                <w:rFonts w:cs="Arial"/>
                <w:sz w:val="20"/>
                <w:szCs w:val="20"/>
              </w:rPr>
              <w:t xml:space="preserve">Contact details </w:t>
            </w:r>
          </w:p>
        </w:tc>
        <w:tc>
          <w:tcPr>
            <w:tcW w:w="7007" w:type="dxa"/>
            <w:gridSpan w:val="4"/>
            <w:tcBorders>
              <w:top w:val="single" w:sz="2" w:space="0" w:color="auto"/>
              <w:left w:val="single" w:sz="2" w:space="0" w:color="auto"/>
              <w:bottom w:val="single" w:sz="2" w:space="0" w:color="auto"/>
              <w:right w:val="single" w:sz="2" w:space="0" w:color="auto"/>
            </w:tcBorders>
          </w:tcPr>
          <w:p w14:paraId="00D66BD0" w14:textId="77777777" w:rsidR="003A5980" w:rsidRPr="005A3FC7" w:rsidRDefault="00261EC2">
            <w:pPr>
              <w:rPr>
                <w:sz w:val="20"/>
                <w:szCs w:val="20"/>
              </w:rPr>
            </w:pPr>
            <w:hyperlink r:id="rId8" w:history="1">
              <w:r w:rsidR="00C144A4" w:rsidRPr="005A3FC7">
                <w:rPr>
                  <w:rStyle w:val="Hyperlink"/>
                  <w:sz w:val="20"/>
                  <w:szCs w:val="20"/>
                </w:rPr>
                <w:t>n.radclyffethomas@fashion.arts.ac.uk</w:t>
              </w:r>
            </w:hyperlink>
            <w:r w:rsidR="00C144A4" w:rsidRPr="005A3FC7">
              <w:rPr>
                <w:sz w:val="20"/>
                <w:szCs w:val="20"/>
              </w:rPr>
              <w:t xml:space="preserve"> </w:t>
            </w:r>
          </w:p>
        </w:tc>
      </w:tr>
      <w:tr w:rsidR="003A5980" w14:paraId="33B9E575" w14:textId="77777777" w:rsidTr="005564C1">
        <w:tc>
          <w:tcPr>
            <w:tcW w:w="2471" w:type="dxa"/>
            <w:tcBorders>
              <w:top w:val="single" w:sz="2" w:space="0" w:color="auto"/>
              <w:left w:val="single" w:sz="2" w:space="0" w:color="auto"/>
              <w:bottom w:val="single" w:sz="2" w:space="0" w:color="auto"/>
              <w:right w:val="single" w:sz="2" w:space="0" w:color="auto"/>
            </w:tcBorders>
          </w:tcPr>
          <w:p w14:paraId="4532712C" w14:textId="77777777" w:rsidR="003A5980" w:rsidRPr="005A3FC7" w:rsidRDefault="003A5980" w:rsidP="00F43F5D">
            <w:pPr>
              <w:spacing w:line="360" w:lineRule="auto"/>
              <w:rPr>
                <w:rFonts w:cs="Arial"/>
                <w:sz w:val="20"/>
                <w:szCs w:val="20"/>
              </w:rPr>
            </w:pPr>
            <w:r w:rsidRPr="005A3FC7">
              <w:rPr>
                <w:rFonts w:cs="Arial"/>
                <w:sz w:val="20"/>
                <w:szCs w:val="20"/>
              </w:rPr>
              <w:t>Title of Session</w:t>
            </w:r>
          </w:p>
        </w:tc>
        <w:tc>
          <w:tcPr>
            <w:tcW w:w="7007" w:type="dxa"/>
            <w:gridSpan w:val="4"/>
            <w:tcBorders>
              <w:top w:val="single" w:sz="2" w:space="0" w:color="auto"/>
              <w:left w:val="single" w:sz="2" w:space="0" w:color="auto"/>
              <w:bottom w:val="single" w:sz="2" w:space="0" w:color="auto"/>
              <w:right w:val="single" w:sz="2" w:space="0" w:color="auto"/>
            </w:tcBorders>
          </w:tcPr>
          <w:p w14:paraId="3B2C760F" w14:textId="77777777" w:rsidR="003A5980" w:rsidRPr="005A3FC7" w:rsidRDefault="00C144A4" w:rsidP="00F43F5D">
            <w:pPr>
              <w:spacing w:line="360" w:lineRule="auto"/>
              <w:rPr>
                <w:sz w:val="20"/>
                <w:szCs w:val="20"/>
              </w:rPr>
            </w:pPr>
            <w:r w:rsidRPr="005A3FC7">
              <w:rPr>
                <w:sz w:val="20"/>
                <w:szCs w:val="20"/>
              </w:rPr>
              <w:t>Creativity Across Cultures</w:t>
            </w:r>
          </w:p>
        </w:tc>
      </w:tr>
      <w:tr w:rsidR="003A5980" w14:paraId="2B614F19" w14:textId="77777777" w:rsidTr="005564C1">
        <w:tc>
          <w:tcPr>
            <w:tcW w:w="2471" w:type="dxa"/>
            <w:tcBorders>
              <w:top w:val="single" w:sz="2" w:space="0" w:color="auto"/>
              <w:left w:val="single" w:sz="2" w:space="0" w:color="auto"/>
              <w:bottom w:val="single" w:sz="2" w:space="0" w:color="auto"/>
              <w:right w:val="single" w:sz="2" w:space="0" w:color="auto"/>
            </w:tcBorders>
          </w:tcPr>
          <w:p w14:paraId="7DA48255" w14:textId="77777777" w:rsidR="003A5980" w:rsidRPr="005A3FC7" w:rsidRDefault="003A5980" w:rsidP="000600BF">
            <w:pPr>
              <w:spacing w:line="360" w:lineRule="auto"/>
              <w:rPr>
                <w:rFonts w:cs="Arial"/>
                <w:sz w:val="20"/>
                <w:szCs w:val="20"/>
              </w:rPr>
            </w:pPr>
            <w:r w:rsidRPr="005A3FC7">
              <w:rPr>
                <w:rFonts w:cs="Arial"/>
                <w:sz w:val="20"/>
                <w:szCs w:val="20"/>
              </w:rPr>
              <w:t>Brief description of session and activities and how it fits the theme</w:t>
            </w:r>
          </w:p>
          <w:p w14:paraId="2B28E600" w14:textId="77777777" w:rsidR="003A5980" w:rsidRPr="005A3FC7" w:rsidRDefault="003A5980" w:rsidP="000600BF">
            <w:pPr>
              <w:spacing w:line="360" w:lineRule="auto"/>
              <w:rPr>
                <w:rFonts w:cs="Arial"/>
                <w:b/>
                <w:sz w:val="20"/>
                <w:szCs w:val="20"/>
              </w:rPr>
            </w:pPr>
            <w:r w:rsidRPr="005A3FC7">
              <w:rPr>
                <w:rFonts w:cs="Arial"/>
                <w:b/>
                <w:sz w:val="20"/>
                <w:szCs w:val="20"/>
              </w:rPr>
              <w:t xml:space="preserve">Max 300 words </w:t>
            </w:r>
          </w:p>
          <w:p w14:paraId="5B0C4FDC" w14:textId="77777777" w:rsidR="003A5980" w:rsidRPr="005A3FC7" w:rsidRDefault="003A5980" w:rsidP="00440332">
            <w:pPr>
              <w:spacing w:line="360" w:lineRule="auto"/>
              <w:rPr>
                <w:rFonts w:cs="Arial"/>
                <w:sz w:val="20"/>
                <w:szCs w:val="20"/>
              </w:rPr>
            </w:pPr>
            <w:r w:rsidRPr="005A3FC7">
              <w:rPr>
                <w:rFonts w:cs="Arial"/>
                <w:sz w:val="20"/>
                <w:szCs w:val="20"/>
              </w:rPr>
              <w:t>(more info overleaf)</w:t>
            </w:r>
          </w:p>
        </w:tc>
        <w:tc>
          <w:tcPr>
            <w:tcW w:w="7007" w:type="dxa"/>
            <w:gridSpan w:val="4"/>
            <w:tcBorders>
              <w:top w:val="single" w:sz="2" w:space="0" w:color="auto"/>
              <w:left w:val="single" w:sz="2" w:space="0" w:color="auto"/>
              <w:bottom w:val="single" w:sz="2" w:space="0" w:color="auto"/>
              <w:right w:val="single" w:sz="2" w:space="0" w:color="auto"/>
            </w:tcBorders>
          </w:tcPr>
          <w:p w14:paraId="0F51D2E1" w14:textId="18E097BC" w:rsidR="00A67F68" w:rsidRPr="005A3FC7" w:rsidRDefault="00A67F68" w:rsidP="00A67F68">
            <w:pPr>
              <w:widowControl w:val="0"/>
              <w:autoSpaceDE w:val="0"/>
              <w:autoSpaceDN w:val="0"/>
              <w:adjustRightInd w:val="0"/>
              <w:spacing w:after="240"/>
              <w:jc w:val="both"/>
              <w:rPr>
                <w:sz w:val="20"/>
                <w:szCs w:val="20"/>
              </w:rPr>
            </w:pPr>
            <w:r w:rsidRPr="005A3FC7">
              <w:rPr>
                <w:sz w:val="20"/>
                <w:szCs w:val="20"/>
              </w:rPr>
              <w:t>Whilst creativity is heralded as a key skill for 21</w:t>
            </w:r>
            <w:r w:rsidRPr="005A3FC7">
              <w:rPr>
                <w:sz w:val="20"/>
                <w:szCs w:val="20"/>
                <w:vertAlign w:val="superscript"/>
              </w:rPr>
              <w:t>st</w:t>
            </w:r>
            <w:r w:rsidRPr="005A3FC7">
              <w:rPr>
                <w:sz w:val="20"/>
                <w:szCs w:val="20"/>
              </w:rPr>
              <w:t xml:space="preserve"> century graduates the history of creativity has resulted in multiple understandings of what it is to be creative; diverse educational and social contexts have resulted in conflicting understandings of what it is to be creative. The UK cannot claim to have a consensus on a working definition of creativity, let alone one that encompasses the international nature of a creative education. Creativity does not exist in a </w:t>
            </w:r>
            <w:r w:rsidR="00FE29FE" w:rsidRPr="005A3FC7">
              <w:rPr>
                <w:sz w:val="20"/>
                <w:szCs w:val="20"/>
              </w:rPr>
              <w:t>vacuum;</w:t>
            </w:r>
            <w:r w:rsidRPr="005A3FC7">
              <w:rPr>
                <w:sz w:val="20"/>
                <w:szCs w:val="20"/>
              </w:rPr>
              <w:t xml:space="preserve"> rather cultural norms determine where creative ideas and products arise and how they are judged (</w:t>
            </w:r>
            <w:proofErr w:type="spellStart"/>
            <w:r w:rsidRPr="005A3FC7">
              <w:rPr>
                <w:sz w:val="20"/>
                <w:szCs w:val="20"/>
              </w:rPr>
              <w:t>Csikszentmihalyi</w:t>
            </w:r>
            <w:proofErr w:type="spellEnd"/>
            <w:r w:rsidRPr="005A3FC7">
              <w:rPr>
                <w:sz w:val="20"/>
                <w:szCs w:val="20"/>
              </w:rPr>
              <w:t>, 1999). Classrooms reflect cultural norms; the internationalisation of education poses challenges and presents opportunities for advancing intercultural creativity. UAL is ideally placed to lead the debate on what it is to be a contemporary global creative.</w:t>
            </w:r>
          </w:p>
          <w:p w14:paraId="5113C0E8" w14:textId="3466F5AA" w:rsidR="00A67F68" w:rsidRPr="005A3FC7" w:rsidRDefault="00A67F68" w:rsidP="00A67F68">
            <w:pPr>
              <w:widowControl w:val="0"/>
              <w:autoSpaceDE w:val="0"/>
              <w:autoSpaceDN w:val="0"/>
              <w:adjustRightInd w:val="0"/>
              <w:spacing w:after="240"/>
              <w:jc w:val="both"/>
              <w:rPr>
                <w:sz w:val="20"/>
                <w:szCs w:val="20"/>
              </w:rPr>
            </w:pPr>
            <w:bookmarkStart w:id="0" w:name="_GoBack"/>
            <w:r w:rsidRPr="005A3FC7">
              <w:rPr>
                <w:sz w:val="20"/>
                <w:szCs w:val="20"/>
              </w:rPr>
              <w:t xml:space="preserve">The </w:t>
            </w:r>
            <w:r w:rsidR="0084408C" w:rsidRPr="005A3FC7">
              <w:rPr>
                <w:sz w:val="20"/>
                <w:szCs w:val="20"/>
              </w:rPr>
              <w:t>paper presentation</w:t>
            </w:r>
            <w:r w:rsidRPr="005A3FC7">
              <w:rPr>
                <w:sz w:val="20"/>
                <w:szCs w:val="20"/>
              </w:rPr>
              <w:t xml:space="preserve"> traces the development of notions of creativity in the West and Confucian</w:t>
            </w:r>
            <w:r w:rsidR="00F92A97" w:rsidRPr="005A3FC7">
              <w:rPr>
                <w:sz w:val="20"/>
                <w:szCs w:val="20"/>
              </w:rPr>
              <w:t xml:space="preserve"> heritage cultures and offers insights from a qualitative research study undertaken with UAL students and staff.</w:t>
            </w:r>
            <w:bookmarkEnd w:id="0"/>
            <w:r w:rsidR="00F92A97" w:rsidRPr="005A3FC7">
              <w:rPr>
                <w:sz w:val="20"/>
                <w:szCs w:val="20"/>
              </w:rPr>
              <w:t xml:space="preserve"> The session </w:t>
            </w:r>
            <w:r w:rsidRPr="005A3FC7">
              <w:rPr>
                <w:sz w:val="20"/>
                <w:szCs w:val="20"/>
              </w:rPr>
              <w:t xml:space="preserve">offers participants the opportunity to explore their own perceptions of creativity, to answer questions about whether the process or the product is more valid in defining creativity, and whether creativity is a trait a person possesses or a skill that can be taught. </w:t>
            </w:r>
          </w:p>
          <w:p w14:paraId="19D2144B" w14:textId="2FE37DF6" w:rsidR="003A5980" w:rsidRPr="005A3FC7" w:rsidRDefault="00A67F68" w:rsidP="005A3FC7">
            <w:pPr>
              <w:widowControl w:val="0"/>
              <w:autoSpaceDE w:val="0"/>
              <w:autoSpaceDN w:val="0"/>
              <w:adjustRightInd w:val="0"/>
              <w:spacing w:after="240"/>
              <w:jc w:val="both"/>
              <w:rPr>
                <w:sz w:val="20"/>
                <w:szCs w:val="20"/>
              </w:rPr>
            </w:pPr>
            <w:r w:rsidRPr="005A3FC7">
              <w:rPr>
                <w:sz w:val="20"/>
                <w:szCs w:val="20"/>
              </w:rPr>
              <w:t>The majority of creativity research has taken place in the West and much cross-cultural research into creativity in Confucian heritage cultures has utilised Western measures and sought to determine which culture is more creative, based on assumptions about individual and collective societies and perpetuating the antipathy between creativity and conformity (Ng, 2001). The session will explore how understandings of creativity are culturally situated. Current international research on creativity such as Richard Florida’s (2002) notion of a creative class will be reviewed and a dialogue encouraged around the extent to which creativity is an internal personality related construct or a context-dependent phenomenon</w:t>
            </w:r>
          </w:p>
        </w:tc>
      </w:tr>
      <w:tr w:rsidR="003A5980" w14:paraId="6FCCB4AE" w14:textId="77777777" w:rsidTr="005564C1">
        <w:tc>
          <w:tcPr>
            <w:tcW w:w="2471" w:type="dxa"/>
            <w:tcBorders>
              <w:top w:val="single" w:sz="2" w:space="0" w:color="auto"/>
              <w:left w:val="single" w:sz="2" w:space="0" w:color="auto"/>
              <w:bottom w:val="single" w:sz="2" w:space="0" w:color="auto"/>
              <w:right w:val="single" w:sz="2" w:space="0" w:color="auto"/>
            </w:tcBorders>
          </w:tcPr>
          <w:p w14:paraId="4F24415B" w14:textId="2B5A1844" w:rsidR="003A5980" w:rsidRPr="005A3FC7" w:rsidRDefault="00C454F5" w:rsidP="005A3FC7">
            <w:pPr>
              <w:spacing w:line="360" w:lineRule="auto"/>
              <w:rPr>
                <w:rFonts w:cs="Arial"/>
                <w:sz w:val="20"/>
                <w:szCs w:val="20"/>
              </w:rPr>
            </w:pPr>
            <w:r w:rsidRPr="005A3FC7">
              <w:rPr>
                <w:rFonts w:cs="Arial"/>
                <w:sz w:val="20"/>
                <w:szCs w:val="20"/>
              </w:rPr>
              <w:t>W</w:t>
            </w:r>
            <w:r w:rsidR="003A5980" w:rsidRPr="005A3FC7">
              <w:rPr>
                <w:rFonts w:cs="Arial"/>
                <w:sz w:val="20"/>
                <w:szCs w:val="20"/>
              </w:rPr>
              <w:t xml:space="preserve">ill students be </w:t>
            </w:r>
            <w:r w:rsidR="005A3FC7" w:rsidRPr="005A3FC7">
              <w:rPr>
                <w:rFonts w:cs="Arial"/>
                <w:sz w:val="20"/>
                <w:szCs w:val="20"/>
              </w:rPr>
              <w:t>i</w:t>
            </w:r>
            <w:r w:rsidR="003A5980" w:rsidRPr="005A3FC7">
              <w:rPr>
                <w:rFonts w:cs="Arial"/>
                <w:sz w:val="20"/>
                <w:szCs w:val="20"/>
              </w:rPr>
              <w:t>nvolved in the session?</w:t>
            </w:r>
            <w:r w:rsidRPr="005A3FC7">
              <w:rPr>
                <w:rFonts w:cs="Arial"/>
                <w:sz w:val="20"/>
                <w:szCs w:val="20"/>
              </w:rPr>
              <w:t xml:space="preserve"> If so how?</w:t>
            </w:r>
          </w:p>
        </w:tc>
        <w:tc>
          <w:tcPr>
            <w:tcW w:w="7007" w:type="dxa"/>
            <w:gridSpan w:val="4"/>
            <w:tcBorders>
              <w:top w:val="single" w:sz="2" w:space="0" w:color="auto"/>
              <w:left w:val="single" w:sz="2" w:space="0" w:color="auto"/>
              <w:bottom w:val="single" w:sz="2" w:space="0" w:color="auto"/>
              <w:right w:val="single" w:sz="2" w:space="0" w:color="auto"/>
            </w:tcBorders>
          </w:tcPr>
          <w:p w14:paraId="0FAEEA9F" w14:textId="51CA932E" w:rsidR="003A5980" w:rsidRPr="005A3FC7" w:rsidRDefault="00C144A4">
            <w:pPr>
              <w:rPr>
                <w:sz w:val="20"/>
                <w:szCs w:val="20"/>
              </w:rPr>
            </w:pPr>
            <w:r w:rsidRPr="005A3FC7">
              <w:rPr>
                <w:sz w:val="20"/>
                <w:szCs w:val="20"/>
              </w:rPr>
              <w:t>Qualitative research is based on interviews with UAL students but it is not envisaged to include students in the presentation</w:t>
            </w:r>
          </w:p>
          <w:p w14:paraId="446B9F57" w14:textId="77777777" w:rsidR="003A5980" w:rsidRPr="005A3FC7" w:rsidRDefault="003A5980">
            <w:pPr>
              <w:rPr>
                <w:sz w:val="20"/>
                <w:szCs w:val="20"/>
              </w:rPr>
            </w:pPr>
          </w:p>
        </w:tc>
      </w:tr>
      <w:tr w:rsidR="003A5980" w14:paraId="61CF125A" w14:textId="77777777" w:rsidTr="005564C1">
        <w:tc>
          <w:tcPr>
            <w:tcW w:w="2471" w:type="dxa"/>
            <w:tcBorders>
              <w:top w:val="single" w:sz="2" w:space="0" w:color="auto"/>
              <w:left w:val="single" w:sz="2" w:space="0" w:color="auto"/>
              <w:bottom w:val="single" w:sz="2" w:space="0" w:color="auto"/>
              <w:right w:val="single" w:sz="2" w:space="0" w:color="auto"/>
            </w:tcBorders>
          </w:tcPr>
          <w:p w14:paraId="1B3C5C84" w14:textId="77777777" w:rsidR="003A5980" w:rsidRPr="005A3FC7" w:rsidRDefault="003A5980" w:rsidP="009810D7">
            <w:pPr>
              <w:spacing w:line="360" w:lineRule="auto"/>
              <w:rPr>
                <w:rFonts w:cs="Arial"/>
                <w:sz w:val="20"/>
                <w:szCs w:val="20"/>
              </w:rPr>
            </w:pPr>
            <w:r w:rsidRPr="005A3FC7">
              <w:rPr>
                <w:rFonts w:cs="Arial"/>
                <w:sz w:val="20"/>
                <w:szCs w:val="20"/>
              </w:rPr>
              <w:t>What will participants take away from the session?</w:t>
            </w:r>
          </w:p>
        </w:tc>
        <w:tc>
          <w:tcPr>
            <w:tcW w:w="7007" w:type="dxa"/>
            <w:gridSpan w:val="4"/>
            <w:tcBorders>
              <w:top w:val="single" w:sz="2" w:space="0" w:color="auto"/>
              <w:left w:val="single" w:sz="2" w:space="0" w:color="auto"/>
              <w:bottom w:val="single" w:sz="2" w:space="0" w:color="auto"/>
              <w:right w:val="single" w:sz="2" w:space="0" w:color="auto"/>
            </w:tcBorders>
          </w:tcPr>
          <w:p w14:paraId="0D6A5474" w14:textId="77777777" w:rsidR="00A67F68" w:rsidRPr="005A3FC7" w:rsidRDefault="00A67F68" w:rsidP="00A67F68">
            <w:pPr>
              <w:jc w:val="both"/>
              <w:rPr>
                <w:b/>
                <w:sz w:val="20"/>
                <w:szCs w:val="20"/>
              </w:rPr>
            </w:pPr>
            <w:r w:rsidRPr="005A3FC7">
              <w:rPr>
                <w:b/>
                <w:sz w:val="20"/>
                <w:szCs w:val="20"/>
              </w:rPr>
              <w:t>Learning objectives:</w:t>
            </w:r>
          </w:p>
          <w:p w14:paraId="36E2AD7D" w14:textId="3126609D" w:rsidR="00B9091D" w:rsidRPr="005A3FC7" w:rsidRDefault="00B9091D" w:rsidP="00A67F68">
            <w:pPr>
              <w:jc w:val="both"/>
              <w:rPr>
                <w:b/>
                <w:sz w:val="20"/>
                <w:szCs w:val="20"/>
              </w:rPr>
            </w:pPr>
            <w:r w:rsidRPr="005A3FC7">
              <w:rPr>
                <w:sz w:val="20"/>
                <w:szCs w:val="20"/>
              </w:rPr>
              <w:t>Participants will discuss international comparisons of creativity and engage in a dialogue about their experiences of practicing, teaching and assessing creativity in order to develop proposals for future good practice.</w:t>
            </w:r>
          </w:p>
          <w:p w14:paraId="4336999E" w14:textId="77777777" w:rsidR="00A67F68" w:rsidRPr="005A3FC7" w:rsidRDefault="00A67F68" w:rsidP="00A67F68">
            <w:pPr>
              <w:numPr>
                <w:ilvl w:val="0"/>
                <w:numId w:val="3"/>
              </w:numPr>
              <w:jc w:val="both"/>
              <w:rPr>
                <w:sz w:val="20"/>
                <w:szCs w:val="20"/>
              </w:rPr>
            </w:pPr>
            <w:r w:rsidRPr="005A3FC7">
              <w:rPr>
                <w:sz w:val="20"/>
                <w:szCs w:val="20"/>
              </w:rPr>
              <w:t>To explore how understandings of creativity are fostered.</w:t>
            </w:r>
          </w:p>
          <w:p w14:paraId="20B01413" w14:textId="77777777" w:rsidR="00A67F68" w:rsidRPr="005A3FC7" w:rsidRDefault="00A67F68" w:rsidP="00A67F68">
            <w:pPr>
              <w:numPr>
                <w:ilvl w:val="0"/>
                <w:numId w:val="3"/>
              </w:numPr>
              <w:jc w:val="both"/>
              <w:rPr>
                <w:sz w:val="20"/>
                <w:szCs w:val="20"/>
              </w:rPr>
            </w:pPr>
            <w:r w:rsidRPr="005A3FC7">
              <w:rPr>
                <w:sz w:val="20"/>
                <w:szCs w:val="20"/>
              </w:rPr>
              <w:t>To share experiences of creative practice, teaching and assessment.</w:t>
            </w:r>
          </w:p>
          <w:p w14:paraId="371C3447" w14:textId="77777777" w:rsidR="003A5980" w:rsidRPr="005A3FC7" w:rsidRDefault="00A67F68" w:rsidP="00A67F68">
            <w:pPr>
              <w:numPr>
                <w:ilvl w:val="0"/>
                <w:numId w:val="3"/>
              </w:numPr>
              <w:jc w:val="both"/>
              <w:rPr>
                <w:sz w:val="20"/>
                <w:szCs w:val="20"/>
              </w:rPr>
            </w:pPr>
            <w:r w:rsidRPr="005A3FC7">
              <w:rPr>
                <w:sz w:val="20"/>
                <w:szCs w:val="20"/>
              </w:rPr>
              <w:t>To expand our understandings of intercultural creativity in the 21</w:t>
            </w:r>
            <w:r w:rsidRPr="005A3FC7">
              <w:rPr>
                <w:sz w:val="20"/>
                <w:szCs w:val="20"/>
                <w:vertAlign w:val="superscript"/>
              </w:rPr>
              <w:t>st</w:t>
            </w:r>
            <w:r w:rsidRPr="005A3FC7">
              <w:rPr>
                <w:sz w:val="20"/>
                <w:szCs w:val="20"/>
              </w:rPr>
              <w:t xml:space="preserve"> century.</w:t>
            </w:r>
          </w:p>
          <w:p w14:paraId="75B5FD9B" w14:textId="500E68AD" w:rsidR="00A67F68" w:rsidRPr="005A3FC7" w:rsidRDefault="00A67F68" w:rsidP="00A67F68">
            <w:pPr>
              <w:numPr>
                <w:ilvl w:val="0"/>
                <w:numId w:val="3"/>
              </w:numPr>
              <w:jc w:val="both"/>
              <w:rPr>
                <w:sz w:val="20"/>
                <w:szCs w:val="20"/>
              </w:rPr>
            </w:pPr>
            <w:r w:rsidRPr="005A3FC7">
              <w:rPr>
                <w:sz w:val="20"/>
                <w:szCs w:val="20"/>
              </w:rPr>
              <w:t>To prompt discussion on developing a global creative education</w:t>
            </w:r>
          </w:p>
        </w:tc>
      </w:tr>
      <w:tr w:rsidR="003A5980" w14:paraId="26BB9947" w14:textId="77777777" w:rsidTr="005564C1">
        <w:trPr>
          <w:trHeight w:val="415"/>
        </w:trPr>
        <w:tc>
          <w:tcPr>
            <w:tcW w:w="2471" w:type="dxa"/>
            <w:tcBorders>
              <w:top w:val="single" w:sz="2" w:space="0" w:color="auto"/>
              <w:left w:val="single" w:sz="2" w:space="0" w:color="auto"/>
              <w:right w:val="single" w:sz="2" w:space="0" w:color="auto"/>
            </w:tcBorders>
          </w:tcPr>
          <w:p w14:paraId="5FFFE807" w14:textId="77777777" w:rsidR="005564C1" w:rsidRPr="005A3FC7" w:rsidRDefault="005564C1" w:rsidP="00D067D1">
            <w:pPr>
              <w:spacing w:line="360" w:lineRule="auto"/>
              <w:rPr>
                <w:rFonts w:cs="Arial"/>
                <w:b/>
                <w:sz w:val="20"/>
                <w:szCs w:val="20"/>
              </w:rPr>
            </w:pPr>
            <w:r w:rsidRPr="005A3FC7">
              <w:rPr>
                <w:rFonts w:cs="Arial"/>
                <w:b/>
                <w:sz w:val="20"/>
                <w:szCs w:val="20"/>
              </w:rPr>
              <w:t>Session type</w:t>
            </w:r>
          </w:p>
          <w:p w14:paraId="77752C81" w14:textId="77777777" w:rsidR="00CF6813" w:rsidRPr="005A3FC7" w:rsidRDefault="00CF6813" w:rsidP="00C144A4">
            <w:pPr>
              <w:spacing w:line="360" w:lineRule="auto"/>
              <w:rPr>
                <w:rFonts w:cs="Arial"/>
                <w:b/>
                <w:sz w:val="20"/>
                <w:szCs w:val="20"/>
              </w:rPr>
            </w:pPr>
            <w:r w:rsidRPr="005A3FC7">
              <w:rPr>
                <w:rFonts w:cs="Arial"/>
                <w:sz w:val="20"/>
                <w:szCs w:val="20"/>
              </w:rPr>
              <w:t>(please tick</w:t>
            </w:r>
            <w:r w:rsidR="00C144A4" w:rsidRPr="005A3FC7">
              <w:rPr>
                <w:rFonts w:cs="Arial"/>
                <w:sz w:val="20"/>
                <w:szCs w:val="20"/>
              </w:rPr>
              <w:t></w:t>
            </w:r>
            <w:r w:rsidRPr="005A3FC7">
              <w:rPr>
                <w:rFonts w:cs="Arial"/>
                <w:sz w:val="20"/>
                <w:szCs w:val="20"/>
              </w:rPr>
              <w:t>)</w:t>
            </w:r>
          </w:p>
        </w:tc>
        <w:tc>
          <w:tcPr>
            <w:tcW w:w="1701" w:type="dxa"/>
            <w:tcBorders>
              <w:top w:val="single" w:sz="2" w:space="0" w:color="auto"/>
              <w:left w:val="single" w:sz="2" w:space="0" w:color="auto"/>
              <w:right w:val="single" w:sz="2" w:space="0" w:color="auto"/>
            </w:tcBorders>
          </w:tcPr>
          <w:p w14:paraId="65395A81" w14:textId="77777777" w:rsidR="00CF6813" w:rsidRPr="005A3FC7" w:rsidRDefault="00C454F5" w:rsidP="00C454F5">
            <w:pPr>
              <w:jc w:val="center"/>
              <w:rPr>
                <w:sz w:val="20"/>
                <w:szCs w:val="20"/>
              </w:rPr>
            </w:pPr>
            <w:r w:rsidRPr="005A3FC7">
              <w:rPr>
                <w:rFonts w:cs="Arial"/>
                <w:sz w:val="20"/>
                <w:szCs w:val="20"/>
              </w:rPr>
              <w:t xml:space="preserve">Workshop </w:t>
            </w:r>
          </w:p>
        </w:tc>
        <w:tc>
          <w:tcPr>
            <w:tcW w:w="1842" w:type="dxa"/>
            <w:tcBorders>
              <w:top w:val="single" w:sz="2" w:space="0" w:color="auto"/>
              <w:left w:val="single" w:sz="2" w:space="0" w:color="auto"/>
              <w:right w:val="single" w:sz="2" w:space="0" w:color="auto"/>
            </w:tcBorders>
          </w:tcPr>
          <w:p w14:paraId="6451FAA0" w14:textId="77777777" w:rsidR="00CF6813" w:rsidRPr="005A3FC7" w:rsidRDefault="00C454F5" w:rsidP="003A5980">
            <w:pPr>
              <w:jc w:val="center"/>
              <w:rPr>
                <w:rFonts w:cs="Arial"/>
                <w:sz w:val="20"/>
                <w:szCs w:val="20"/>
              </w:rPr>
            </w:pPr>
            <w:r w:rsidRPr="005A3FC7">
              <w:rPr>
                <w:rFonts w:cs="Arial"/>
                <w:sz w:val="20"/>
                <w:szCs w:val="20"/>
              </w:rPr>
              <w:t>Paper</w:t>
            </w:r>
          </w:p>
          <w:p w14:paraId="3808BE51" w14:textId="277CB871" w:rsidR="00C144A4" w:rsidRPr="005A3FC7" w:rsidRDefault="005A3FC7" w:rsidP="003A5980">
            <w:pPr>
              <w:jc w:val="center"/>
              <w:rPr>
                <w:rFonts w:cs="Arial"/>
                <w:sz w:val="20"/>
                <w:szCs w:val="20"/>
              </w:rPr>
            </w:pPr>
            <w:r>
              <w:rPr>
                <w:rFonts w:cs="Arial"/>
                <w:sz w:val="20"/>
                <w:szCs w:val="20"/>
              </w:rPr>
              <w:t>X</w:t>
            </w:r>
          </w:p>
        </w:tc>
        <w:tc>
          <w:tcPr>
            <w:tcW w:w="1767" w:type="dxa"/>
            <w:tcBorders>
              <w:top w:val="single" w:sz="2" w:space="0" w:color="auto"/>
              <w:left w:val="single" w:sz="2" w:space="0" w:color="auto"/>
              <w:right w:val="single" w:sz="2" w:space="0" w:color="auto"/>
            </w:tcBorders>
          </w:tcPr>
          <w:p w14:paraId="4279FC5F" w14:textId="77777777" w:rsidR="00CF6813" w:rsidRPr="005A3FC7" w:rsidRDefault="003A5980" w:rsidP="003A5980">
            <w:pPr>
              <w:jc w:val="center"/>
              <w:rPr>
                <w:sz w:val="20"/>
                <w:szCs w:val="20"/>
              </w:rPr>
            </w:pPr>
            <w:r w:rsidRPr="005A3FC7">
              <w:rPr>
                <w:rFonts w:cs="Arial"/>
                <w:sz w:val="20"/>
                <w:szCs w:val="20"/>
              </w:rPr>
              <w:t>Poster Session</w:t>
            </w:r>
          </w:p>
        </w:tc>
        <w:tc>
          <w:tcPr>
            <w:tcW w:w="1697" w:type="dxa"/>
            <w:tcBorders>
              <w:top w:val="single" w:sz="2" w:space="0" w:color="auto"/>
              <w:left w:val="single" w:sz="2" w:space="0" w:color="auto"/>
              <w:right w:val="single" w:sz="2" w:space="0" w:color="auto"/>
            </w:tcBorders>
          </w:tcPr>
          <w:p w14:paraId="5CD3A546" w14:textId="77777777" w:rsidR="00CF6813" w:rsidRPr="005A3FC7" w:rsidRDefault="00CF6813" w:rsidP="003A5980">
            <w:pPr>
              <w:spacing w:line="360" w:lineRule="auto"/>
              <w:jc w:val="center"/>
              <w:rPr>
                <w:rFonts w:cs="Arial"/>
                <w:sz w:val="20"/>
                <w:szCs w:val="20"/>
              </w:rPr>
            </w:pPr>
            <w:r w:rsidRPr="005A3FC7">
              <w:rPr>
                <w:rFonts w:cs="Arial"/>
                <w:sz w:val="20"/>
                <w:szCs w:val="20"/>
              </w:rPr>
              <w:t>Other</w:t>
            </w:r>
          </w:p>
          <w:p w14:paraId="3E784353" w14:textId="77777777" w:rsidR="00CF6813" w:rsidRPr="005A3FC7" w:rsidRDefault="00CF6813" w:rsidP="003A5980">
            <w:pPr>
              <w:jc w:val="center"/>
              <w:rPr>
                <w:sz w:val="20"/>
                <w:szCs w:val="20"/>
              </w:rPr>
            </w:pPr>
          </w:p>
        </w:tc>
      </w:tr>
    </w:tbl>
    <w:p w14:paraId="05D85B45" w14:textId="77777777" w:rsidR="00450211" w:rsidRPr="00D7259F" w:rsidRDefault="00450211" w:rsidP="008D68B6">
      <w:pPr>
        <w:rPr>
          <w:rFonts w:ascii="Helvetica" w:hAnsi="Helvetica"/>
          <w:b/>
        </w:rPr>
      </w:pPr>
    </w:p>
    <w:sectPr w:rsidR="00450211" w:rsidRPr="00D7259F" w:rsidSect="00D7259F">
      <w:footerReference w:type="default" r:id="rId9"/>
      <w:pgSz w:w="11906" w:h="16838"/>
      <w:pgMar w:top="567" w:right="1440" w:bottom="3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04B0F" w14:textId="77777777" w:rsidR="001C4662" w:rsidRDefault="001C4662" w:rsidP="00F7238C">
      <w:pPr>
        <w:spacing w:after="0" w:line="240" w:lineRule="auto"/>
      </w:pPr>
      <w:r>
        <w:separator/>
      </w:r>
    </w:p>
  </w:endnote>
  <w:endnote w:type="continuationSeparator" w:id="0">
    <w:p w14:paraId="117A5DE8" w14:textId="77777777" w:rsidR="001C4662" w:rsidRDefault="001C4662" w:rsidP="00F7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C38C1C40C8F34F21BE2B63F131ED5A15"/>
      </w:placeholder>
      <w:temporary/>
      <w:showingPlcHdr/>
    </w:sdtPr>
    <w:sdtContent>
      <w:p w14:paraId="5A83CA30" w14:textId="77777777" w:rsidR="003471E5" w:rsidRDefault="003471E5">
        <w:pPr>
          <w:pStyle w:val="Footer"/>
        </w:pPr>
        <w:r>
          <w:t>[Type text]</w:t>
        </w:r>
      </w:p>
    </w:sdtContent>
  </w:sdt>
  <w:p w14:paraId="79E5231C" w14:textId="188251AB" w:rsidR="001C4662" w:rsidRPr="00C454F5" w:rsidRDefault="001C4662">
    <w:pPr>
      <w:pStyle w:val="Footer"/>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3F232" w14:textId="77777777" w:rsidR="001C4662" w:rsidRDefault="001C4662" w:rsidP="00F7238C">
      <w:pPr>
        <w:spacing w:after="0" w:line="240" w:lineRule="auto"/>
      </w:pPr>
      <w:r>
        <w:separator/>
      </w:r>
    </w:p>
  </w:footnote>
  <w:footnote w:type="continuationSeparator" w:id="0">
    <w:p w14:paraId="00DBDB1C" w14:textId="77777777" w:rsidR="001C4662" w:rsidRDefault="001C4662" w:rsidP="00F72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C93"/>
    <w:multiLevelType w:val="hybridMultilevel"/>
    <w:tmpl w:val="56043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FD2A00"/>
    <w:multiLevelType w:val="hybridMultilevel"/>
    <w:tmpl w:val="56C8B8F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40E30B13"/>
    <w:multiLevelType w:val="hybridMultilevel"/>
    <w:tmpl w:val="00EC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74"/>
    <w:rsid w:val="000600BF"/>
    <w:rsid w:val="00071774"/>
    <w:rsid w:val="000A0B0E"/>
    <w:rsid w:val="00120E29"/>
    <w:rsid w:val="001B3055"/>
    <w:rsid w:val="001C4662"/>
    <w:rsid w:val="001D21C3"/>
    <w:rsid w:val="001D6E15"/>
    <w:rsid w:val="00257D2E"/>
    <w:rsid w:val="00261EC2"/>
    <w:rsid w:val="00290D74"/>
    <w:rsid w:val="002B7606"/>
    <w:rsid w:val="003471E5"/>
    <w:rsid w:val="003A5980"/>
    <w:rsid w:val="00425237"/>
    <w:rsid w:val="00436499"/>
    <w:rsid w:val="00440332"/>
    <w:rsid w:val="00450211"/>
    <w:rsid w:val="004654FB"/>
    <w:rsid w:val="005564C1"/>
    <w:rsid w:val="005A3FC7"/>
    <w:rsid w:val="00607940"/>
    <w:rsid w:val="006B0728"/>
    <w:rsid w:val="006E0C9F"/>
    <w:rsid w:val="00747B03"/>
    <w:rsid w:val="00755D01"/>
    <w:rsid w:val="007736AD"/>
    <w:rsid w:val="007A5AEE"/>
    <w:rsid w:val="007B42B5"/>
    <w:rsid w:val="007B43BB"/>
    <w:rsid w:val="00833DAD"/>
    <w:rsid w:val="0084408C"/>
    <w:rsid w:val="008C36E4"/>
    <w:rsid w:val="008D68B6"/>
    <w:rsid w:val="009810D7"/>
    <w:rsid w:val="00991059"/>
    <w:rsid w:val="009E254C"/>
    <w:rsid w:val="00A67F68"/>
    <w:rsid w:val="00A70720"/>
    <w:rsid w:val="00B9091D"/>
    <w:rsid w:val="00C144A4"/>
    <w:rsid w:val="00C44C19"/>
    <w:rsid w:val="00C454F5"/>
    <w:rsid w:val="00C459D2"/>
    <w:rsid w:val="00CF6813"/>
    <w:rsid w:val="00D067D1"/>
    <w:rsid w:val="00D7259F"/>
    <w:rsid w:val="00DC1B72"/>
    <w:rsid w:val="00E51224"/>
    <w:rsid w:val="00E65042"/>
    <w:rsid w:val="00F40A61"/>
    <w:rsid w:val="00F43F5D"/>
    <w:rsid w:val="00F7238C"/>
    <w:rsid w:val="00F85462"/>
    <w:rsid w:val="00F92A97"/>
    <w:rsid w:val="00FB485D"/>
    <w:rsid w:val="00FD4903"/>
    <w:rsid w:val="00FE29FE"/>
    <w:rsid w:val="00FF1D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7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980"/>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AA"/>
    <w:rPr>
      <w:rFonts w:ascii="Tahoma" w:hAnsi="Tahoma" w:cs="Tahoma"/>
      <w:sz w:val="16"/>
      <w:szCs w:val="16"/>
    </w:rPr>
  </w:style>
  <w:style w:type="paragraph" w:styleId="Header">
    <w:name w:val="header"/>
    <w:basedOn w:val="Normal"/>
    <w:link w:val="HeaderChar"/>
    <w:uiPriority w:val="99"/>
    <w:unhideWhenUsed/>
    <w:rsid w:val="00F72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8C"/>
  </w:style>
  <w:style w:type="paragraph" w:styleId="Footer">
    <w:name w:val="footer"/>
    <w:basedOn w:val="Normal"/>
    <w:link w:val="FooterChar"/>
    <w:uiPriority w:val="99"/>
    <w:unhideWhenUsed/>
    <w:rsid w:val="00F72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8C"/>
  </w:style>
  <w:style w:type="character" w:styleId="Hyperlink">
    <w:name w:val="Hyperlink"/>
    <w:basedOn w:val="DefaultParagraphFont"/>
    <w:uiPriority w:val="99"/>
    <w:unhideWhenUsed/>
    <w:rsid w:val="00F7238C"/>
    <w:rPr>
      <w:color w:val="0000FF" w:themeColor="hyperlink"/>
      <w:u w:val="single"/>
    </w:rPr>
  </w:style>
  <w:style w:type="paragraph" w:styleId="ListParagraph">
    <w:name w:val="List Paragraph"/>
    <w:basedOn w:val="Normal"/>
    <w:uiPriority w:val="34"/>
    <w:qFormat/>
    <w:rsid w:val="00F7238C"/>
    <w:pPr>
      <w:ind w:left="720"/>
      <w:contextualSpacing/>
    </w:pPr>
  </w:style>
  <w:style w:type="character" w:customStyle="1" w:styleId="Heading1Char">
    <w:name w:val="Heading 1 Char"/>
    <w:basedOn w:val="DefaultParagraphFont"/>
    <w:link w:val="Heading1"/>
    <w:uiPriority w:val="9"/>
    <w:rsid w:val="003A5980"/>
    <w:rPr>
      <w:rFonts w:asciiTheme="majorHAnsi" w:eastAsiaTheme="majorEastAsia" w:hAnsiTheme="majorHAnsi" w:cstheme="majorBidi"/>
      <w:b/>
      <w:bCs/>
      <w:color w:val="345A8A" w:themeColor="accent1" w:themeShade="B5"/>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5980"/>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AA"/>
    <w:rPr>
      <w:rFonts w:ascii="Tahoma" w:hAnsi="Tahoma" w:cs="Tahoma"/>
      <w:sz w:val="16"/>
      <w:szCs w:val="16"/>
    </w:rPr>
  </w:style>
  <w:style w:type="paragraph" w:styleId="Header">
    <w:name w:val="header"/>
    <w:basedOn w:val="Normal"/>
    <w:link w:val="HeaderChar"/>
    <w:uiPriority w:val="99"/>
    <w:unhideWhenUsed/>
    <w:rsid w:val="00F72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8C"/>
  </w:style>
  <w:style w:type="paragraph" w:styleId="Footer">
    <w:name w:val="footer"/>
    <w:basedOn w:val="Normal"/>
    <w:link w:val="FooterChar"/>
    <w:uiPriority w:val="99"/>
    <w:unhideWhenUsed/>
    <w:rsid w:val="00F72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8C"/>
  </w:style>
  <w:style w:type="character" w:styleId="Hyperlink">
    <w:name w:val="Hyperlink"/>
    <w:basedOn w:val="DefaultParagraphFont"/>
    <w:uiPriority w:val="99"/>
    <w:unhideWhenUsed/>
    <w:rsid w:val="00F7238C"/>
    <w:rPr>
      <w:color w:val="0000FF" w:themeColor="hyperlink"/>
      <w:u w:val="single"/>
    </w:rPr>
  </w:style>
  <w:style w:type="paragraph" w:styleId="ListParagraph">
    <w:name w:val="List Paragraph"/>
    <w:basedOn w:val="Normal"/>
    <w:uiPriority w:val="34"/>
    <w:qFormat/>
    <w:rsid w:val="00F7238C"/>
    <w:pPr>
      <w:ind w:left="720"/>
      <w:contextualSpacing/>
    </w:pPr>
  </w:style>
  <w:style w:type="character" w:customStyle="1" w:styleId="Heading1Char">
    <w:name w:val="Heading 1 Char"/>
    <w:basedOn w:val="DefaultParagraphFont"/>
    <w:link w:val="Heading1"/>
    <w:uiPriority w:val="9"/>
    <w:rsid w:val="003A5980"/>
    <w:rPr>
      <w:rFonts w:asciiTheme="majorHAnsi" w:eastAsiaTheme="majorEastAsia" w:hAnsiTheme="majorHAnsi" w:cstheme="majorBidi"/>
      <w:b/>
      <w:bCs/>
      <w:color w:val="345A8A" w:themeColor="accent1" w:themeShade="B5"/>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adclyffethomas@fashion.arts.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8C1C40C8F34F21BE2B63F131ED5A15"/>
        <w:category>
          <w:name w:val="General"/>
          <w:gallery w:val="placeholder"/>
        </w:category>
        <w:types>
          <w:type w:val="bbPlcHdr"/>
        </w:types>
        <w:behaviors>
          <w:behavior w:val="content"/>
        </w:behaviors>
        <w:guid w:val="{D4D014F4-7973-4914-939F-C47056F82ECC}"/>
      </w:docPartPr>
      <w:docPartBody>
        <w:p w14:paraId="5EE512AC" w14:textId="6EF21D12" w:rsidR="00000000" w:rsidRDefault="00066002" w:rsidP="00066002">
          <w:pPr>
            <w:pStyle w:val="C38C1C40C8F34F21BE2B63F131ED5A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02"/>
    <w:rsid w:val="00066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8C1C40C8F34F21BE2B63F131ED5A15">
    <w:name w:val="C38C1C40C8F34F21BE2B63F131ED5A15"/>
    <w:rsid w:val="000660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8C1C40C8F34F21BE2B63F131ED5A15">
    <w:name w:val="C38C1C40C8F34F21BE2B63F131ED5A15"/>
    <w:rsid w:val="00066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D91AD541</Template>
  <TotalTime>8</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sclay</dc:creator>
  <cp:lastModifiedBy>Natascha Radclyffe-Thomas</cp:lastModifiedBy>
  <cp:revision>7</cp:revision>
  <cp:lastPrinted>2014-01-12T11:29:00Z</cp:lastPrinted>
  <dcterms:created xsi:type="dcterms:W3CDTF">2014-06-23T09:49:00Z</dcterms:created>
  <dcterms:modified xsi:type="dcterms:W3CDTF">2014-06-23T09:56:00Z</dcterms:modified>
</cp:coreProperties>
</file>