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13613" w14:textId="77777777" w:rsidR="00FB70BA" w:rsidRPr="00FB70BA" w:rsidRDefault="00FB70BA" w:rsidP="00FB70BA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InaiMathi"/>
          <w:b/>
          <w:bCs/>
          <w:color w:val="A6A6A6" w:themeColor="background1" w:themeShade="A6"/>
          <w:sz w:val="32"/>
          <w:szCs w:val="32"/>
          <w:lang w:eastAsia="ja-JP"/>
        </w:rPr>
      </w:pPr>
      <w:r w:rsidRPr="00FB70BA">
        <w:rPr>
          <w:rFonts w:asciiTheme="minorHAnsi" w:hAnsiTheme="minorHAnsi" w:cs="InaiMathi"/>
          <w:b/>
          <w:bCs/>
          <w:color w:val="A6A6A6" w:themeColor="background1" w:themeShade="A6"/>
          <w:sz w:val="32"/>
          <w:szCs w:val="32"/>
          <w:lang w:eastAsia="ja-JP"/>
        </w:rPr>
        <w:t>The Warburg Haus: Apparatus, Inscription, Data, Speculation</w:t>
      </w:r>
    </w:p>
    <w:p w14:paraId="1A545504" w14:textId="77777777" w:rsidR="00FB70BA" w:rsidRPr="00FB70BA" w:rsidRDefault="00FB70BA" w:rsidP="00FB70BA">
      <w:pPr>
        <w:widowControl w:val="0"/>
        <w:autoSpaceDE w:val="0"/>
        <w:autoSpaceDN w:val="0"/>
        <w:adjustRightInd w:val="0"/>
        <w:ind w:right="1559"/>
        <w:outlineLvl w:val="0"/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</w:pPr>
      <w:proofErr w:type="spellStart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>Kulturwissenschaftliche</w:t>
      </w:r>
      <w:proofErr w:type="spellEnd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 xml:space="preserve"> </w:t>
      </w:r>
      <w:proofErr w:type="spellStart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>Bibliothek</w:t>
      </w:r>
      <w:proofErr w:type="spellEnd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 xml:space="preserve"> Warburg:</w:t>
      </w:r>
    </w:p>
    <w:p w14:paraId="304E3353" w14:textId="77777777" w:rsidR="00FB70BA" w:rsidRPr="00FB70BA" w:rsidRDefault="00FB70BA" w:rsidP="00FB70BA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</w:pPr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>Warburg-Haus</w:t>
      </w:r>
    </w:p>
    <w:p w14:paraId="4313CBD2" w14:textId="77777777" w:rsidR="00FB70BA" w:rsidRPr="00FB70BA" w:rsidRDefault="00FB70BA" w:rsidP="00FB70BA">
      <w:pPr>
        <w:widowControl w:val="0"/>
        <w:autoSpaceDE w:val="0"/>
        <w:autoSpaceDN w:val="0"/>
        <w:adjustRightInd w:val="0"/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</w:pPr>
      <w:proofErr w:type="spellStart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>Heilwigstr</w:t>
      </w:r>
      <w:proofErr w:type="spellEnd"/>
      <w:r w:rsidRPr="00FB70BA">
        <w:rPr>
          <w:rFonts w:asciiTheme="minorHAnsi" w:hAnsiTheme="minorHAnsi" w:cs="InaiMathi"/>
          <w:bCs/>
          <w:color w:val="191919"/>
          <w:sz w:val="22"/>
          <w:szCs w:val="22"/>
          <w:lang w:eastAsia="ja-JP"/>
        </w:rPr>
        <w:t>. 116</w:t>
      </w:r>
    </w:p>
    <w:p w14:paraId="697F1ADE" w14:textId="77777777" w:rsidR="00FB70BA" w:rsidRPr="00FB70BA" w:rsidRDefault="00FB70BA" w:rsidP="00FB70BA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InaiMathi"/>
          <w:bCs/>
          <w:sz w:val="22"/>
          <w:szCs w:val="22"/>
          <w:lang w:eastAsia="ja-JP"/>
        </w:rPr>
      </w:pPr>
      <w:r w:rsidRPr="00FB70BA">
        <w:rPr>
          <w:rFonts w:asciiTheme="minorHAnsi" w:hAnsiTheme="minorHAnsi" w:cs="InaiMathi"/>
          <w:bCs/>
          <w:sz w:val="22"/>
          <w:szCs w:val="22"/>
          <w:lang w:eastAsia="ja-JP"/>
        </w:rPr>
        <w:t>20249 Hamburg</w:t>
      </w:r>
    </w:p>
    <w:p w14:paraId="4C369FD9" w14:textId="77777777" w:rsidR="00FB70BA" w:rsidRDefault="00FB70BA" w:rsidP="00FB70BA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lang w:eastAsia="ja-JP"/>
        </w:rPr>
      </w:pPr>
    </w:p>
    <w:p w14:paraId="669F2291" w14:textId="77777777" w:rsidR="00FB70BA" w:rsidRDefault="00FB70BA" w:rsidP="00FB70BA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lang w:eastAsia="ja-JP"/>
        </w:rPr>
      </w:pPr>
    </w:p>
    <w:p w14:paraId="01FE139C" w14:textId="77777777" w:rsidR="00FB70BA" w:rsidRDefault="00FB70BA" w:rsidP="00FB70BA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lang w:eastAsia="ja-JP"/>
        </w:rPr>
      </w:pPr>
    </w:p>
    <w:p w14:paraId="63C42F6C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lang w:eastAsia="ja-JP"/>
        </w:rPr>
        <w:t>29</w:t>
      </w:r>
      <w:r w:rsidRPr="00E63A32">
        <w:rPr>
          <w:rFonts w:ascii="InaiMathi" w:hAnsi="InaiMathi" w:cs="InaiMathi"/>
          <w:color w:val="191919"/>
          <w:sz w:val="24"/>
          <w:vertAlign w:val="superscript"/>
          <w:lang w:eastAsia="ja-JP"/>
        </w:rPr>
        <w:t>th</w:t>
      </w:r>
      <w:r w:rsidRPr="00E63A32">
        <w:rPr>
          <w:rFonts w:ascii="InaiMathi" w:hAnsi="InaiMathi" w:cs="InaiMathi"/>
          <w:color w:val="191919"/>
          <w:sz w:val="24"/>
          <w:lang w:eastAsia="ja-JP"/>
        </w:rPr>
        <w:t xml:space="preserve"> June</w:t>
      </w:r>
    </w:p>
    <w:p w14:paraId="785C20DE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lang w:eastAsia="ja-JP"/>
        </w:rPr>
      </w:pPr>
    </w:p>
    <w:p w14:paraId="0165CE4D" w14:textId="77777777" w:rsidR="002751EC" w:rsidRPr="006627FE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InaiMathi"/>
          <w:b/>
          <w:bCs/>
          <w:sz w:val="24"/>
          <w:u w:val="single"/>
          <w:lang w:eastAsia="ja-JP"/>
        </w:rPr>
      </w:pPr>
      <w:r w:rsidRPr="006627FE">
        <w:rPr>
          <w:rFonts w:ascii="InaiMathi" w:hAnsi="InaiMathi" w:cs="InaiMathi"/>
          <w:b/>
          <w:bCs/>
          <w:sz w:val="24"/>
          <w:u w:val="single"/>
          <w:lang w:eastAsia="ja-JP"/>
        </w:rPr>
        <w:t>The Warburg Haus: Apparatus, Inscription, Data, Speculation</w:t>
      </w:r>
    </w:p>
    <w:p w14:paraId="39A817F2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lang w:eastAsia="ja-JP"/>
        </w:rPr>
      </w:pPr>
    </w:p>
    <w:p w14:paraId="00AB6CB2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lang w:eastAsia="ja-JP"/>
        </w:rPr>
        <w:t>30 min. for each participant</w:t>
      </w:r>
      <w:r>
        <w:rPr>
          <w:rFonts w:ascii="InaiMathi" w:hAnsi="InaiMathi" w:cs="InaiMathi"/>
          <w:color w:val="191919"/>
          <w:sz w:val="24"/>
          <w:lang w:eastAsia="ja-JP"/>
        </w:rPr>
        <w:t>:</w:t>
      </w:r>
      <w:r w:rsidRPr="00E63A32">
        <w:rPr>
          <w:rFonts w:ascii="InaiMathi" w:hAnsi="InaiMathi" w:cs="InaiMathi"/>
          <w:color w:val="191919"/>
          <w:sz w:val="24"/>
          <w:lang w:eastAsia="ja-JP"/>
        </w:rPr>
        <w:t> 20 min</w:t>
      </w:r>
      <w:r>
        <w:rPr>
          <w:rFonts w:ascii="InaiMathi" w:hAnsi="InaiMathi" w:cs="InaiMathi"/>
          <w:color w:val="191919"/>
          <w:sz w:val="24"/>
          <w:lang w:eastAsia="ja-JP"/>
        </w:rPr>
        <w:t>. presentation,</w:t>
      </w:r>
      <w:r w:rsidRPr="00E63A32">
        <w:rPr>
          <w:rFonts w:ascii="InaiMathi" w:hAnsi="InaiMathi" w:cs="InaiMathi"/>
          <w:color w:val="191919"/>
          <w:sz w:val="24"/>
          <w:lang w:eastAsia="ja-JP"/>
        </w:rPr>
        <w:t xml:space="preserve"> 10 min</w:t>
      </w:r>
      <w:r>
        <w:rPr>
          <w:rFonts w:ascii="InaiMathi" w:hAnsi="InaiMathi" w:cs="InaiMathi"/>
          <w:color w:val="191919"/>
          <w:sz w:val="24"/>
          <w:lang w:eastAsia="ja-JP"/>
        </w:rPr>
        <w:t>.</w:t>
      </w:r>
      <w:r w:rsidRPr="00E63A32">
        <w:rPr>
          <w:rFonts w:ascii="InaiMathi" w:hAnsi="InaiMathi" w:cs="InaiMathi"/>
          <w:color w:val="191919"/>
          <w:sz w:val="24"/>
          <w:lang w:eastAsia="ja-JP"/>
        </w:rPr>
        <w:t xml:space="preserve"> discussion</w:t>
      </w:r>
      <w:r>
        <w:rPr>
          <w:rFonts w:ascii="InaiMathi" w:hAnsi="InaiMathi" w:cs="InaiMathi"/>
          <w:color w:val="191919"/>
          <w:sz w:val="24"/>
          <w:lang w:eastAsia="ja-JP"/>
        </w:rPr>
        <w:t>.</w:t>
      </w:r>
    </w:p>
    <w:p w14:paraId="4B759612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color w:val="191919"/>
          <w:sz w:val="24"/>
          <w:lang w:eastAsia="ja-JP"/>
        </w:rPr>
      </w:pPr>
    </w:p>
    <w:p w14:paraId="790B0D39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color w:val="191919"/>
          <w:sz w:val="24"/>
          <w:lang w:eastAsia="ja-JP"/>
        </w:rPr>
      </w:pPr>
      <w:r>
        <w:rPr>
          <w:rFonts w:ascii="InaiMathi" w:hAnsi="InaiMathi" w:cs="Calibri"/>
          <w:color w:val="191919"/>
          <w:sz w:val="24"/>
          <w:lang w:eastAsia="ja-JP"/>
        </w:rPr>
        <w:t>9.15 Arrival, Coffee.</w:t>
      </w:r>
    </w:p>
    <w:p w14:paraId="38074376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color w:val="191919"/>
          <w:sz w:val="24"/>
          <w:lang w:eastAsia="ja-JP"/>
        </w:rPr>
      </w:pPr>
      <w:r>
        <w:rPr>
          <w:rFonts w:ascii="InaiMathi" w:hAnsi="InaiMathi" w:cs="Calibri"/>
          <w:color w:val="191919"/>
          <w:sz w:val="24"/>
          <w:lang w:eastAsia="ja-JP"/>
        </w:rPr>
        <w:t>9.45 Introduction</w:t>
      </w:r>
    </w:p>
    <w:p w14:paraId="09B3D42C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lang w:eastAsia="ja-JP"/>
        </w:rPr>
      </w:pPr>
    </w:p>
    <w:p w14:paraId="52DF4857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lang w:eastAsia="ja-JP"/>
        </w:rPr>
      </w:pPr>
    </w:p>
    <w:p w14:paraId="5AE71FD3" w14:textId="77777777" w:rsidR="002751EC" w:rsidRPr="000C6275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Calibri"/>
          <w:sz w:val="24"/>
          <w:u w:val="single"/>
          <w:lang w:eastAsia="ja-JP"/>
        </w:rPr>
      </w:pPr>
      <w:r w:rsidRPr="000C6275">
        <w:rPr>
          <w:rFonts w:ascii="InaiMathi" w:hAnsi="InaiMathi" w:cs="InaiMathi"/>
          <w:color w:val="191919"/>
          <w:sz w:val="24"/>
          <w:u w:val="single"/>
          <w:lang w:eastAsia="ja-JP"/>
        </w:rPr>
        <w:t xml:space="preserve">SPECULATION </w:t>
      </w:r>
      <w:r w:rsidRPr="000C6275">
        <w:rPr>
          <w:rFonts w:ascii="InaiMathi" w:hAnsi="InaiMathi" w:cs="Calibri"/>
          <w:color w:val="191919"/>
          <w:sz w:val="24"/>
          <w:u w:val="single"/>
          <w:lang w:eastAsia="ja-JP"/>
        </w:rPr>
        <w:t>10-1</w:t>
      </w:r>
      <w:r>
        <w:rPr>
          <w:rFonts w:ascii="InaiMathi" w:hAnsi="InaiMathi" w:cs="Calibri"/>
          <w:color w:val="191919"/>
          <w:sz w:val="24"/>
          <w:u w:val="single"/>
          <w:lang w:eastAsia="ja-JP"/>
        </w:rPr>
        <w:t>pm</w:t>
      </w:r>
      <w:r w:rsidRPr="000C6275">
        <w:rPr>
          <w:rFonts w:ascii="InaiMathi" w:hAnsi="InaiMathi" w:cs="Calibri"/>
          <w:sz w:val="24"/>
          <w:u w:val="single"/>
          <w:lang w:eastAsia="ja-JP"/>
        </w:rPr>
        <w:t xml:space="preserve"> </w:t>
      </w:r>
      <w:r w:rsidRPr="000C6275">
        <w:rPr>
          <w:rFonts w:ascii="InaiMathi" w:hAnsi="InaiMathi" w:cs="InaiMathi"/>
          <w:color w:val="191919"/>
          <w:sz w:val="24"/>
          <w:u w:val="single"/>
          <w:lang w:eastAsia="ja-JP"/>
        </w:rPr>
        <w:t>Chair: Uwe</w:t>
      </w:r>
      <w:r>
        <w:rPr>
          <w:rFonts w:ascii="InaiMathi" w:hAnsi="InaiMathi" w:cs="InaiMathi"/>
          <w:color w:val="191919"/>
          <w:sz w:val="24"/>
          <w:u w:val="single"/>
          <w:lang w:eastAsia="ja-JP"/>
        </w:rPr>
        <w:t xml:space="preserve"> Fleckner</w:t>
      </w:r>
    </w:p>
    <w:p w14:paraId="6FBCC2E8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378E35A5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10.00 ‘Mobility on Paper Slips’, Markus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Krajewski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(Basel)</w:t>
      </w:r>
    </w:p>
    <w:p w14:paraId="65ACBC0D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10.30 ‘Tables, Trees and Montage in Warburg’s Speculations’, Richard Cochrane (CSM)</w:t>
      </w:r>
    </w:p>
    <w:p w14:paraId="2EB73902" w14:textId="77777777" w:rsidR="002751EC" w:rsidRPr="007B484A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11.00 ‘</w:t>
      </w:r>
      <w:r w:rsidRPr="007B484A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Warburgian Production </w:t>
      </w:r>
      <w:r w:rsidRPr="007B484A">
        <w:rPr>
          <w:rFonts w:ascii="InaiMathi" w:hAnsi="InaiMathi" w:cs="InaiMathi"/>
          <w:i/>
          <w:color w:val="191919"/>
          <w:sz w:val="24"/>
          <w:u w:color="191919"/>
          <w:lang w:eastAsia="ja-JP"/>
        </w:rPr>
        <w:t>or</w:t>
      </w:r>
      <w:r w:rsidRPr="007B484A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Performing context-change</w:t>
      </w:r>
      <w:r>
        <w:rPr>
          <w:rFonts w:ascii="InaiMathi" w:hAnsi="InaiMathi" w:cs="InaiMathi"/>
          <w:color w:val="191919"/>
          <w:sz w:val="24"/>
          <w:u w:color="191919"/>
          <w:lang w:eastAsia="ja-JP"/>
        </w:rPr>
        <w:t>’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, Martin Westwood (CSM)</w:t>
      </w:r>
    </w:p>
    <w:p w14:paraId="4612C5FC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59424098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11.30 Coffee</w:t>
      </w:r>
    </w:p>
    <w:p w14:paraId="5DB4DE36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7EBD9308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12.00 ‘The Improbability of Positivism’, Hans Christian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Hoenes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(BFZ)</w:t>
      </w:r>
    </w:p>
    <w:p w14:paraId="49BE9CCE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12.30 ‘Speculating on the Biography of an Apparatus’,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Anke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Hennig (CSM)</w:t>
      </w:r>
    </w:p>
    <w:p w14:paraId="30927144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7D0FFCCA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6961CF56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Calibri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t>1.00 Lunch</w:t>
      </w:r>
    </w:p>
    <w:p w14:paraId="685BFD1E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Calibri"/>
          <w:color w:val="191919"/>
          <w:sz w:val="24"/>
          <w:u w:color="191919"/>
          <w:lang w:eastAsia="ja-JP"/>
        </w:rPr>
        <w:t> </w:t>
      </w:r>
    </w:p>
    <w:p w14:paraId="2C0A50CD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22CA8757" w14:textId="77777777" w:rsidR="002751EC" w:rsidRPr="000C6275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val="single" w:color="191919"/>
          <w:lang w:eastAsia="ja-JP"/>
        </w:rPr>
        <w:t xml:space="preserve">DATA </w:t>
      </w:r>
      <w:r>
        <w:rPr>
          <w:rFonts w:ascii="InaiMathi" w:hAnsi="InaiMathi" w:cs="InaiMathi"/>
          <w:color w:val="191919"/>
          <w:sz w:val="24"/>
          <w:u w:val="single" w:color="191919"/>
          <w:lang w:eastAsia="ja-JP"/>
        </w:rPr>
        <w:t xml:space="preserve">2-4.30pm </w:t>
      </w:r>
      <w:r w:rsidRPr="00E63A32">
        <w:rPr>
          <w:rFonts w:ascii="InaiMathi" w:hAnsi="InaiMathi" w:cs="InaiMathi"/>
          <w:color w:val="191919"/>
          <w:sz w:val="24"/>
          <w:u w:val="single" w:color="191919"/>
          <w:lang w:eastAsia="ja-JP"/>
        </w:rPr>
        <w:t>Chair: Andreas</w:t>
      </w:r>
      <w:r>
        <w:rPr>
          <w:rFonts w:ascii="InaiMathi" w:hAnsi="InaiMathi" w:cs="InaiMathi"/>
          <w:color w:val="191919"/>
          <w:sz w:val="24"/>
          <w:u w:val="single" w:color="191919"/>
          <w:lang w:eastAsia="ja-JP"/>
        </w:rPr>
        <w:t xml:space="preserve"> Beyer</w:t>
      </w:r>
    </w:p>
    <w:p w14:paraId="4EB6D74B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576E250C" w14:textId="77777777" w:rsidR="002751EC" w:rsidRPr="00E63A32" w:rsidRDefault="002751EC" w:rsidP="002751EC">
      <w:pPr>
        <w:widowControl w:val="0"/>
        <w:autoSpaceDE w:val="0"/>
        <w:autoSpaceDN w:val="0"/>
        <w:adjustRightInd w:val="0"/>
        <w:outlineLvl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2.00 ‘</w:t>
      </w:r>
      <w:r w:rsidRPr="00E63A32">
        <w:rPr>
          <w:rFonts w:ascii="InaiMathi" w:hAnsi="InaiMathi" w:cs="InaiMathi"/>
          <w:color w:val="131313"/>
          <w:sz w:val="24"/>
          <w:u w:color="191919"/>
          <w:lang w:eastAsia="ja-JP"/>
        </w:rPr>
        <w:t>Images - Practice - Imagination, ‘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Lignes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de Temps’ in a Warburg context’, Delphine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Etchepare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(IRI).</w:t>
      </w:r>
    </w:p>
    <w:p w14:paraId="37901E2B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2.30 ‘Aby Warburg and Internet Memes’, Maria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Felixmuller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(Leipzig)</w:t>
      </w:r>
    </w:p>
    <w:p w14:paraId="2EE2252C" w14:textId="77777777" w:rsidR="002751EC" w:rsidRPr="00E63A32" w:rsidRDefault="002751EC" w:rsidP="002751EC">
      <w:pPr>
        <w:widowControl w:val="0"/>
        <w:autoSpaceDE w:val="0"/>
        <w:autoSpaceDN w:val="0"/>
        <w:adjustRightInd w:val="0"/>
        <w:outlineLvl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3.00 ‘Photography, Data. The Unknowable’, Daniel Rubinstein (CSM)</w:t>
      </w:r>
    </w:p>
    <w:p w14:paraId="34B8E2C0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3.30 ‘Bilderfahrzeuge and Digital Iconology’, Johannes Von Muller (BFZ)</w:t>
      </w:r>
    </w:p>
    <w:p w14:paraId="33DFAA74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4.00 ‘Atlas, Anti-Atlas &amp; Places of Memory’, Noam </w:t>
      </w:r>
      <w:proofErr w:type="spellStart"/>
      <w:r>
        <w:rPr>
          <w:rFonts w:ascii="InaiMathi" w:hAnsi="InaiMathi" w:cs="InaiMathi"/>
          <w:color w:val="191919"/>
          <w:sz w:val="24"/>
          <w:u w:color="191919"/>
          <w:lang w:eastAsia="ja-JP"/>
        </w:rPr>
        <w:t>Assayag</w:t>
      </w:r>
      <w:proofErr w:type="spellEnd"/>
      <w:r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(IRI)</w:t>
      </w:r>
    </w:p>
    <w:p w14:paraId="269B01A7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239B3185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t>4.3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0 Coffee</w:t>
      </w:r>
    </w:p>
    <w:p w14:paraId="13C78A98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691CA370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InaiMathi"/>
          <w:color w:val="191919"/>
          <w:sz w:val="24"/>
          <w:u w:val="single"/>
          <w:lang w:eastAsia="ja-JP"/>
        </w:rPr>
      </w:pPr>
      <w:r w:rsidRPr="000C6275">
        <w:rPr>
          <w:rFonts w:ascii="InaiMathi" w:hAnsi="InaiMathi" w:cs="InaiMathi"/>
          <w:color w:val="191919"/>
          <w:sz w:val="24"/>
          <w:u w:val="single"/>
          <w:lang w:eastAsia="ja-JP"/>
        </w:rPr>
        <w:t>INSCRIPTION  </w:t>
      </w:r>
      <w:r>
        <w:rPr>
          <w:rFonts w:ascii="InaiMathi" w:hAnsi="InaiMathi" w:cs="InaiMathi"/>
          <w:color w:val="191919"/>
          <w:sz w:val="24"/>
          <w:u w:val="single"/>
          <w:lang w:eastAsia="ja-JP"/>
        </w:rPr>
        <w:t>5-7pm</w:t>
      </w:r>
      <w:r w:rsidRPr="000C6275">
        <w:rPr>
          <w:rFonts w:ascii="InaiMathi" w:hAnsi="InaiMathi" w:cs="Calibri"/>
          <w:sz w:val="24"/>
          <w:u w:val="single"/>
          <w:lang w:eastAsia="ja-JP"/>
        </w:rPr>
        <w:t xml:space="preserve"> </w:t>
      </w:r>
      <w:r w:rsidRPr="000C6275">
        <w:rPr>
          <w:rFonts w:ascii="InaiMathi" w:hAnsi="InaiMathi" w:cs="InaiMathi"/>
          <w:color w:val="191919"/>
          <w:sz w:val="24"/>
          <w:u w:val="single"/>
          <w:lang w:eastAsia="ja-JP"/>
        </w:rPr>
        <w:t>Chair: Mick Finch</w:t>
      </w:r>
    </w:p>
    <w:p w14:paraId="0AB6DEB3" w14:textId="77777777" w:rsidR="002751EC" w:rsidRPr="000C6275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u w:val="single"/>
          <w:lang w:eastAsia="ja-JP"/>
        </w:rPr>
      </w:pPr>
    </w:p>
    <w:p w14:paraId="248A38CB" w14:textId="77777777" w:rsidR="002751EC" w:rsidRPr="00E63A32" w:rsidRDefault="002751EC" w:rsidP="002751EC">
      <w:pPr>
        <w:widowControl w:val="0"/>
        <w:autoSpaceDE w:val="0"/>
        <w:autoSpaceDN w:val="0"/>
        <w:adjustRightInd w:val="0"/>
        <w:outlineLvl w:val="0"/>
        <w:rPr>
          <w:rFonts w:ascii="InaiMathi" w:hAnsi="InaiMathi" w:cs="Calibri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t>5.0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0 ‘</w:t>
      </w:r>
      <w:r w:rsidRPr="00461333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Movement - Expressive and Not: Elegance, Affect, and Animated Textiles in the </w:t>
      </w:r>
      <w:proofErr w:type="spellStart"/>
      <w:r w:rsidRPr="00461333">
        <w:rPr>
          <w:rFonts w:ascii="InaiMathi" w:hAnsi="InaiMathi" w:cs="InaiMathi"/>
          <w:color w:val="191919"/>
          <w:sz w:val="24"/>
          <w:u w:color="191919"/>
          <w:lang w:eastAsia="ja-JP"/>
        </w:rPr>
        <w:t>Vestimentary</w:t>
      </w:r>
      <w:proofErr w:type="spellEnd"/>
      <w:r w:rsidRPr="00461333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Theories of War</w:t>
      </w:r>
      <w:r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burg, Benjamin, and Helen </w:t>
      </w:r>
      <w:proofErr w:type="spellStart"/>
      <w:r>
        <w:rPr>
          <w:rFonts w:ascii="InaiMathi" w:hAnsi="InaiMathi" w:cs="InaiMathi"/>
          <w:color w:val="191919"/>
          <w:sz w:val="24"/>
          <w:u w:color="191919"/>
          <w:lang w:eastAsia="ja-JP"/>
        </w:rPr>
        <w:t>Grund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’ Phillip Ekardt (BFZ)</w:t>
      </w:r>
    </w:p>
    <w:p w14:paraId="65B18D53" w14:textId="77777777" w:rsidR="002751EC" w:rsidRPr="000C6275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bCs/>
          <w:color w:val="191919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t>5.3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0 </w:t>
      </w:r>
      <w:r w:rsidRPr="000C6275">
        <w:rPr>
          <w:rFonts w:ascii="InaiMathi" w:hAnsi="InaiMathi" w:cs="Calibri"/>
          <w:bCs/>
          <w:color w:val="191919"/>
          <w:sz w:val="24"/>
          <w:u w:color="191919"/>
          <w:lang w:eastAsia="ja-JP"/>
        </w:rPr>
        <w:t xml:space="preserve">‘Fashion: from Attitudes to Poses’, Caroline Evans </w:t>
      </w:r>
      <w:r>
        <w:rPr>
          <w:rFonts w:ascii="InaiMathi" w:hAnsi="InaiMathi" w:cs="Calibri"/>
          <w:bCs/>
          <w:color w:val="191919"/>
          <w:sz w:val="24"/>
          <w:u w:color="191919"/>
          <w:lang w:eastAsia="ja-JP"/>
        </w:rPr>
        <w:t>(CSM)</w:t>
      </w:r>
    </w:p>
    <w:p w14:paraId="6787913A" w14:textId="77777777" w:rsidR="002751EC" w:rsidRDefault="002751EC" w:rsidP="002751EC">
      <w:pPr>
        <w:widowControl w:val="0"/>
        <w:autoSpaceDE w:val="0"/>
        <w:autoSpaceDN w:val="0"/>
        <w:adjustRightInd w:val="0"/>
        <w:outlineLvl w:val="0"/>
        <w:rPr>
          <w:rFonts w:ascii="InaiMathi" w:hAnsi="InaiMathi" w:cs="Calibri"/>
          <w:bCs/>
          <w:color w:val="FF0000"/>
          <w:sz w:val="24"/>
          <w:u w:color="191919"/>
          <w:lang w:eastAsia="ja-JP"/>
        </w:rPr>
      </w:pPr>
      <w:r>
        <w:rPr>
          <w:rFonts w:ascii="InaiMathi" w:hAnsi="InaiMathi" w:cs="InaiMathi"/>
          <w:color w:val="191919"/>
          <w:sz w:val="24"/>
          <w:u w:color="191919"/>
          <w:lang w:eastAsia="ja-JP"/>
        </w:rPr>
        <w:lastRenderedPageBreak/>
        <w:t>6.0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0 </w:t>
      </w:r>
      <w:r w:rsidRPr="000C6275">
        <w:rPr>
          <w:rFonts w:ascii="InaiMathi" w:hAnsi="InaiMathi" w:cs="Calibri"/>
          <w:bCs/>
          <w:color w:val="191919"/>
          <w:sz w:val="24"/>
          <w:u w:color="191919"/>
          <w:lang w:eastAsia="ja-JP"/>
        </w:rPr>
        <w:t>‘Acknowledging Attributes: Fashion and Exhibition-making’, Judith Clark</w:t>
      </w:r>
      <w:r>
        <w:rPr>
          <w:rFonts w:ascii="InaiMathi" w:hAnsi="InaiMathi" w:cs="Calibri"/>
          <w:bCs/>
          <w:color w:val="191919"/>
          <w:sz w:val="24"/>
          <w:u w:color="191919"/>
          <w:lang w:eastAsia="ja-JP"/>
        </w:rPr>
        <w:t xml:space="preserve"> </w:t>
      </w:r>
      <w:r w:rsidRPr="00B40808">
        <w:rPr>
          <w:rFonts w:ascii="InaiMathi" w:hAnsi="InaiMathi" w:cs="Calibri"/>
          <w:bCs/>
          <w:sz w:val="24"/>
          <w:u w:color="191919"/>
          <w:lang w:eastAsia="ja-JP"/>
        </w:rPr>
        <w:t>(LCF)</w:t>
      </w:r>
    </w:p>
    <w:p w14:paraId="56DB435F" w14:textId="77777777" w:rsidR="002751EC" w:rsidRPr="00E63A32" w:rsidRDefault="002751EC" w:rsidP="002751EC">
      <w:pPr>
        <w:rPr>
          <w:rFonts w:ascii="InaiMathi" w:hAnsi="InaiMathi"/>
          <w:sz w:val="24"/>
        </w:rPr>
      </w:pPr>
      <w:r>
        <w:rPr>
          <w:rFonts w:ascii="InaiMathi" w:hAnsi="InaiMathi" w:cs="Calibri"/>
          <w:bCs/>
          <w:color w:val="191919"/>
          <w:sz w:val="24"/>
          <w:u w:color="191919"/>
          <w:lang w:eastAsia="ja-JP"/>
        </w:rPr>
        <w:t xml:space="preserve">6.30 </w:t>
      </w:r>
      <w:r>
        <w:rPr>
          <w:rFonts w:ascii="InaiMathi" w:hAnsi="InaiMathi"/>
          <w:sz w:val="24"/>
        </w:rPr>
        <w:t xml:space="preserve">‘Towards an Iconology for temporal objects’, Igor </w:t>
      </w:r>
      <w:proofErr w:type="spellStart"/>
      <w:r>
        <w:rPr>
          <w:rFonts w:ascii="InaiMathi" w:hAnsi="InaiMathi"/>
          <w:sz w:val="24"/>
        </w:rPr>
        <w:t>Galligo</w:t>
      </w:r>
      <w:proofErr w:type="spellEnd"/>
      <w:r>
        <w:rPr>
          <w:rFonts w:ascii="InaiMathi" w:hAnsi="InaiMathi"/>
          <w:sz w:val="24"/>
        </w:rPr>
        <w:t xml:space="preserve"> (IRI)</w:t>
      </w:r>
    </w:p>
    <w:p w14:paraId="34B48388" w14:textId="77777777" w:rsidR="002751EC" w:rsidRPr="000C6275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bCs/>
          <w:color w:val="191919"/>
          <w:sz w:val="24"/>
          <w:u w:color="191919"/>
          <w:lang w:eastAsia="ja-JP"/>
        </w:rPr>
      </w:pPr>
    </w:p>
    <w:p w14:paraId="0C26C117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FF0000"/>
          <w:sz w:val="24"/>
          <w:u w:color="191919"/>
          <w:lang w:eastAsia="ja-JP"/>
        </w:rPr>
      </w:pPr>
    </w:p>
    <w:p w14:paraId="45CA4A2D" w14:textId="77777777" w:rsidR="002751EC" w:rsidRPr="00B40808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InaiMathi"/>
          <w:sz w:val="24"/>
          <w:u w:color="191919"/>
          <w:lang w:eastAsia="ja-JP"/>
        </w:rPr>
      </w:pPr>
      <w:r w:rsidRPr="00B40808">
        <w:rPr>
          <w:rFonts w:ascii="InaiMathi" w:hAnsi="InaiMathi" w:cs="InaiMathi"/>
          <w:sz w:val="24"/>
          <w:u w:color="191919"/>
          <w:lang w:eastAsia="ja-JP"/>
        </w:rPr>
        <w:t>Drinks</w:t>
      </w:r>
    </w:p>
    <w:p w14:paraId="7C8C6A60" w14:textId="77777777" w:rsidR="002751EC" w:rsidRPr="00B40808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sz w:val="24"/>
          <w:u w:color="191919"/>
          <w:lang w:eastAsia="ja-JP"/>
        </w:rPr>
      </w:pPr>
    </w:p>
    <w:p w14:paraId="31D9D066" w14:textId="77777777" w:rsidR="002751EC" w:rsidRPr="00B40808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Calibri"/>
          <w:sz w:val="24"/>
          <w:u w:color="191919"/>
          <w:lang w:eastAsia="ja-JP"/>
        </w:rPr>
      </w:pPr>
      <w:r w:rsidRPr="00B40808">
        <w:rPr>
          <w:rFonts w:ascii="InaiMathi" w:hAnsi="InaiMathi" w:cs="InaiMathi"/>
          <w:sz w:val="24"/>
          <w:u w:color="191919"/>
          <w:lang w:eastAsia="ja-JP"/>
        </w:rPr>
        <w:t>Dinner</w:t>
      </w:r>
    </w:p>
    <w:p w14:paraId="0C1CA5B6" w14:textId="77777777" w:rsidR="002751EC" w:rsidRDefault="002751EC" w:rsidP="002751E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InaiMathi" w:hAnsi="InaiMathi" w:cs="InaiMathi"/>
          <w:sz w:val="24"/>
          <w:u w:color="191919"/>
          <w:lang w:eastAsia="ja-JP"/>
        </w:rPr>
      </w:pPr>
    </w:p>
    <w:p w14:paraId="420DE3A0" w14:textId="77777777" w:rsidR="002751EC" w:rsidRPr="00B40808" w:rsidRDefault="002751EC" w:rsidP="002751E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InaiMathi" w:hAnsi="InaiMathi" w:cs="InaiMathi"/>
          <w:sz w:val="24"/>
          <w:u w:color="191919"/>
          <w:lang w:eastAsia="ja-JP"/>
        </w:rPr>
      </w:pPr>
    </w:p>
    <w:p w14:paraId="29E246EB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68C77E62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48486DB6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30</w:t>
      </w:r>
      <w:r w:rsidRPr="00E63A32">
        <w:rPr>
          <w:rFonts w:ascii="InaiMathi" w:hAnsi="InaiMathi" w:cs="InaiMathi"/>
          <w:color w:val="191919"/>
          <w:sz w:val="24"/>
          <w:u w:color="191919"/>
          <w:vertAlign w:val="superscript"/>
          <w:lang w:eastAsia="ja-JP"/>
        </w:rPr>
        <w:t>th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June</w:t>
      </w:r>
    </w:p>
    <w:p w14:paraId="1DA5BF7A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7AAF756C" w14:textId="77777777" w:rsidR="002751EC" w:rsidRDefault="002751EC" w:rsidP="002751EC">
      <w:pPr>
        <w:widowControl w:val="0"/>
        <w:autoSpaceDE w:val="0"/>
        <w:autoSpaceDN w:val="0"/>
        <w:adjustRightInd w:val="0"/>
        <w:jc w:val="center"/>
        <w:outlineLvl w:val="0"/>
        <w:rPr>
          <w:rFonts w:ascii="InaiMathi" w:hAnsi="InaiMathi" w:cs="InaiMathi"/>
          <w:color w:val="191919"/>
          <w:sz w:val="24"/>
          <w:u w:val="single"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val="single" w:color="191919"/>
          <w:lang w:eastAsia="ja-JP"/>
        </w:rPr>
        <w:t xml:space="preserve">APPARATUS </w:t>
      </w:r>
      <w:r>
        <w:rPr>
          <w:rFonts w:ascii="InaiMathi" w:hAnsi="InaiMathi" w:cs="InaiMathi"/>
          <w:color w:val="191919"/>
          <w:sz w:val="24"/>
          <w:u w:val="single" w:color="191919"/>
          <w:lang w:eastAsia="ja-JP"/>
        </w:rPr>
        <w:t>10-1pm</w:t>
      </w:r>
      <w:r w:rsidRPr="00E63A32">
        <w:rPr>
          <w:rFonts w:ascii="InaiMathi" w:hAnsi="InaiMathi" w:cs="InaiMathi"/>
          <w:color w:val="191919"/>
          <w:sz w:val="24"/>
          <w:u w:val="single" w:color="191919"/>
          <w:lang w:eastAsia="ja-JP"/>
        </w:rPr>
        <w:t> Chair: Martin</w:t>
      </w:r>
      <w:r>
        <w:rPr>
          <w:rFonts w:ascii="InaiMathi" w:hAnsi="InaiMathi" w:cs="InaiMathi"/>
          <w:color w:val="191919"/>
          <w:sz w:val="24"/>
          <w:u w:val="single" w:color="191919"/>
          <w:lang w:eastAsia="ja-JP"/>
        </w:rPr>
        <w:t xml:space="preserve"> Westwood</w:t>
      </w:r>
    </w:p>
    <w:p w14:paraId="3838A2BA" w14:textId="77777777" w:rsidR="002751EC" w:rsidRPr="00611FD3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u w:color="191919"/>
          <w:lang w:eastAsia="ja-JP"/>
        </w:rPr>
      </w:pPr>
    </w:p>
    <w:p w14:paraId="6FC78206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53D412D2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10.00 ‘The Serpent and mythology of Persephone in the pathetic thought of Warburg, principles of operation of instruments’, Bernard Stiegler (IRI).</w:t>
      </w:r>
    </w:p>
    <w:p w14:paraId="09E2D8D6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10.30 ‘The Technical Apparatus of KBW’, Mick Finch (CSM)</w:t>
      </w:r>
    </w:p>
    <w:p w14:paraId="5EA53559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11.00 ‘Good </w:t>
      </w:r>
      <w:proofErr w:type="spellStart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Neighbourhood</w:t>
      </w:r>
      <w:proofErr w:type="spellEnd"/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. Warburg’s Serendipity’, Andreas Beyer (BFZ)</w:t>
      </w:r>
    </w:p>
    <w:p w14:paraId="02FC8C99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2DAA8753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InaiMath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11.30 Coffee</w:t>
      </w:r>
    </w:p>
    <w:p w14:paraId="02164869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2BE492AD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12.00 ‘Aby Warburg, dancer in a laboratory of images’, Uwe Fleckner (KBW)</w:t>
      </w:r>
    </w:p>
    <w:p w14:paraId="7ADBC8F8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12.30 ‘Warburg’s Desk’, Thomas Hensel (Pforzheim)</w:t>
      </w:r>
    </w:p>
    <w:p w14:paraId="5CB9C5EE" w14:textId="77777777" w:rsidR="002751EC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InaiMathi"/>
          <w:color w:val="191919"/>
          <w:sz w:val="24"/>
          <w:u w:color="191919"/>
          <w:lang w:eastAsia="ja-JP"/>
        </w:rPr>
      </w:pPr>
    </w:p>
    <w:p w14:paraId="5DEB34C5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23544654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731AD968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u w:color="191919"/>
          <w:lang w:eastAsia="ja-JP"/>
        </w:rPr>
      </w:pPr>
      <w:r>
        <w:rPr>
          <w:rFonts w:ascii="InaiMathi" w:hAnsi="InaiMathi" w:cs="Calibri"/>
          <w:color w:val="191919"/>
          <w:sz w:val="24"/>
          <w:u w:color="191919"/>
          <w:lang w:eastAsia="ja-JP"/>
        </w:rPr>
        <w:t>1.00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 Clo</w:t>
      </w:r>
      <w:r>
        <w:rPr>
          <w:rFonts w:ascii="InaiMathi" w:hAnsi="InaiMathi" w:cs="InaiMathi"/>
          <w:color w:val="191919"/>
          <w:sz w:val="24"/>
          <w:u w:color="191919"/>
          <w:lang w:eastAsia="ja-JP"/>
        </w:rPr>
        <w:t xml:space="preserve">sing session: </w:t>
      </w:r>
      <w:r w:rsidRPr="00E63A32">
        <w:rPr>
          <w:rFonts w:ascii="InaiMathi" w:hAnsi="InaiMathi" w:cs="InaiMathi"/>
          <w:color w:val="191919"/>
          <w:sz w:val="24"/>
          <w:u w:color="191919"/>
          <w:lang w:eastAsia="ja-JP"/>
        </w:rPr>
        <w:t>discussion/comments</w:t>
      </w:r>
      <w:r>
        <w:rPr>
          <w:rFonts w:ascii="InaiMathi" w:hAnsi="InaiMathi" w:cs="InaiMathi"/>
          <w:color w:val="191919"/>
          <w:sz w:val="24"/>
          <w:u w:color="191919"/>
          <w:lang w:eastAsia="ja-JP"/>
        </w:rPr>
        <w:t>.</w:t>
      </w:r>
    </w:p>
    <w:p w14:paraId="68136344" w14:textId="77777777" w:rsidR="002751EC" w:rsidRPr="00E63A32" w:rsidRDefault="002751EC" w:rsidP="002751EC">
      <w:pPr>
        <w:widowControl w:val="0"/>
        <w:autoSpaceDE w:val="0"/>
        <w:autoSpaceDN w:val="0"/>
        <w:adjustRightInd w:val="0"/>
        <w:rPr>
          <w:rFonts w:ascii="InaiMathi" w:hAnsi="InaiMathi" w:cs="Calibri"/>
          <w:sz w:val="24"/>
          <w:u w:color="191919"/>
          <w:lang w:eastAsia="ja-JP"/>
        </w:rPr>
      </w:pPr>
    </w:p>
    <w:p w14:paraId="4AD4048A" w14:textId="77777777" w:rsidR="002751EC" w:rsidRPr="00E63A32" w:rsidRDefault="002751EC" w:rsidP="002751EC">
      <w:pPr>
        <w:widowControl w:val="0"/>
        <w:autoSpaceDE w:val="0"/>
        <w:autoSpaceDN w:val="0"/>
        <w:adjustRightInd w:val="0"/>
        <w:jc w:val="center"/>
        <w:rPr>
          <w:rFonts w:ascii="InaiMathi" w:hAnsi="InaiMathi" w:cs="Calibri"/>
          <w:sz w:val="24"/>
          <w:u w:color="191919"/>
          <w:lang w:eastAsia="ja-JP"/>
        </w:rPr>
      </w:pPr>
      <w:r>
        <w:rPr>
          <w:rFonts w:ascii="InaiMathi" w:hAnsi="InaiMathi" w:cs="Calibri"/>
          <w:sz w:val="24"/>
          <w:u w:color="191919"/>
          <w:lang w:eastAsia="ja-JP"/>
        </w:rPr>
        <w:t>2.00</w:t>
      </w:r>
      <w:r w:rsidRPr="00E63A32">
        <w:rPr>
          <w:rFonts w:ascii="InaiMathi" w:hAnsi="InaiMathi" w:cs="Calibri"/>
          <w:sz w:val="24"/>
          <w:u w:color="191919"/>
          <w:lang w:eastAsia="ja-JP"/>
        </w:rPr>
        <w:t xml:space="preserve"> </w:t>
      </w:r>
      <w:r w:rsidRPr="00E63A32">
        <w:rPr>
          <w:rFonts w:ascii="InaiMathi" w:hAnsi="InaiMathi" w:cs="Calibri"/>
          <w:color w:val="191919"/>
          <w:sz w:val="24"/>
          <w:u w:color="191919"/>
          <w:lang w:eastAsia="ja-JP"/>
        </w:rPr>
        <w:t>Lunch</w:t>
      </w:r>
    </w:p>
    <w:p w14:paraId="2FC2E783" w14:textId="77777777" w:rsidR="00985E4C" w:rsidRDefault="002751EC">
      <w:bookmarkStart w:id="0" w:name="_GoBack"/>
      <w:bookmarkEnd w:id="0"/>
    </w:p>
    <w:sectPr w:rsidR="00985E4C" w:rsidSect="00FB70BA">
      <w:pgSz w:w="11900" w:h="16840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aiMathi">
    <w:panose1 w:val="00000000000000000000"/>
    <w:charset w:val="00"/>
    <w:family w:val="auto"/>
    <w:pitch w:val="variable"/>
    <w:sig w:usb0="80100063" w:usb1="08002000" w:usb2="144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BA"/>
    <w:rsid w:val="00070FB4"/>
    <w:rsid w:val="002751EC"/>
    <w:rsid w:val="003B24F9"/>
    <w:rsid w:val="004D26C0"/>
    <w:rsid w:val="00980D5F"/>
    <w:rsid w:val="00A00743"/>
    <w:rsid w:val="00C03B23"/>
    <w:rsid w:val="00C83556"/>
    <w:rsid w:val="00C932DE"/>
    <w:rsid w:val="00E5673F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70F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BA"/>
    <w:rPr>
      <w:rFonts w:ascii="Helvetica" w:eastAsiaTheme="minorEastAsia" w:hAnsi="Helvetic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1804</Characters>
  <Application>Microsoft Macintosh Word</Application>
  <DocSecurity>0</DocSecurity>
  <Lines>36</Lines>
  <Paragraphs>11</Paragraphs>
  <ScaleCrop>false</ScaleCrop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FINCH</dc:creator>
  <cp:keywords/>
  <dc:description/>
  <cp:lastModifiedBy>MICK FINCH</cp:lastModifiedBy>
  <cp:revision>2</cp:revision>
  <dcterms:created xsi:type="dcterms:W3CDTF">2016-07-03T16:45:00Z</dcterms:created>
  <dcterms:modified xsi:type="dcterms:W3CDTF">2016-07-03T16:50:00Z</dcterms:modified>
</cp:coreProperties>
</file>